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Washington, DC 20549</w:t>
      </w:r>
    </w:p>
    <w:p>
      <w:pPr>
        <w:spacing w:after="0" w:line="183" w:lineRule="exact"/>
        <w:rPr>
          <w:sz w:val="24"/>
          <w:szCs w:val="24"/>
          <w:color w:val="auto"/>
        </w:rPr>
      </w:pPr>
    </w:p>
    <w:p>
      <w:pPr>
        <w:jc w:val="center"/>
        <w:ind w:right="-1040"/>
        <w:spacing w:after="0"/>
        <w:rPr>
          <w:sz w:val="20"/>
          <w:szCs w:val="20"/>
          <w:color w:val="auto"/>
        </w:rPr>
      </w:pPr>
      <w:r>
        <w:rPr>
          <w:rFonts w:ascii="Arial" w:cs="Arial" w:eastAsia="Arial" w:hAnsi="Arial"/>
          <w:sz w:val="29"/>
          <w:szCs w:val="29"/>
          <w:b w:val="1"/>
          <w:bCs w:val="1"/>
          <w:color w:val="auto"/>
        </w:rPr>
        <w:t>SCHEDULE 14A</w:t>
      </w:r>
    </w:p>
    <w:p>
      <w:pPr>
        <w:spacing w:after="0" w:line="22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104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126365</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8" w:lineRule="exact"/>
        <w:rPr>
          <w:sz w:val="24"/>
          <w:szCs w:val="24"/>
          <w:color w:val="auto"/>
        </w:rPr>
      </w:pPr>
    </w:p>
    <w:p>
      <w:pPr>
        <w:jc w:val="right"/>
        <w:ind w:right="379"/>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117475</wp:posOffset>
            </wp:positionV>
            <wp:extent cx="7132320" cy="144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Preliminary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3680"/>
        <w:spacing w:after="0"/>
        <w:rPr>
          <w:sz w:val="20"/>
          <w:szCs w:val="20"/>
          <w:color w:val="auto"/>
        </w:rPr>
      </w:pPr>
      <w:r>
        <w:rPr>
          <w:rFonts w:ascii="Arial" w:cs="Arial" w:eastAsia="Arial" w:hAnsi="Arial"/>
          <w:sz w:val="29"/>
          <w:szCs w:val="29"/>
          <w:b w:val="1"/>
          <w:bCs w:val="1"/>
          <w:color w:val="auto"/>
        </w:rPr>
        <w:t>Mondelēz International, Inc.</w:t>
      </w:r>
    </w:p>
    <w:p>
      <w:pPr>
        <w:spacing w:after="0" w:line="116"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8"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50800</wp:posOffset>
            </wp:positionV>
            <wp:extent cx="7132320" cy="94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7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all boxes that apply):</w:t>
      </w:r>
    </w:p>
    <w:p>
      <w:pPr>
        <w:spacing w:after="0" w:line="189"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No fee required.</w:t>
      </w:r>
    </w:p>
    <w:p>
      <w:pPr>
        <w:spacing w:after="0" w:line="185"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185" w:lineRule="exact"/>
        <w:rPr>
          <w:sz w:val="24"/>
          <w:szCs w:val="24"/>
          <w:color w:val="auto"/>
        </w:rPr>
      </w:pPr>
    </w:p>
    <w:p>
      <w:pPr>
        <w:ind w:left="600"/>
        <w:spacing w:after="0"/>
        <w:rPr>
          <w:sz w:val="20"/>
          <w:szCs w:val="20"/>
          <w:color w:val="auto"/>
        </w:rPr>
      </w:pPr>
      <w:r>
        <w:rPr>
          <w:rFonts w:ascii="Arial" w:cs="Arial" w:eastAsia="Arial" w:hAnsi="Arial"/>
          <w:sz w:val="18"/>
          <w:szCs w:val="18"/>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94615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9138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3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right="2960"/>
        <w:spacing w:after="0" w:line="289" w:lineRule="auto"/>
        <w:rPr>
          <w:sz w:val="20"/>
          <w:szCs w:val="20"/>
          <w:color w:val="auto"/>
        </w:rPr>
      </w:pPr>
      <w:r>
        <w:rPr>
          <w:rFonts w:ascii="Arial" w:cs="Arial" w:eastAsia="Arial" w:hAnsi="Arial"/>
          <w:sz w:val="47"/>
          <w:szCs w:val="47"/>
          <w:b w:val="1"/>
          <w:bCs w:val="1"/>
          <w:color w:val="582C83"/>
        </w:rPr>
        <w:drawing>
          <wp:anchor simplePos="0" relativeHeight="251657728" behindDoc="1" locked="0" layoutInCell="0" allowOverlap="1">
            <wp:simplePos x="0" y="0"/>
            <wp:positionH relativeFrom="page">
              <wp:posOffset>431165</wp:posOffset>
            </wp:positionH>
            <wp:positionV relativeFrom="page">
              <wp:posOffset>88900</wp:posOffset>
            </wp:positionV>
            <wp:extent cx="6686550" cy="1611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t>LETTER FROM OUR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April 6, 2022</w:t>
      </w:r>
    </w:p>
    <w:p>
      <w:pPr>
        <w:spacing w:after="0" w:line="60"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-142875</wp:posOffset>
            </wp:positionV>
            <wp:extent cx="2357120" cy="5323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7120" cy="5323205"/>
                    </a:xfrm>
                    <a:prstGeom prst="rect">
                      <a:avLst/>
                    </a:prstGeom>
                    <a:noFill/>
                  </pic:spPr>
                </pic:pic>
              </a:graphicData>
            </a:graphic>
          </wp:anchor>
        </w:drawing>
      </w:r>
    </w:p>
    <w:p>
      <w:pPr>
        <w:spacing w:after="0" w:line="159" w:lineRule="exact"/>
        <w:rPr>
          <w:sz w:val="20"/>
          <w:szCs w:val="20"/>
          <w:color w:val="auto"/>
        </w:rPr>
      </w:pPr>
    </w:p>
    <w:p>
      <w:pPr>
        <w:ind w:left="3680" w:right="440"/>
        <w:spacing w:after="0" w:line="246" w:lineRule="auto"/>
        <w:rPr>
          <w:sz w:val="20"/>
          <w:szCs w:val="20"/>
          <w:color w:val="auto"/>
        </w:rPr>
      </w:pPr>
      <w:r>
        <w:rPr>
          <w:rFonts w:ascii="Arial" w:cs="Arial" w:eastAsia="Arial" w:hAnsi="Arial"/>
          <w:sz w:val="21"/>
          <w:szCs w:val="21"/>
          <w:color w:val="auto"/>
        </w:rPr>
        <w:t>I planned to open my letter with reflections on how our company successfully navigated the COVID-19 pandemic and emerged even stronger – while learning valuable lessons that will shape our business strategy and culture going forward. Sadly, I instead must begin by sharing my deepest sympathy with all our colleagues, customers, business partners, families and friends impacted by the war in Ukraine. Mondelēz International condemns this war and the unspeakable tragedy unfolding in cities and towns that many of our team members around the world call home.</w:t>
      </w:r>
    </w:p>
    <w:p>
      <w:pPr>
        <w:spacing w:after="0" w:line="148" w:lineRule="exact"/>
        <w:rPr>
          <w:sz w:val="20"/>
          <w:szCs w:val="20"/>
          <w:color w:val="auto"/>
        </w:rPr>
      </w:pPr>
    </w:p>
    <w:p>
      <w:pPr>
        <w:ind w:left="3680" w:right="360"/>
        <w:spacing w:after="0" w:line="234" w:lineRule="auto"/>
        <w:rPr>
          <w:sz w:val="20"/>
          <w:szCs w:val="20"/>
          <w:color w:val="auto"/>
        </w:rPr>
      </w:pPr>
      <w:r>
        <w:rPr>
          <w:rFonts w:ascii="Arial" w:cs="Arial" w:eastAsia="Arial" w:hAnsi="Arial"/>
          <w:sz w:val="22"/>
          <w:szCs w:val="22"/>
          <w:color w:val="auto"/>
        </w:rPr>
        <w:t>I am deeply thankful to our team members in Eastern Europe and beyond who have opened their hearts, their homes and our company facilities to people seeking shelter. Our company has committed $2 million in humanitarian relief – including financial contributions, product donations and double-matching our employees’ gifts. But the most moving element of our response is seeing our people step up to help one another, in ways both big and small. I am humbled at the outpouring of generosity I see every day among our colleagues – from gathering toys and snacks to welcome refugee children, to creating an app to match displaced families with short-term housing.</w:t>
      </w:r>
    </w:p>
    <w:p>
      <w:pPr>
        <w:spacing w:after="0" w:line="149" w:lineRule="exact"/>
        <w:rPr>
          <w:sz w:val="20"/>
          <w:szCs w:val="20"/>
          <w:color w:val="auto"/>
        </w:rPr>
      </w:pPr>
    </w:p>
    <w:p>
      <w:pPr>
        <w:ind w:left="3680" w:right="440"/>
        <w:spacing w:after="0" w:line="236" w:lineRule="auto"/>
        <w:rPr>
          <w:sz w:val="20"/>
          <w:szCs w:val="20"/>
          <w:color w:val="auto"/>
        </w:rPr>
      </w:pPr>
      <w:r>
        <w:rPr>
          <w:rFonts w:ascii="Arial" w:cs="Arial" w:eastAsia="Arial" w:hAnsi="Arial"/>
          <w:sz w:val="22"/>
          <w:szCs w:val="22"/>
          <w:color w:val="auto"/>
        </w:rPr>
        <w:t>Trying times like these remind us why our products and our mission are so important. As consumers continue to navigate disruptions to their work, school and social lives, snacking plays an increasingly critical role in delivering sustenance, comfort and a reminder of better days ahead. We’re honored that consumers continue to trust our beloved brands to bring their families nourishment and satisfaction.</w:t>
      </w:r>
    </w:p>
    <w:p>
      <w:pPr>
        <w:spacing w:after="0" w:line="149" w:lineRule="exact"/>
        <w:rPr>
          <w:sz w:val="20"/>
          <w:szCs w:val="20"/>
          <w:color w:val="auto"/>
        </w:rPr>
      </w:pPr>
    </w:p>
    <w:p>
      <w:pPr>
        <w:ind w:left="3680" w:right="780"/>
        <w:spacing w:after="0" w:line="259" w:lineRule="auto"/>
        <w:rPr>
          <w:sz w:val="20"/>
          <w:szCs w:val="20"/>
          <w:color w:val="auto"/>
        </w:rPr>
      </w:pPr>
      <w:r>
        <w:rPr>
          <w:rFonts w:ascii="Arial" w:cs="Arial" w:eastAsia="Arial" w:hAnsi="Arial"/>
          <w:sz w:val="22"/>
          <w:szCs w:val="22"/>
          <w:color w:val="auto"/>
        </w:rPr>
        <w:t>In 2021, our continued focus on meeting consumer needs led to another year of strong top- and bottom-line results.</w:t>
      </w:r>
    </w:p>
    <w:p>
      <w:pPr>
        <w:spacing w:after="0" w:line="129" w:lineRule="exact"/>
        <w:rPr>
          <w:sz w:val="20"/>
          <w:szCs w:val="20"/>
          <w:color w:val="auto"/>
        </w:rPr>
      </w:pPr>
    </w:p>
    <w:p>
      <w:pPr>
        <w:ind w:left="3680" w:right="420"/>
        <w:spacing w:after="0" w:line="236" w:lineRule="auto"/>
        <w:rPr>
          <w:sz w:val="20"/>
          <w:szCs w:val="20"/>
          <w:color w:val="auto"/>
        </w:rPr>
      </w:pPr>
      <w:r>
        <w:rPr>
          <w:rFonts w:ascii="Arial" w:cs="Arial" w:eastAsia="Arial" w:hAnsi="Arial"/>
          <w:sz w:val="22"/>
          <w:szCs w:val="22"/>
          <w:color w:val="auto"/>
        </w:rPr>
        <w:t>I’m proud of our consumer focus and related performance – and I’m especially proud of our approximately 79,000 employees across the globe, who remain steadfast in their commitment to delivering the right snack, for the right moment, made the right way. No matter how rapidly the external environment evolves, as a global snacking leader, we continue to stand ready to serve our customers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303530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-107315</wp:posOffset>
            </wp:positionV>
            <wp:extent cx="9855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0560"/>
          </w:cols>
          <w:pgMar w:left="1000" w:top="474" w:right="339" w:bottom="1440" w:gutter="0" w:footer="0" w:header="0"/>
        </w:sectPr>
      </w:pPr>
    </w:p>
    <w:bookmarkStart w:id="4" w:name="page5"/>
    <w:bookmarkEnd w:id="4"/>
    <w:p>
      <w:pPr>
        <w:ind w:right="100"/>
        <w:spacing w:after="0" w:line="237" w:lineRule="auto"/>
        <w:rPr>
          <w:sz w:val="20"/>
          <w:szCs w:val="20"/>
          <w:color w:val="auto"/>
        </w:rPr>
      </w:pPr>
      <w:r>
        <w:rPr>
          <w:rFonts w:ascii="Arial" w:cs="Arial" w:eastAsia="Arial" w:hAnsi="Arial"/>
          <w:sz w:val="22"/>
          <w:szCs w:val="22"/>
          <w:color w:val="auto"/>
        </w:rPr>
        <w:t>Our annual State of Snacking survey shows that consumers around the world increasingly choose snacking over traditional mealtimes, and they are continuing to consume more snacks at home. These trends make our core categories of chocolate and biscuits, as well as our growing portfolio of baked snacks, very attractive. Additionally, increased mobility creates more opportunities for consumers to select our brands on-the-go. Although we continue to face near-term input cost inflation – as well as supply chain, labor and transportation disruptions – we are navigating these challenges through our revenue growth management activities.</w:t>
      </w:r>
    </w:p>
    <w:p>
      <w:pPr>
        <w:spacing w:after="0" w:line="150"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Our Purpose-led growth strategy, launched in September 2018, continues to create shareholder value. Our continued focus on profit dollar growth enables us to advance a virtuous cycle that funds high-return investments and powers local-first, consumer-centric commercial execution. Examples of our strategy in action in 2021 include:</w:t>
      </w:r>
    </w:p>
    <w:p>
      <w:pPr>
        <w:spacing w:after="0" w:line="143"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2"/>
          <w:szCs w:val="22"/>
          <w:color w:val="582C83"/>
        </w:rPr>
      </w:pPr>
      <w:r>
        <w:rPr>
          <w:rFonts w:ascii="Arial" w:cs="Arial" w:eastAsia="Arial" w:hAnsi="Arial"/>
          <w:sz w:val="22"/>
          <w:szCs w:val="22"/>
          <w:color w:val="auto"/>
        </w:rPr>
        <w:t>Returning $3.9 billion in capital to shareholders through dividends and share repurchases</w:t>
      </w:r>
    </w:p>
    <w:p>
      <w:pPr>
        <w:spacing w:after="0" w:line="98" w:lineRule="exact"/>
        <w:rPr>
          <w:rFonts w:ascii="Arial" w:cs="Arial" w:eastAsia="Arial" w:hAnsi="Arial"/>
          <w:sz w:val="22"/>
          <w:szCs w:val="22"/>
          <w:color w:val="582C83"/>
        </w:rPr>
      </w:pPr>
    </w:p>
    <w:p>
      <w:pPr>
        <w:ind w:left="220" w:right="460" w:hanging="212"/>
        <w:spacing w:after="0" w:line="283" w:lineRule="auto"/>
        <w:tabs>
          <w:tab w:leader="none" w:pos="220" w:val="left"/>
        </w:tabs>
        <w:numPr>
          <w:ilvl w:val="0"/>
          <w:numId w:val="1"/>
        </w:numPr>
        <w:rPr>
          <w:rFonts w:ascii="Arial" w:cs="Arial" w:eastAsia="Arial" w:hAnsi="Arial"/>
          <w:sz w:val="21"/>
          <w:szCs w:val="21"/>
          <w:color w:val="582C83"/>
        </w:rPr>
      </w:pPr>
      <w:r>
        <w:rPr>
          <w:rFonts w:ascii="Arial" w:cs="Arial" w:eastAsia="Arial" w:hAnsi="Arial"/>
          <w:sz w:val="21"/>
          <w:szCs w:val="21"/>
          <w:color w:val="auto"/>
        </w:rPr>
        <w:t xml:space="preserve">Expanding our offerings in high-growth segments like well-being, with breakthrough innovations including </w:t>
      </w:r>
      <w:r>
        <w:rPr>
          <w:rFonts w:ascii="Arial" w:cs="Arial" w:eastAsia="Arial" w:hAnsi="Arial"/>
          <w:sz w:val="21"/>
          <w:szCs w:val="21"/>
          <w:i w:val="1"/>
          <w:iCs w:val="1"/>
          <w:color w:val="auto"/>
        </w:rPr>
        <w:t>Oreo</w:t>
      </w:r>
      <w:r>
        <w:rPr>
          <w:rFonts w:ascii="Arial" w:cs="Arial" w:eastAsia="Arial" w:hAnsi="Arial"/>
          <w:sz w:val="21"/>
          <w:szCs w:val="21"/>
          <w:color w:val="auto"/>
        </w:rPr>
        <w:t xml:space="preserve"> Zero Sugar in China, as well as </w:t>
      </w:r>
      <w:r>
        <w:rPr>
          <w:rFonts w:ascii="Arial" w:cs="Arial" w:eastAsia="Arial" w:hAnsi="Arial"/>
          <w:sz w:val="21"/>
          <w:szCs w:val="21"/>
          <w:i w:val="1"/>
          <w:iCs w:val="1"/>
          <w:color w:val="auto"/>
        </w:rPr>
        <w:t>Cadbury</w:t>
      </w:r>
      <w:r>
        <w:rPr>
          <w:rFonts w:ascii="Arial" w:cs="Arial" w:eastAsia="Arial" w:hAnsi="Arial"/>
          <w:sz w:val="21"/>
          <w:szCs w:val="21"/>
          <w:color w:val="auto"/>
        </w:rPr>
        <w:t xml:space="preserve"> Plant Bar and Plant-Based </w:t>
      </w:r>
      <w:r>
        <w:rPr>
          <w:rFonts w:ascii="Arial" w:cs="Arial" w:eastAsia="Arial" w:hAnsi="Arial"/>
          <w:sz w:val="21"/>
          <w:szCs w:val="21"/>
          <w:i w:val="1"/>
          <w:iCs w:val="1"/>
          <w:color w:val="auto"/>
        </w:rPr>
        <w:t>Philadelphia</w:t>
      </w:r>
      <w:r>
        <w:rPr>
          <w:rFonts w:ascii="Arial" w:cs="Arial" w:eastAsia="Arial" w:hAnsi="Arial"/>
          <w:sz w:val="21"/>
          <w:szCs w:val="21"/>
          <w:color w:val="auto"/>
        </w:rPr>
        <w:t xml:space="preserve"> in the United Kingdom</w:t>
      </w:r>
    </w:p>
    <w:p>
      <w:pPr>
        <w:spacing w:after="0" w:line="24" w:lineRule="exact"/>
        <w:rPr>
          <w:rFonts w:ascii="Arial" w:cs="Arial" w:eastAsia="Arial" w:hAnsi="Arial"/>
          <w:sz w:val="21"/>
          <w:szCs w:val="21"/>
          <w:color w:val="582C83"/>
        </w:rPr>
      </w:pPr>
    </w:p>
    <w:p>
      <w:pPr>
        <w:ind w:left="220" w:right="400" w:hanging="212"/>
        <w:spacing w:after="0" w:line="259" w:lineRule="auto"/>
        <w:tabs>
          <w:tab w:leader="none" w:pos="220" w:val="left"/>
        </w:tabs>
        <w:numPr>
          <w:ilvl w:val="0"/>
          <w:numId w:val="1"/>
        </w:numPr>
        <w:rPr>
          <w:rFonts w:ascii="Arial" w:cs="Arial" w:eastAsia="Arial" w:hAnsi="Arial"/>
          <w:sz w:val="22"/>
          <w:szCs w:val="22"/>
          <w:color w:val="582C83"/>
        </w:rPr>
      </w:pPr>
      <w:r>
        <w:rPr>
          <w:rFonts w:ascii="Arial" w:cs="Arial" w:eastAsia="Arial" w:hAnsi="Arial"/>
          <w:sz w:val="22"/>
          <w:szCs w:val="22"/>
          <w:color w:val="auto"/>
        </w:rPr>
        <w:t xml:space="preserve">Growing our presence in premium biscuits and baked snacks – with strong growth led by </w:t>
      </w:r>
      <w:r>
        <w:rPr>
          <w:rFonts w:ascii="Arial" w:cs="Arial" w:eastAsia="Arial" w:hAnsi="Arial"/>
          <w:sz w:val="22"/>
          <w:szCs w:val="22"/>
          <w:i w:val="1"/>
          <w:iCs w:val="1"/>
          <w:color w:val="auto"/>
        </w:rPr>
        <w:t>Tate’s</w:t>
      </w:r>
      <w:r>
        <w:rPr>
          <w:rFonts w:ascii="Arial" w:cs="Arial" w:eastAsia="Arial" w:hAnsi="Arial"/>
          <w:sz w:val="22"/>
          <w:szCs w:val="22"/>
          <w:color w:val="auto"/>
        </w:rPr>
        <w:t xml:space="preserve"> and </w:t>
      </w:r>
      <w:r>
        <w:rPr>
          <w:rFonts w:ascii="Arial" w:cs="Arial" w:eastAsia="Arial" w:hAnsi="Arial"/>
          <w:sz w:val="22"/>
          <w:szCs w:val="22"/>
          <w:i w:val="1"/>
          <w:iCs w:val="1"/>
          <w:color w:val="auto"/>
        </w:rPr>
        <w:t>Give &amp; Go</w:t>
      </w:r>
      <w:r>
        <w:rPr>
          <w:rFonts w:ascii="Arial" w:cs="Arial" w:eastAsia="Arial" w:hAnsi="Arial"/>
          <w:sz w:val="22"/>
          <w:szCs w:val="22"/>
          <w:color w:val="auto"/>
        </w:rPr>
        <w:t>, respectively</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1"/>
        </w:numPr>
        <w:rPr>
          <w:rFonts w:ascii="Arial" w:cs="Arial" w:eastAsia="Arial" w:hAnsi="Arial"/>
          <w:sz w:val="22"/>
          <w:szCs w:val="22"/>
          <w:color w:val="582C83"/>
        </w:rPr>
      </w:pPr>
      <w:r>
        <w:rPr>
          <w:rFonts w:ascii="Arial" w:cs="Arial" w:eastAsia="Arial" w:hAnsi="Arial"/>
          <w:sz w:val="22"/>
          <w:szCs w:val="22"/>
          <w:color w:val="auto"/>
        </w:rPr>
        <w:t>Continuing to expand distribution in emerging markets</w:t>
      </w:r>
    </w:p>
    <w:p>
      <w:pPr>
        <w:spacing w:after="0" w:line="98" w:lineRule="exact"/>
        <w:rPr>
          <w:rFonts w:ascii="Arial" w:cs="Arial" w:eastAsia="Arial" w:hAnsi="Arial"/>
          <w:sz w:val="22"/>
          <w:szCs w:val="22"/>
          <w:color w:val="582C83"/>
        </w:rPr>
      </w:pPr>
    </w:p>
    <w:p>
      <w:pPr>
        <w:ind w:left="220" w:right="100" w:hanging="212"/>
        <w:spacing w:after="0"/>
        <w:tabs>
          <w:tab w:leader="none" w:pos="220" w:val="left"/>
        </w:tabs>
        <w:numPr>
          <w:ilvl w:val="0"/>
          <w:numId w:val="1"/>
        </w:numPr>
        <w:rPr>
          <w:rFonts w:ascii="Arial" w:cs="Arial" w:eastAsia="Arial" w:hAnsi="Arial"/>
          <w:sz w:val="22"/>
          <w:szCs w:val="22"/>
          <w:color w:val="582C83"/>
        </w:rPr>
      </w:pPr>
      <w:r>
        <w:rPr>
          <w:rFonts w:ascii="Arial" w:cs="Arial" w:eastAsia="Arial" w:hAnsi="Arial"/>
          <w:sz w:val="22"/>
          <w:szCs w:val="22"/>
          <w:color w:val="auto"/>
        </w:rPr>
        <w:t xml:space="preserve">Acquiring high-growth, strategic assets – including </w:t>
      </w:r>
      <w:r>
        <w:rPr>
          <w:rFonts w:ascii="Arial" w:cs="Arial" w:eastAsia="Arial" w:hAnsi="Arial"/>
          <w:sz w:val="22"/>
          <w:szCs w:val="22"/>
          <w:i w:val="1"/>
          <w:iCs w:val="1"/>
          <w:color w:val="auto"/>
        </w:rPr>
        <w:t>Grenade</w:t>
      </w:r>
      <w:r>
        <w:rPr>
          <w:rFonts w:ascii="Arial" w:cs="Arial" w:eastAsia="Arial" w:hAnsi="Arial"/>
          <w:sz w:val="22"/>
          <w:szCs w:val="22"/>
          <w:color w:val="auto"/>
        </w:rPr>
        <w:t xml:space="preserve"> well-being snack bars, based in the United Kingdom; </w:t>
      </w:r>
      <w:r>
        <w:rPr>
          <w:rFonts w:ascii="Arial" w:cs="Arial" w:eastAsia="Arial" w:hAnsi="Arial"/>
          <w:sz w:val="22"/>
          <w:szCs w:val="22"/>
          <w:i w:val="1"/>
          <w:iCs w:val="1"/>
          <w:color w:val="auto"/>
        </w:rPr>
        <w:t xml:space="preserve">Gourmet Food </w:t>
      </w:r>
      <w:r>
        <w:rPr>
          <w:rFonts w:ascii="Arial" w:cs="Arial" w:eastAsia="Arial" w:hAnsi="Arial"/>
          <w:sz w:val="22"/>
          <w:szCs w:val="22"/>
          <w:color w:val="auto"/>
        </w:rPr>
        <w:t>premium crackers in Australia; and</w:t>
      </w:r>
      <w:r>
        <w:rPr>
          <w:rFonts w:ascii="Arial" w:cs="Arial" w:eastAsia="Arial" w:hAnsi="Arial"/>
          <w:sz w:val="22"/>
          <w:szCs w:val="22"/>
          <w:i w:val="1"/>
          <w:iCs w:val="1"/>
          <w:color w:val="auto"/>
        </w:rPr>
        <w:t xml:space="preserve"> Hu </w:t>
      </w:r>
      <w:r>
        <w:rPr>
          <w:rFonts w:ascii="Arial" w:cs="Arial" w:eastAsia="Arial" w:hAnsi="Arial"/>
          <w:sz w:val="22"/>
          <w:szCs w:val="22"/>
          <w:color w:val="auto"/>
        </w:rPr>
        <w:t>premium well-being snacks in the United States – as well as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announcing the acquisition of </w:t>
      </w:r>
      <w:r>
        <w:rPr>
          <w:rFonts w:ascii="Arial" w:cs="Arial" w:eastAsia="Arial" w:hAnsi="Arial"/>
          <w:sz w:val="22"/>
          <w:szCs w:val="22"/>
          <w:i w:val="1"/>
          <w:iCs w:val="1"/>
          <w:color w:val="auto"/>
        </w:rPr>
        <w:t>Chipita,</w:t>
      </w:r>
      <w:r>
        <w:rPr>
          <w:rFonts w:ascii="Arial" w:cs="Arial" w:eastAsia="Arial" w:hAnsi="Arial"/>
          <w:sz w:val="22"/>
          <w:szCs w:val="22"/>
          <w:color w:val="auto"/>
        </w:rPr>
        <w:t xml:space="preserve"> which closed in January 2022, significantly expanding our baked snacks offerings and routes, particularly in Europe</w:t>
      </w:r>
    </w:p>
    <w:p>
      <w:pPr>
        <w:spacing w:after="0" w:line="68" w:lineRule="exact"/>
        <w:rPr>
          <w:rFonts w:ascii="Arial" w:cs="Arial" w:eastAsia="Arial" w:hAnsi="Arial"/>
          <w:sz w:val="22"/>
          <w:szCs w:val="22"/>
          <w:color w:val="582C83"/>
        </w:rPr>
      </w:pPr>
    </w:p>
    <w:p>
      <w:pPr>
        <w:ind w:left="220" w:right="180" w:hanging="212"/>
        <w:spacing w:after="0" w:line="259" w:lineRule="auto"/>
        <w:tabs>
          <w:tab w:leader="none" w:pos="220" w:val="left"/>
        </w:tabs>
        <w:numPr>
          <w:ilvl w:val="0"/>
          <w:numId w:val="1"/>
        </w:numPr>
        <w:rPr>
          <w:rFonts w:ascii="Arial" w:cs="Arial" w:eastAsia="Arial" w:hAnsi="Arial"/>
          <w:sz w:val="22"/>
          <w:szCs w:val="22"/>
          <w:color w:val="582C83"/>
        </w:rPr>
      </w:pPr>
      <w:r>
        <w:rPr>
          <w:rFonts w:ascii="Arial" w:cs="Arial" w:eastAsia="Arial" w:hAnsi="Arial"/>
          <w:sz w:val="22"/>
          <w:szCs w:val="22"/>
          <w:color w:val="auto"/>
        </w:rPr>
        <w:t>Launching “The Right You,” a new holistic employee-well-being program, empowering our colleagues with tools to help them thrive at work and at home</w:t>
      </w:r>
    </w:p>
    <w:p>
      <w:pPr>
        <w:spacing w:after="0" w:line="48"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color w:val="auto"/>
        </w:rPr>
        <w:t xml:space="preserve">Along with our financial performance, we made strong progress against our environmental, social and governance (“ESG”) strategic priorities while maintaining relentless focus on our Purpose. We continued to improve cocoa farmers’ productivity through our transformational </w:t>
      </w:r>
      <w:r>
        <w:rPr>
          <w:rFonts w:ascii="Arial" w:cs="Arial" w:eastAsia="Arial" w:hAnsi="Arial"/>
          <w:sz w:val="22"/>
          <w:szCs w:val="22"/>
          <w:i w:val="1"/>
          <w:iCs w:val="1"/>
          <w:color w:val="auto"/>
        </w:rPr>
        <w:t>Cocoa Life</w:t>
      </w:r>
      <w:r>
        <w:rPr>
          <w:rFonts w:ascii="Arial" w:cs="Arial" w:eastAsia="Arial" w:hAnsi="Arial"/>
          <w:sz w:val="22"/>
          <w:szCs w:val="22"/>
          <w:color w:val="auto"/>
        </w:rPr>
        <w:t xml:space="preserve"> program – now entering its 10</w:t>
      </w:r>
      <w:r>
        <w:rPr>
          <w:rFonts w:ascii="Arial" w:cs="Arial" w:eastAsia="Arial" w:hAnsi="Arial"/>
          <w:sz w:val="24"/>
          <w:szCs w:val="24"/>
          <w:color w:val="auto"/>
          <w:vertAlign w:val="superscript"/>
        </w:rPr>
        <w:t>th</w:t>
      </w:r>
      <w:r>
        <w:rPr>
          <w:rFonts w:ascii="Arial" w:cs="Arial" w:eastAsia="Arial" w:hAnsi="Arial"/>
          <w:sz w:val="22"/>
          <w:szCs w:val="22"/>
          <w:color w:val="auto"/>
        </w:rPr>
        <w:t xml:space="preserve"> year of environmental and social innovation. We also launched a green bond offering to help fund our projects aimed at advancing sustainable sourcing, reducing packaging waste and tackling climate change. At the time of issue, this bond was the largest-ever green bond in the Packaged Food and Consumer Goods Industry.</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Recognizing that we cannot address these urgent issues alone, we expanded our involvement in several key public and private partnerships. In November, we announced our goal of achieving net zero greenhouse gas emissions across our full value chain by 2050 – signing onto the Science Based Targets Initiative’s Business Ambition for 1.5°C, while joining the United Nations Race to Zero campaign. Additionally, we joined the Circulate Capital Ocean Fund as a limited partner – supporting scalable business solutions to help advance infrastructure for collecting, sorting and recycling plastic waste in developing countries.</w:t>
      </w:r>
    </w:p>
    <w:p>
      <w:pPr>
        <w:spacing w:after="0" w:line="15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We also made significant progress toward our long-standing commitment to advancing diversity, equity and inclusion. In 2021, we advanced numerous economic inclusion and supplier diversity initiatives. We also increased the proportion of Black colleagues in U.S. management positions (defined as Director and above) from 3.2 percent at year-end 2020 to 5.1 percent at year-end 2021. Our share of women in global management roles (defined as Director and above) also continues to rise, and stood at 39.3 percent at year-end 2021.</w:t>
      </w:r>
    </w:p>
    <w:p>
      <w:pPr>
        <w:spacing w:after="0" w:line="150"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These are just a few examples of key actions advancing our ambition to become a more sustainable snacking company. We continue transforming how we do business across our own operations – as well as partnering with farmers and suppliers – to help drive lasting progress at scale. We believe our differentiated approach to sustainability will not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right="40"/>
        <w:spacing w:after="0" w:line="260" w:lineRule="auto"/>
        <w:rPr>
          <w:sz w:val="20"/>
          <w:szCs w:val="20"/>
          <w:color w:val="auto"/>
        </w:rPr>
      </w:pPr>
      <w:r>
        <w:rPr>
          <w:rFonts w:ascii="Arial" w:cs="Arial" w:eastAsia="Arial" w:hAnsi="Arial"/>
          <w:sz w:val="22"/>
          <w:szCs w:val="22"/>
          <w:color w:val="auto"/>
        </w:rPr>
        <w:t>help protect the environment and address critical social needs in our communities, but also create long-term value for the business and our stakeholders.</w:t>
      </w:r>
    </w:p>
    <w:p>
      <w:pPr>
        <w:spacing w:after="0" w:line="128"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color w:val="auto"/>
        </w:rPr>
        <w:t>We’re confident that the strength of our brands, our proven strategy, our continued investments, and our multi-faceted ESG agenda position us well to deliver sustainable growth and value creation for years to come. Our local-first approach enables us to stay close to our consumers – anticipating changes in their snacking needs and habits, and continuously evolving to meet their changing tastes and preferences. Most importantly, our diverse and talented team remain passionately dedicated to providing consumers the right snack, for the right moment, made the right way.</w:t>
      </w:r>
    </w:p>
    <w:p>
      <w:pPr>
        <w:spacing w:after="0" w:line="141" w:lineRule="exact"/>
        <w:rPr>
          <w:sz w:val="20"/>
          <w:szCs w:val="20"/>
          <w:color w:val="auto"/>
        </w:rPr>
      </w:pPr>
    </w:p>
    <w:p>
      <w:pPr>
        <w:ind w:right="1000"/>
        <w:spacing w:after="0" w:line="283" w:lineRule="auto"/>
        <w:rPr>
          <w:sz w:val="20"/>
          <w:szCs w:val="20"/>
          <w:color w:val="auto"/>
        </w:rPr>
      </w:pPr>
      <w:r>
        <w:rPr>
          <w:rFonts w:ascii="Arial" w:cs="Arial" w:eastAsia="Arial" w:hAnsi="Arial"/>
          <w:sz w:val="21"/>
          <w:szCs w:val="21"/>
          <w:color w:val="auto"/>
        </w:rPr>
        <w:t>On behalf of the Mondelēz International team, thank you for your investment. We look forward to continuing engagement with you as we advance our sustainable, Purpose-driven global snacking leadership.</w:t>
      </w:r>
    </w:p>
    <w:p>
      <w:pPr>
        <w:spacing w:after="0" w:line="106" w:lineRule="exact"/>
        <w:rPr>
          <w:sz w:val="20"/>
          <w:szCs w:val="20"/>
          <w:color w:val="auto"/>
        </w:rPr>
      </w:pPr>
    </w:p>
    <w:p>
      <w:pPr>
        <w:ind w:left="10020"/>
        <w:spacing w:after="0"/>
        <w:rPr>
          <w:sz w:val="20"/>
          <w:szCs w:val="20"/>
          <w:color w:val="auto"/>
        </w:rPr>
      </w:pPr>
      <w:r>
        <w:rPr>
          <w:rFonts w:ascii="Arial" w:cs="Arial" w:eastAsia="Arial" w:hAnsi="Arial"/>
          <w:sz w:val="21"/>
          <w:szCs w:val="21"/>
          <w:color w:val="auto"/>
        </w:rPr>
        <w:t>Best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137795</wp:posOffset>
            </wp:positionV>
            <wp:extent cx="16459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Dirk Van de Put</w:t>
      </w:r>
    </w:p>
    <w:p>
      <w:pPr>
        <w:jc w:val="right"/>
        <w:ind w:right="60"/>
        <w:spacing w:after="0"/>
        <w:rPr>
          <w:sz w:val="20"/>
          <w:szCs w:val="20"/>
          <w:color w:val="auto"/>
        </w:rPr>
      </w:pPr>
      <w:r>
        <w:rPr>
          <w:rFonts w:ascii="Arial" w:cs="Arial" w:eastAsia="Arial" w:hAnsi="Arial"/>
          <w:sz w:val="22"/>
          <w:szCs w:val="22"/>
          <w:color w:val="auto"/>
        </w:rPr>
        <w:t>Chairman and Chief Executive Officer</w:t>
      </w:r>
    </w:p>
    <w:p>
      <w:pPr>
        <w:jc w:val="right"/>
        <w:spacing w:after="0"/>
        <w:rPr>
          <w:sz w:val="20"/>
          <w:szCs w:val="20"/>
          <w:color w:val="auto"/>
        </w:rPr>
      </w:pPr>
      <w:r>
        <w:rPr>
          <w:rFonts w:ascii="Arial" w:cs="Arial" w:eastAsia="Arial" w:hAnsi="Arial"/>
          <w:sz w:val="22"/>
          <w:szCs w:val="22"/>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47"/>
          <w:szCs w:val="47"/>
          <w:b w:val="1"/>
          <w:bCs w:val="1"/>
          <w:color w:val="582C83"/>
        </w:rPr>
        <w:drawing>
          <wp:anchor simplePos="0" relativeHeight="251657728" behindDoc="1" locked="0" layoutInCell="0" allowOverlap="1">
            <wp:simplePos x="0" y="0"/>
            <wp:positionH relativeFrom="page">
              <wp:posOffset>431165</wp:posOffset>
            </wp:positionH>
            <wp:positionV relativeFrom="page">
              <wp:posOffset>88900</wp:posOffset>
            </wp:positionV>
            <wp:extent cx="6686550" cy="1611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t>LETTER FROM OUR 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April 6, 2022</w:t>
      </w:r>
    </w:p>
    <w:p>
      <w:pPr>
        <w:spacing w:after="0" w:line="60"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280285" cy="5280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0285" cy="5280660"/>
                    </a:xfrm>
                    <a:prstGeom prst="rect">
                      <a:avLst/>
                    </a:prstGeom>
                    <a:noFill/>
                  </pic:spPr>
                </pic:pic>
              </a:graphicData>
            </a:graphic>
          </wp:anchor>
        </w:drawing>
      </w:r>
    </w:p>
    <w:p>
      <w:pPr>
        <w:spacing w:after="0" w:line="159" w:lineRule="exact"/>
        <w:rPr>
          <w:sz w:val="20"/>
          <w:szCs w:val="20"/>
          <w:color w:val="auto"/>
        </w:rPr>
      </w:pPr>
    </w:p>
    <w:p>
      <w:pPr>
        <w:ind w:left="3680" w:right="460"/>
        <w:spacing w:after="0" w:line="255" w:lineRule="auto"/>
        <w:rPr>
          <w:sz w:val="20"/>
          <w:szCs w:val="20"/>
          <w:color w:val="auto"/>
        </w:rPr>
      </w:pPr>
      <w:r>
        <w:rPr>
          <w:rFonts w:ascii="Arial" w:cs="Arial" w:eastAsia="Arial" w:hAnsi="Arial"/>
          <w:sz w:val="21"/>
          <w:szCs w:val="21"/>
          <w:color w:val="auto"/>
        </w:rPr>
        <w:t>Like all of you, I watched the war in Ukraine unfold with shock and dismay. The Board of Directors of Mondelēz International joins Chairman and CEO Dirk Van de Put and our colleagues around the world in condemning these horrific attacks and calling for peace.</w:t>
      </w:r>
    </w:p>
    <w:p>
      <w:pPr>
        <w:spacing w:after="0" w:line="135" w:lineRule="exact"/>
        <w:rPr>
          <w:sz w:val="20"/>
          <w:szCs w:val="20"/>
          <w:color w:val="auto"/>
        </w:rPr>
      </w:pPr>
    </w:p>
    <w:p>
      <w:pPr>
        <w:ind w:left="3680" w:right="360"/>
        <w:spacing w:after="0" w:line="246" w:lineRule="auto"/>
        <w:rPr>
          <w:sz w:val="20"/>
          <w:szCs w:val="20"/>
          <w:color w:val="auto"/>
        </w:rPr>
      </w:pPr>
      <w:r>
        <w:rPr>
          <w:rFonts w:ascii="Arial" w:cs="Arial" w:eastAsia="Arial" w:hAnsi="Arial"/>
          <w:sz w:val="21"/>
          <w:szCs w:val="21"/>
          <w:color w:val="auto"/>
        </w:rPr>
        <w:t>Even before the war broke out earlier this year, lingering impacts from the COVID-19 pandemic continued to shape consumer habits, the business operating environment, and most importantly, the health and well-being of people around the world. Alternating periods of virus decline and resurgence caused ripple effects in both economic and social conditions. Against this challenging backdrop, the Board of Directors continues to provide critical independent counsel in overseeing Mondelēz International’s strategy and operations, while reinforcing our strong governance culture and advancing our commitment to diversity, equity and inclusion.</w:t>
      </w:r>
    </w:p>
    <w:p>
      <w:pPr>
        <w:spacing w:after="0" w:line="144" w:lineRule="exact"/>
        <w:rPr>
          <w:sz w:val="20"/>
          <w:szCs w:val="20"/>
          <w:color w:val="auto"/>
        </w:rPr>
      </w:pPr>
    </w:p>
    <w:p>
      <w:pPr>
        <w:ind w:left="3680" w:right="420"/>
        <w:spacing w:after="0" w:line="234" w:lineRule="auto"/>
        <w:rPr>
          <w:sz w:val="20"/>
          <w:szCs w:val="20"/>
          <w:color w:val="auto"/>
        </w:rPr>
      </w:pPr>
      <w:r>
        <w:rPr>
          <w:rFonts w:ascii="Arial" w:cs="Arial" w:eastAsia="Arial" w:hAnsi="Arial"/>
          <w:sz w:val="22"/>
          <w:szCs w:val="22"/>
          <w:color w:val="auto"/>
        </w:rPr>
        <w:t>Mondelēz International continued to deliver strong growth in 2021 while advancing our long-term environmental, social and governance (“ESG”) agenda. The Board remains confident in the company’s sustainable growth strategy, and we look forward to continuing to partner closely with Dirk and the broader executive team. The company has exciting opportunities to capitalize on accelerating trends that will continue to shape consumer behavior – including increasing demand for snacking as a replacement for traditional mealtimes; growing consumer preference for balancing nutrition and sustenance with indulgence; and increased mobility as pandemic conditions recede.</w:t>
      </w:r>
    </w:p>
    <w:p>
      <w:pPr>
        <w:spacing w:after="0" w:line="149" w:lineRule="exact"/>
        <w:rPr>
          <w:sz w:val="20"/>
          <w:szCs w:val="20"/>
          <w:color w:val="auto"/>
        </w:rPr>
      </w:pPr>
    </w:p>
    <w:p>
      <w:pPr>
        <w:ind w:left="3680" w:right="380"/>
        <w:spacing w:after="0" w:line="247" w:lineRule="auto"/>
        <w:rPr>
          <w:sz w:val="20"/>
          <w:szCs w:val="20"/>
          <w:color w:val="auto"/>
        </w:rPr>
      </w:pPr>
      <w:r>
        <w:rPr>
          <w:rFonts w:ascii="Arial" w:cs="Arial" w:eastAsia="Arial" w:hAnsi="Arial"/>
          <w:sz w:val="21"/>
          <w:szCs w:val="21"/>
          <w:color w:val="auto"/>
        </w:rPr>
        <w:t>Throughout the past year, the Board has exercised our independent oversight role in shaping the company’s environmental sustainability initiatives. We are pleased with the company’s progress in sourcing a growing proportion of two key ingredients – cocoa and wheat – through its signature programs, Cocoa Life and Harmony</w:t>
      </w:r>
      <w:r>
        <w:rPr>
          <w:rFonts w:ascii="Arial" w:cs="Arial" w:eastAsia="Arial" w:hAnsi="Arial"/>
          <w:sz w:val="21"/>
          <w:szCs w:val="21"/>
          <w:i w:val="1"/>
          <w:iCs w:val="1"/>
          <w:color w:val="auto"/>
        </w:rPr>
        <w:t>.</w:t>
      </w:r>
      <w:r>
        <w:rPr>
          <w:rFonts w:ascii="Arial" w:cs="Arial" w:eastAsia="Arial" w:hAnsi="Arial"/>
          <w:sz w:val="21"/>
          <w:szCs w:val="21"/>
          <w:color w:val="auto"/>
        </w:rPr>
        <w:t xml:space="preserve"> Additionally, Mondelēz International continues to make progress in reducing packaging waste and carbon emissions – as we work toward our goal of net zero greenhouse gas emissions by 2050.</w:t>
      </w:r>
    </w:p>
    <w:p>
      <w:pPr>
        <w:spacing w:after="0" w:line="145" w:lineRule="exact"/>
        <w:rPr>
          <w:sz w:val="20"/>
          <w:szCs w:val="20"/>
          <w:color w:val="auto"/>
        </w:rPr>
      </w:pPr>
    </w:p>
    <w:p>
      <w:pPr>
        <w:ind w:left="3680" w:right="440"/>
        <w:spacing w:after="0" w:line="262" w:lineRule="auto"/>
        <w:rPr>
          <w:sz w:val="20"/>
          <w:szCs w:val="20"/>
          <w:color w:val="auto"/>
        </w:rPr>
      </w:pPr>
      <w:r>
        <w:rPr>
          <w:rFonts w:ascii="Arial" w:cs="Arial" w:eastAsia="Arial" w:hAnsi="Arial"/>
          <w:sz w:val="21"/>
          <w:szCs w:val="21"/>
          <w:color w:val="auto"/>
        </w:rPr>
        <w:t>The Board remains focused on further enhancing the company’s winning growth culture – with a deep commitment to continuing progress toward our shared goals for diversity, equity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277495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303530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-107315</wp:posOffset>
            </wp:positionV>
            <wp:extent cx="98552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0560"/>
          </w:cols>
          <w:pgMar w:left="1000" w:top="1108" w:right="339" w:bottom="1440" w:gutter="0" w:footer="0" w:header="0"/>
        </w:sectPr>
      </w:pPr>
    </w:p>
    <w:bookmarkStart w:id="7" w:name="page8"/>
    <w:bookmarkEnd w:id="7"/>
    <w:p>
      <w:pPr>
        <w:ind w:right="380"/>
        <w:spacing w:after="0" w:line="260" w:lineRule="auto"/>
        <w:rPr>
          <w:sz w:val="20"/>
          <w:szCs w:val="20"/>
          <w:color w:val="auto"/>
        </w:rPr>
      </w:pPr>
      <w:r>
        <w:rPr>
          <w:rFonts w:ascii="Arial" w:cs="Arial" w:eastAsia="Arial" w:hAnsi="Arial"/>
          <w:sz w:val="22"/>
          <w:szCs w:val="22"/>
          <w:color w:val="auto"/>
        </w:rPr>
        <w:t>We firmly believe that an engaged and thriving workforce – which continuously learns from and celebrates diverse voices – is a critical engine for consumer-centric innovation.</w:t>
      </w:r>
    </w:p>
    <w:p>
      <w:pPr>
        <w:spacing w:after="0" w:line="12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As a Board, our broad and diverse perspectives and our experience in global public companies enable us to provide critical oversight and decision-making support across the full spectrum of strategic, operational and culture opportunities and challenges. Earlier this year, we further broadened the experience and composition of our Board with the addition of a new director, Ertharin Cousin, whose expert perspective on food policy and sustainability issues provides important insights and value as we continue advancing our strategy and ESG priorities.</w:t>
      </w:r>
    </w:p>
    <w:p>
      <w:pPr>
        <w:spacing w:after="0" w:line="150" w:lineRule="exact"/>
        <w:rPr>
          <w:sz w:val="20"/>
          <w:szCs w:val="20"/>
          <w:color w:val="auto"/>
        </w:rPr>
      </w:pPr>
    </w:p>
    <w:p>
      <w:pPr>
        <w:ind w:right="100"/>
        <w:spacing w:after="0" w:line="233" w:lineRule="auto"/>
        <w:rPr>
          <w:sz w:val="20"/>
          <w:szCs w:val="20"/>
          <w:color w:val="auto"/>
        </w:rPr>
      </w:pPr>
      <w:r>
        <w:rPr>
          <w:rFonts w:ascii="Arial" w:cs="Arial" w:eastAsia="Arial" w:hAnsi="Arial"/>
          <w:sz w:val="22"/>
          <w:szCs w:val="22"/>
          <w:color w:val="auto"/>
        </w:rPr>
        <w:t>After serving for more than twelve years as director, I will not stand for election at this year’s annual meeting. It has been a privilege to serve on the Board and as independent Lead Director during my tenure. My colleagues Fredric Reynolds and Peter May are also not standing for election this year. The Board joins me in thanking them for their valuable service to Mondelēz International. Following the annual meeting, Patrick Siewert will succeed me as Lead Director and will continue our commitment to strong independent oversight, provided that he is re-elected. Currently serving as Managing Director and Partner for The Carlyle Group, Patrick will bring a wealth of experience to the independent Lead Director role. He has led business operations globally and in Europe, Africa, the Middle East and Asia over the course of his tenure at Coca-Cola, Eastman Kodak and Carlyle. Patrick also has extensive governance experience and currently serves as the chair of our Finance Committee. Overall, our ten director nominees include four women, represent several national origins, vary in age from 57 to 73, and collectively bring a myriad of professional and life experiences to the Board. Two director nominees self-identify as Black and eight self-identify as white. As Mondelēz International continues to execute its strategy, the Board is well-equipped to create long-term value for our shareholders.</w:t>
      </w:r>
    </w:p>
    <w:p>
      <w:pPr>
        <w:spacing w:after="0" w:line="15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 xml:space="preserve">On behalf of the Mondelēz International Board of Directors, thank you for your investment and for your support of our strategy to become the global snacking leader. To learn more about the Board, as well as our governance approach, policies and oversight role, please consult this proxy statement and visit our website at </w:t>
      </w:r>
      <w:r>
        <w:rPr>
          <w:rFonts w:ascii="Arial" w:cs="Arial" w:eastAsia="Arial" w:hAnsi="Arial"/>
          <w:sz w:val="22"/>
          <w:szCs w:val="22"/>
          <w:i w:val="1"/>
          <w:iCs w:val="1"/>
          <w:color w:val="auto"/>
        </w:rPr>
        <w:t>www.mondelezinternational.com</w:t>
      </w:r>
      <w:r>
        <w:rPr>
          <w:rFonts w:ascii="Arial" w:cs="Arial" w:eastAsia="Arial" w:hAnsi="Arial"/>
          <w:sz w:val="22"/>
          <w:szCs w:val="22"/>
          <w:color w:val="auto"/>
        </w:rPr>
        <w:t>.</w:t>
      </w:r>
    </w:p>
    <w:p>
      <w:pPr>
        <w:spacing w:after="0" w:line="149" w:lineRule="exact"/>
        <w:rPr>
          <w:sz w:val="20"/>
          <w:szCs w:val="20"/>
          <w:color w:val="auto"/>
        </w:rPr>
      </w:pPr>
    </w:p>
    <w:p>
      <w:pPr>
        <w:ind w:right="440"/>
        <w:spacing w:after="0" w:line="245" w:lineRule="auto"/>
        <w:rPr>
          <w:sz w:val="20"/>
          <w:szCs w:val="20"/>
          <w:color w:val="auto"/>
        </w:rPr>
      </w:pPr>
      <w:r>
        <w:rPr>
          <w:rFonts w:ascii="Arial" w:cs="Arial" w:eastAsia="Arial" w:hAnsi="Arial"/>
          <w:sz w:val="22"/>
          <w:szCs w:val="22"/>
          <w:color w:val="auto"/>
        </w:rPr>
        <w:t>We recognize that when you buy shares in Mondelēz International, you are placing your trust in the Board of Directors. We value your investment, and we are committed to meeting your expectations of delivering long-term, sustainable value.</w:t>
      </w:r>
    </w:p>
    <w:p>
      <w:pPr>
        <w:spacing w:after="0" w:line="143" w:lineRule="exact"/>
        <w:rPr>
          <w:sz w:val="20"/>
          <w:szCs w:val="20"/>
          <w:color w:val="auto"/>
        </w:rPr>
      </w:pPr>
    </w:p>
    <w:p>
      <w:pPr>
        <w:ind w:right="460"/>
        <w:spacing w:after="0" w:line="259" w:lineRule="auto"/>
        <w:rPr>
          <w:sz w:val="20"/>
          <w:szCs w:val="20"/>
          <w:color w:val="auto"/>
        </w:rPr>
      </w:pPr>
      <w:r>
        <w:rPr>
          <w:rFonts w:ascii="Arial" w:cs="Arial" w:eastAsia="Arial" w:hAnsi="Arial"/>
          <w:sz w:val="22"/>
          <w:szCs w:val="22"/>
          <w:color w:val="auto"/>
        </w:rPr>
        <w:t>Please review the proxy statement and annual report in full. We recommend that you vote in accordance with our recommendations in order to secure the long-term growth and success of the company.</w:t>
      </w:r>
    </w:p>
    <w:p>
      <w:pPr>
        <w:spacing w:after="0" w:line="129" w:lineRule="exact"/>
        <w:rPr>
          <w:sz w:val="20"/>
          <w:szCs w:val="20"/>
          <w:color w:val="auto"/>
        </w:rPr>
      </w:pPr>
    </w:p>
    <w:p>
      <w:pPr>
        <w:ind w:left="10300"/>
        <w:spacing w:after="0"/>
        <w:rPr>
          <w:sz w:val="20"/>
          <w:szCs w:val="20"/>
          <w:color w:val="auto"/>
        </w:rPr>
      </w:pPr>
      <w:r>
        <w:rPr>
          <w:rFonts w:ascii="Arial" w:cs="Arial" w:eastAsia="Arial" w:hAnsi="Arial"/>
          <w:sz w:val="21"/>
          <w:szCs w:val="2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137795</wp:posOffset>
            </wp:positionV>
            <wp:extent cx="122555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25550" cy="18034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Jean-François M. L. van Boxmeer</w:t>
      </w:r>
    </w:p>
    <w:p>
      <w:pPr>
        <w:jc w:val="right"/>
        <w:ind w:right="60"/>
        <w:spacing w:after="0"/>
        <w:rPr>
          <w:sz w:val="20"/>
          <w:szCs w:val="20"/>
          <w:color w:val="auto"/>
        </w:rPr>
      </w:pPr>
      <w:r>
        <w:rPr>
          <w:rFonts w:ascii="Arial" w:cs="Arial" w:eastAsia="Arial" w:hAnsi="Arial"/>
          <w:sz w:val="22"/>
          <w:szCs w:val="22"/>
          <w:color w:val="auto"/>
        </w:rPr>
        <w:t>Lead Director</w:t>
      </w:r>
    </w:p>
    <w:p>
      <w:pPr>
        <w:jc w:val="right"/>
        <w:spacing w:after="0"/>
        <w:rPr>
          <w:sz w:val="20"/>
          <w:szCs w:val="20"/>
          <w:color w:val="auto"/>
        </w:rPr>
      </w:pPr>
      <w:r>
        <w:rPr>
          <w:rFonts w:ascii="Arial" w:cs="Arial" w:eastAsia="Arial" w:hAnsi="Arial"/>
          <w:sz w:val="22"/>
          <w:szCs w:val="22"/>
          <w:color w:val="auto"/>
        </w:rPr>
        <w:t>Mondelēz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320" w:right="1600"/>
        <w:spacing w:after="0" w:line="289" w:lineRule="auto"/>
        <w:rPr>
          <w:sz w:val="20"/>
          <w:szCs w:val="20"/>
          <w:color w:val="auto"/>
        </w:rPr>
      </w:pPr>
      <w:r>
        <w:rPr>
          <w:rFonts w:ascii="Arial" w:cs="Arial" w:eastAsia="Arial" w:hAnsi="Arial"/>
          <w:sz w:val="47"/>
          <w:szCs w:val="47"/>
          <w:b w:val="1"/>
          <w:bCs w:val="1"/>
          <w:color w:val="582C83"/>
        </w:rPr>
        <w:drawing>
          <wp:anchor simplePos="0" relativeHeight="251657728" behindDoc="1" locked="0" layoutInCell="0" allowOverlap="1">
            <wp:simplePos x="0" y="0"/>
            <wp:positionH relativeFrom="page">
              <wp:posOffset>431165</wp:posOffset>
            </wp:positionH>
            <wp:positionV relativeFrom="page">
              <wp:posOffset>88900</wp:posOffset>
            </wp:positionV>
            <wp:extent cx="6686550" cy="1611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t>NOTICE OF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TIME AND DATE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9:00 a.m. CDT on May 18,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20" w:type="dxa"/>
            <w:vAlign w:val="bottom"/>
          </w:tcPr>
          <w:p>
            <w:pPr>
              <w:spacing w:after="0"/>
              <w:rPr>
                <w:sz w:val="20"/>
                <w:szCs w:val="20"/>
                <w:color w:val="auto"/>
              </w:rPr>
            </w:pPr>
            <w:r>
              <w:rPr>
                <w:rFonts w:ascii="Arial" w:cs="Arial" w:eastAsia="Arial" w:hAnsi="Arial"/>
                <w:sz w:val="22"/>
                <w:szCs w:val="22"/>
                <w:b w:val="1"/>
                <w:bCs w:val="1"/>
                <w:color w:val="auto"/>
              </w:rPr>
              <w:t>Venue</w:t>
            </w:r>
          </w:p>
        </w:tc>
        <w:tc>
          <w:tcPr>
            <w:tcW w:w="4380" w:type="dxa"/>
            <w:vAlign w:val="bottom"/>
          </w:tcPr>
          <w:p>
            <w:pPr>
              <w:jc w:val="center"/>
              <w:ind w:left="1246"/>
              <w:spacing w:after="0"/>
              <w:rPr>
                <w:sz w:val="20"/>
                <w:szCs w:val="20"/>
                <w:color w:val="auto"/>
              </w:rPr>
            </w:pPr>
            <w:r>
              <w:rPr>
                <w:rFonts w:ascii="Arial" w:cs="Arial" w:eastAsia="Arial" w:hAnsi="Arial"/>
                <w:sz w:val="19"/>
                <w:szCs w:val="19"/>
                <w:b w:val="1"/>
                <w:bCs w:val="1"/>
                <w:color w:val="auto"/>
                <w:w w:val="99"/>
              </w:rPr>
              <w:t>905 West Fulton Market, Suite 200</w:t>
            </w:r>
          </w:p>
        </w:tc>
      </w:tr>
      <w:tr>
        <w:trPr>
          <w:trHeight w:val="271"/>
        </w:trPr>
        <w:tc>
          <w:tcPr>
            <w:tcW w:w="5920" w:type="dxa"/>
            <w:vAlign w:val="bottom"/>
          </w:tcPr>
          <w:p>
            <w:pPr>
              <w:spacing w:after="0"/>
              <w:rPr>
                <w:sz w:val="20"/>
                <w:szCs w:val="20"/>
                <w:color w:val="auto"/>
              </w:rPr>
            </w:pPr>
            <w:r>
              <w:rPr>
                <w:rFonts w:ascii="Arial" w:cs="Arial" w:eastAsia="Arial" w:hAnsi="Arial"/>
                <w:sz w:val="22"/>
                <w:szCs w:val="22"/>
                <w:color w:val="auto"/>
              </w:rPr>
              <w:t>Virtual Annual Meeting</w:t>
            </w:r>
          </w:p>
        </w:tc>
        <w:tc>
          <w:tcPr>
            <w:tcW w:w="4380" w:type="dxa"/>
            <w:vAlign w:val="bottom"/>
          </w:tcPr>
          <w:p>
            <w:pPr>
              <w:jc w:val="center"/>
              <w:ind w:left="1246"/>
              <w:spacing w:after="0"/>
              <w:rPr>
                <w:sz w:val="20"/>
                <w:szCs w:val="20"/>
                <w:color w:val="auto"/>
              </w:rPr>
            </w:pPr>
            <w:r>
              <w:rPr>
                <w:rFonts w:ascii="Arial" w:cs="Arial" w:eastAsia="Arial" w:hAnsi="Arial"/>
                <w:sz w:val="19"/>
                <w:szCs w:val="19"/>
                <w:b w:val="1"/>
                <w:bCs w:val="1"/>
                <w:color w:val="auto"/>
                <w:w w:val="99"/>
              </w:rPr>
              <w:t>Chicago, IL 60607</w:t>
            </w:r>
          </w:p>
        </w:tc>
      </w:tr>
      <w:tr>
        <w:trPr>
          <w:trHeight w:val="283"/>
        </w:trPr>
        <w:tc>
          <w:tcPr>
            <w:tcW w:w="5920" w:type="dxa"/>
            <w:vAlign w:val="bottom"/>
          </w:tcPr>
          <w:p>
            <w:pPr>
              <w:spacing w:after="0"/>
              <w:rPr>
                <w:sz w:val="20"/>
                <w:szCs w:val="20"/>
                <w:color w:val="auto"/>
              </w:rPr>
            </w:pPr>
            <w:r>
              <w:rPr>
                <w:rFonts w:ascii="Arial" w:cs="Arial" w:eastAsia="Arial" w:hAnsi="Arial"/>
                <w:sz w:val="22"/>
                <w:szCs w:val="22"/>
                <w:i w:val="1"/>
                <w:iCs w:val="1"/>
                <w:color w:val="582C83"/>
              </w:rPr>
              <w:t>www.virtualshareholdermeeting.com/MDLZ2022</w:t>
            </w:r>
          </w:p>
        </w:tc>
        <w:tc>
          <w:tcPr>
            <w:tcW w:w="4380" w:type="dxa"/>
            <w:vAlign w:val="bottom"/>
          </w:tcPr>
          <w:p>
            <w:pPr>
              <w:spacing w:after="0"/>
              <w:rPr>
                <w:sz w:val="24"/>
                <w:szCs w:val="24"/>
                <w:color w:val="auto"/>
              </w:rPr>
            </w:pPr>
          </w:p>
        </w:tc>
      </w:tr>
      <w:tr>
        <w:trPr>
          <w:trHeight w:val="324"/>
        </w:trPr>
        <w:tc>
          <w:tcPr>
            <w:tcW w:w="5920" w:type="dxa"/>
            <w:vAlign w:val="bottom"/>
          </w:tcPr>
          <w:p>
            <w:pPr>
              <w:spacing w:after="0"/>
              <w:rPr>
                <w:sz w:val="20"/>
                <w:szCs w:val="20"/>
                <w:color w:val="auto"/>
              </w:rPr>
            </w:pPr>
            <w:r>
              <w:rPr>
                <w:rFonts w:ascii="Arial" w:cs="Arial" w:eastAsia="Arial" w:hAnsi="Arial"/>
                <w:sz w:val="22"/>
                <w:szCs w:val="22"/>
                <w:b w:val="1"/>
                <w:bCs w:val="1"/>
                <w:color w:val="auto"/>
              </w:rPr>
              <w:t>Record Date</w:t>
            </w:r>
          </w:p>
        </w:tc>
        <w:tc>
          <w:tcPr>
            <w:tcW w:w="4380" w:type="dxa"/>
            <w:vAlign w:val="bottom"/>
          </w:tcPr>
          <w:p>
            <w:pPr>
              <w:spacing w:after="0"/>
              <w:rPr>
                <w:sz w:val="24"/>
                <w:szCs w:val="24"/>
                <w:color w:val="auto"/>
              </w:rPr>
            </w:pPr>
          </w:p>
        </w:tc>
      </w:tr>
      <w:tr>
        <w:trPr>
          <w:trHeight w:val="283"/>
        </w:trPr>
        <w:tc>
          <w:tcPr>
            <w:tcW w:w="5920" w:type="dxa"/>
            <w:vAlign w:val="bottom"/>
          </w:tcPr>
          <w:p>
            <w:pPr>
              <w:spacing w:after="0"/>
              <w:rPr>
                <w:sz w:val="20"/>
                <w:szCs w:val="20"/>
                <w:color w:val="auto"/>
              </w:rPr>
            </w:pPr>
            <w:r>
              <w:rPr>
                <w:rFonts w:ascii="Arial" w:cs="Arial" w:eastAsia="Arial" w:hAnsi="Arial"/>
                <w:sz w:val="22"/>
                <w:szCs w:val="22"/>
                <w:color w:val="auto"/>
              </w:rPr>
              <w:t>March 14, 2022</w:t>
            </w:r>
          </w:p>
        </w:tc>
        <w:tc>
          <w:tcPr>
            <w:tcW w:w="4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635115" cy="1860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35115" cy="18605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582C83"/>
        </w:rPr>
        <w:t>ITEMS OF BUSINESS:</w:t>
      </w:r>
    </w:p>
    <w:p>
      <w:pPr>
        <w:spacing w:after="0" w:line="111" w:lineRule="exact"/>
        <w:rPr>
          <w:sz w:val="20"/>
          <w:szCs w:val="20"/>
          <w:color w:val="auto"/>
        </w:rPr>
      </w:pPr>
    </w:p>
    <w:p>
      <w:pPr>
        <w:ind w:left="1060" w:hanging="346"/>
        <w:spacing w:after="0"/>
        <w:tabs>
          <w:tab w:leader="none" w:pos="1060" w:val="left"/>
        </w:tabs>
        <w:numPr>
          <w:ilvl w:val="0"/>
          <w:numId w:val="2"/>
        </w:numPr>
        <w:rPr>
          <w:rFonts w:ascii="Arial" w:cs="Arial" w:eastAsia="Arial" w:hAnsi="Arial"/>
          <w:sz w:val="18"/>
          <w:szCs w:val="18"/>
          <w:b w:val="1"/>
          <w:bCs w:val="1"/>
          <w:color w:val="572C83"/>
        </w:rPr>
      </w:pPr>
      <w:r>
        <w:rPr>
          <w:rFonts w:ascii="Arial" w:cs="Arial" w:eastAsia="Arial" w:hAnsi="Arial"/>
          <w:sz w:val="18"/>
          <w:szCs w:val="18"/>
          <w:color w:val="auto"/>
        </w:rPr>
        <w:t>To elect as directors the ten director nominees named in the Proxy Statement ("Proxy Statement");</w:t>
      </w:r>
    </w:p>
    <w:p>
      <w:pPr>
        <w:spacing w:after="0" w:line="103" w:lineRule="exact"/>
        <w:rPr>
          <w:rFonts w:ascii="Arial" w:cs="Arial" w:eastAsia="Arial" w:hAnsi="Arial"/>
          <w:sz w:val="18"/>
          <w:szCs w:val="18"/>
          <w:b w:val="1"/>
          <w:bCs w:val="1"/>
          <w:color w:val="572C83"/>
        </w:rPr>
      </w:pPr>
    </w:p>
    <w:p>
      <w:pPr>
        <w:ind w:left="1060" w:hanging="346"/>
        <w:spacing w:after="0"/>
        <w:tabs>
          <w:tab w:leader="none" w:pos="1060" w:val="left"/>
        </w:tabs>
        <w:numPr>
          <w:ilvl w:val="0"/>
          <w:numId w:val="2"/>
        </w:numPr>
        <w:rPr>
          <w:rFonts w:ascii="Arial" w:cs="Arial" w:eastAsia="Arial" w:hAnsi="Arial"/>
          <w:sz w:val="18"/>
          <w:szCs w:val="18"/>
          <w:b w:val="1"/>
          <w:bCs w:val="1"/>
          <w:color w:val="572C83"/>
        </w:rPr>
      </w:pPr>
      <w:r>
        <w:rPr>
          <w:rFonts w:ascii="Arial" w:cs="Arial" w:eastAsia="Arial" w:hAnsi="Arial"/>
          <w:sz w:val="18"/>
          <w:szCs w:val="18"/>
          <w:color w:val="auto"/>
        </w:rPr>
        <w:t>To approve, on an advisory basis, the Company’s executive compensation;</w:t>
      </w:r>
    </w:p>
    <w:p>
      <w:pPr>
        <w:spacing w:after="0" w:line="103" w:lineRule="exact"/>
        <w:rPr>
          <w:rFonts w:ascii="Arial" w:cs="Arial" w:eastAsia="Arial" w:hAnsi="Arial"/>
          <w:sz w:val="18"/>
          <w:szCs w:val="18"/>
          <w:b w:val="1"/>
          <w:bCs w:val="1"/>
          <w:color w:val="572C83"/>
        </w:rPr>
      </w:pPr>
    </w:p>
    <w:p>
      <w:pPr>
        <w:ind w:left="1060" w:right="960" w:hanging="346"/>
        <w:spacing w:after="0" w:line="271" w:lineRule="auto"/>
        <w:tabs>
          <w:tab w:leader="none" w:pos="1060" w:val="left"/>
        </w:tabs>
        <w:numPr>
          <w:ilvl w:val="0"/>
          <w:numId w:val="2"/>
        </w:numPr>
        <w:rPr>
          <w:rFonts w:ascii="Arial" w:cs="Arial" w:eastAsia="Arial" w:hAnsi="Arial"/>
          <w:sz w:val="18"/>
          <w:szCs w:val="18"/>
          <w:b w:val="1"/>
          <w:bCs w:val="1"/>
          <w:color w:val="572C83"/>
        </w:rPr>
      </w:pPr>
      <w:r>
        <w:rPr>
          <w:rFonts w:ascii="Arial" w:cs="Arial" w:eastAsia="Arial" w:hAnsi="Arial"/>
          <w:sz w:val="18"/>
          <w:szCs w:val="18"/>
          <w:color w:val="auto"/>
        </w:rPr>
        <w:t>To ratify the selection of PricewaterhouseCoopers LLP as the independent registered public accountants for the fiscal year ending December 31, 2022;</w:t>
      </w:r>
    </w:p>
    <w:p>
      <w:pPr>
        <w:spacing w:after="0" w:line="45" w:lineRule="exact"/>
        <w:rPr>
          <w:rFonts w:ascii="Arial" w:cs="Arial" w:eastAsia="Arial" w:hAnsi="Arial"/>
          <w:sz w:val="18"/>
          <w:szCs w:val="18"/>
          <w:b w:val="1"/>
          <w:bCs w:val="1"/>
          <w:color w:val="572C83"/>
        </w:rPr>
      </w:pPr>
    </w:p>
    <w:p>
      <w:pPr>
        <w:ind w:left="1060" w:hanging="346"/>
        <w:spacing w:after="0"/>
        <w:tabs>
          <w:tab w:leader="none" w:pos="1060" w:val="left"/>
        </w:tabs>
        <w:numPr>
          <w:ilvl w:val="0"/>
          <w:numId w:val="2"/>
        </w:numPr>
        <w:rPr>
          <w:rFonts w:ascii="Arial" w:cs="Arial" w:eastAsia="Arial" w:hAnsi="Arial"/>
          <w:sz w:val="18"/>
          <w:szCs w:val="18"/>
          <w:b w:val="1"/>
          <w:bCs w:val="1"/>
          <w:color w:val="572C83"/>
        </w:rPr>
      </w:pPr>
      <w:r>
        <w:rPr>
          <w:rFonts w:ascii="Arial" w:cs="Arial" w:eastAsia="Arial" w:hAnsi="Arial"/>
          <w:sz w:val="18"/>
          <w:szCs w:val="18"/>
          <w:color w:val="auto"/>
        </w:rPr>
        <w:t>To vote on two shareholder proposals if properly presented at the meeting; and</w:t>
      </w:r>
    </w:p>
    <w:p>
      <w:pPr>
        <w:spacing w:after="0" w:line="103" w:lineRule="exact"/>
        <w:rPr>
          <w:rFonts w:ascii="Arial" w:cs="Arial" w:eastAsia="Arial" w:hAnsi="Arial"/>
          <w:sz w:val="18"/>
          <w:szCs w:val="18"/>
          <w:b w:val="1"/>
          <w:bCs w:val="1"/>
          <w:color w:val="572C83"/>
        </w:rPr>
      </w:pPr>
    </w:p>
    <w:p>
      <w:pPr>
        <w:ind w:left="1060" w:hanging="346"/>
        <w:spacing w:after="0"/>
        <w:tabs>
          <w:tab w:leader="none" w:pos="1060" w:val="left"/>
        </w:tabs>
        <w:numPr>
          <w:ilvl w:val="0"/>
          <w:numId w:val="2"/>
        </w:numPr>
        <w:rPr>
          <w:rFonts w:ascii="Arial" w:cs="Arial" w:eastAsia="Arial" w:hAnsi="Arial"/>
          <w:sz w:val="18"/>
          <w:szCs w:val="18"/>
          <w:b w:val="1"/>
          <w:bCs w:val="1"/>
          <w:color w:val="572C83"/>
        </w:rPr>
      </w:pPr>
      <w:r>
        <w:rPr>
          <w:rFonts w:ascii="Arial" w:cs="Arial" w:eastAsia="Arial" w:hAnsi="Arial"/>
          <w:sz w:val="18"/>
          <w:szCs w:val="18"/>
          <w:color w:val="auto"/>
        </w:rPr>
        <w:t>To transact any other business properly presented at the meeting.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FORMAT OF THE ANNUAL MEETING OF SHAREHOLDERS:</w:t>
      </w:r>
    </w:p>
    <w:p>
      <w:pPr>
        <w:spacing w:after="0" w:line="103" w:lineRule="exact"/>
        <w:rPr>
          <w:sz w:val="20"/>
          <w:szCs w:val="20"/>
          <w:color w:val="auto"/>
        </w:rPr>
      </w:pPr>
    </w:p>
    <w:p>
      <w:pPr>
        <w:ind w:right="720"/>
        <w:spacing w:after="0" w:line="238" w:lineRule="auto"/>
        <w:rPr>
          <w:sz w:val="20"/>
          <w:szCs w:val="20"/>
          <w:color w:val="auto"/>
        </w:rPr>
      </w:pPr>
      <w:r>
        <w:rPr>
          <w:rFonts w:ascii="Arial" w:cs="Arial" w:eastAsia="Arial" w:hAnsi="Arial"/>
          <w:sz w:val="22"/>
          <w:szCs w:val="22"/>
          <w:color w:val="auto"/>
        </w:rPr>
        <w:t>The Board of Directors (the "Board") has determined we will hold a virtual 2022 Annual Meeting of Shareholders (the "Annual Meeting") conducted via webcast. We have designed the format of the Annual Meeting so that shareholders have the same rights and opportunities as they would have at a physical meeting. Shareholders will be able to submit questions during the meeting using online tools, providing our shareholders with the opportunity for meaningful engagement with the Company.</w:t>
      </w:r>
    </w:p>
    <w:p>
      <w:pPr>
        <w:spacing w:after="0" w:line="148"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b w:val="1"/>
          <w:bCs w:val="1"/>
          <w:color w:val="582C83"/>
        </w:rPr>
        <w:t xml:space="preserve">Access to the Webcast of the Annual Meeting: </w:t>
      </w:r>
      <w:r>
        <w:rPr>
          <w:rFonts w:ascii="Arial" w:cs="Arial" w:eastAsia="Arial" w:hAnsi="Arial"/>
          <w:sz w:val="22"/>
          <w:szCs w:val="22"/>
          <w:color w:val="000000"/>
        </w:rPr>
        <w:t>The webcast of the Annual Meeting will begin at 9:00 a.m.</w:t>
      </w:r>
      <w:r>
        <w:rPr>
          <w:rFonts w:ascii="Arial" w:cs="Arial" w:eastAsia="Arial" w:hAnsi="Arial"/>
          <w:sz w:val="22"/>
          <w:szCs w:val="22"/>
          <w:b w:val="1"/>
          <w:bCs w:val="1"/>
          <w:color w:val="582C83"/>
        </w:rPr>
        <w:t xml:space="preserve"> </w:t>
      </w:r>
      <w:r>
        <w:rPr>
          <w:rFonts w:ascii="Arial" w:cs="Arial" w:eastAsia="Arial" w:hAnsi="Arial"/>
          <w:sz w:val="22"/>
          <w:szCs w:val="22"/>
          <w:color w:val="000000"/>
        </w:rPr>
        <w:t xml:space="preserve">CDT on May 18, 2022. Online access to the webcast will open 30 minutes prior to the start of the Annual Meeting to allow time for shareholders to log in and test their device’s system. A recording of the Annual Meeting will be available following the meeting in the investor section of our website at </w:t>
      </w:r>
      <w:r>
        <w:rPr>
          <w:rFonts w:ascii="Arial" w:cs="Arial" w:eastAsia="Arial" w:hAnsi="Arial"/>
          <w:sz w:val="22"/>
          <w:szCs w:val="22"/>
          <w:i w:val="1"/>
          <w:iCs w:val="1"/>
          <w:color w:val="582C83"/>
        </w:rPr>
        <w:t>www.mondelezinternational.com</w:t>
      </w:r>
      <w:r>
        <w:rPr>
          <w:rFonts w:ascii="Arial" w:cs="Arial" w:eastAsia="Arial" w:hAnsi="Arial"/>
          <w:sz w:val="22"/>
          <w:szCs w:val="22"/>
          <w:color w:val="000000"/>
        </w:rPr>
        <w:t>.</w:t>
      </w:r>
    </w:p>
    <w:p>
      <w:pPr>
        <w:spacing w:after="0" w:line="150" w:lineRule="exact"/>
        <w:rPr>
          <w:sz w:val="20"/>
          <w:szCs w:val="20"/>
          <w:color w:val="auto"/>
        </w:rPr>
      </w:pPr>
    </w:p>
    <w:p>
      <w:pPr>
        <w:ind w:right="700"/>
        <w:spacing w:after="0" w:line="245" w:lineRule="auto"/>
        <w:rPr>
          <w:sz w:val="20"/>
          <w:szCs w:val="20"/>
          <w:color w:val="auto"/>
        </w:rPr>
      </w:pPr>
      <w:r>
        <w:rPr>
          <w:rFonts w:ascii="Arial" w:cs="Arial" w:eastAsia="Arial" w:hAnsi="Arial"/>
          <w:sz w:val="22"/>
          <w:szCs w:val="22"/>
          <w:b w:val="1"/>
          <w:bCs w:val="1"/>
          <w:color w:val="582C83"/>
        </w:rPr>
        <w:t xml:space="preserve">Log-In Instructions: </w:t>
      </w:r>
      <w:r>
        <w:rPr>
          <w:rFonts w:ascii="Arial" w:cs="Arial" w:eastAsia="Arial" w:hAnsi="Arial"/>
          <w:sz w:val="22"/>
          <w:szCs w:val="22"/>
          <w:color w:val="000000"/>
        </w:rPr>
        <w:t>To attend the Annual Meeting, shareholders will need to log in to</w:t>
      </w:r>
      <w:r>
        <w:rPr>
          <w:rFonts w:ascii="Arial" w:cs="Arial" w:eastAsia="Arial" w:hAnsi="Arial"/>
          <w:sz w:val="22"/>
          <w:szCs w:val="22"/>
          <w:b w:val="1"/>
          <w:bCs w:val="1"/>
          <w:color w:val="582C83"/>
        </w:rPr>
        <w:t xml:space="preserve"> </w:t>
      </w:r>
      <w:r>
        <w:rPr>
          <w:rFonts w:ascii="Arial" w:cs="Arial" w:eastAsia="Arial" w:hAnsi="Arial"/>
          <w:sz w:val="22"/>
          <w:szCs w:val="22"/>
          <w:i w:val="1"/>
          <w:iCs w:val="1"/>
          <w:color w:val="582C83"/>
        </w:rPr>
        <w:t xml:space="preserve">www.virtualshareholdermeeting.com/MDLZ2022 </w:t>
      </w:r>
      <w:r>
        <w:rPr>
          <w:rFonts w:ascii="Arial" w:cs="Arial" w:eastAsia="Arial" w:hAnsi="Arial"/>
          <w:sz w:val="22"/>
          <w:szCs w:val="22"/>
          <w:color w:val="000000"/>
        </w:rPr>
        <w:t>using the 16-digit control number shown on your Notice of</w:t>
      </w:r>
      <w:r>
        <w:rPr>
          <w:rFonts w:ascii="Arial" w:cs="Arial" w:eastAsia="Arial" w:hAnsi="Arial"/>
          <w:sz w:val="22"/>
          <w:szCs w:val="22"/>
          <w:i w:val="1"/>
          <w:iCs w:val="1"/>
          <w:color w:val="582C83"/>
        </w:rPr>
        <w:t xml:space="preserve"> </w:t>
      </w:r>
      <w:r>
        <w:rPr>
          <w:rFonts w:ascii="Arial" w:cs="Arial" w:eastAsia="Arial" w:hAnsi="Arial"/>
          <w:sz w:val="22"/>
          <w:szCs w:val="22"/>
          <w:color w:val="000000"/>
        </w:rPr>
        <w:t>Internet Availability of Proxy Materials, proxy card or voting instruction form (“VIF”).</w:t>
      </w:r>
    </w:p>
    <w:p>
      <w:pPr>
        <w:spacing w:after="0" w:line="143" w:lineRule="exact"/>
        <w:rPr>
          <w:sz w:val="20"/>
          <w:szCs w:val="20"/>
          <w:color w:val="auto"/>
        </w:rPr>
      </w:pPr>
    </w:p>
    <w:p>
      <w:pPr>
        <w:ind w:right="420"/>
        <w:spacing w:after="0" w:line="235" w:lineRule="auto"/>
        <w:rPr>
          <w:sz w:val="20"/>
          <w:szCs w:val="20"/>
          <w:color w:val="auto"/>
        </w:rPr>
      </w:pPr>
      <w:r>
        <w:rPr>
          <w:rFonts w:ascii="Arial" w:cs="Arial" w:eastAsia="Arial" w:hAnsi="Arial"/>
          <w:sz w:val="22"/>
          <w:szCs w:val="22"/>
          <w:b w:val="1"/>
          <w:bCs w:val="1"/>
          <w:color w:val="582C83"/>
        </w:rPr>
        <w:t xml:space="preserve">Submitting Questions at the Annual Meeting: </w:t>
      </w:r>
      <w:r>
        <w:rPr>
          <w:rFonts w:ascii="Arial" w:cs="Arial" w:eastAsia="Arial" w:hAnsi="Arial"/>
          <w:sz w:val="22"/>
          <w:szCs w:val="22"/>
          <w:color w:val="000000"/>
        </w:rPr>
        <w:t>An online portal is available to shareholders at</w:t>
      </w:r>
      <w:r>
        <w:rPr>
          <w:rFonts w:ascii="Arial" w:cs="Arial" w:eastAsia="Arial" w:hAnsi="Arial"/>
          <w:sz w:val="22"/>
          <w:szCs w:val="22"/>
          <w:b w:val="1"/>
          <w:bCs w:val="1"/>
          <w:color w:val="582C83"/>
        </w:rPr>
        <w:t xml:space="preserve"> </w:t>
      </w:r>
      <w:r>
        <w:rPr>
          <w:rFonts w:ascii="Arial" w:cs="Arial" w:eastAsia="Arial" w:hAnsi="Arial"/>
          <w:sz w:val="22"/>
          <w:szCs w:val="22"/>
          <w:i w:val="1"/>
          <w:iCs w:val="1"/>
          <w:color w:val="582C83"/>
        </w:rPr>
        <w:t xml:space="preserve">www.proxyvote.com </w:t>
      </w:r>
      <w:r>
        <w:rPr>
          <w:rFonts w:ascii="Arial" w:cs="Arial" w:eastAsia="Arial" w:hAnsi="Arial"/>
          <w:sz w:val="22"/>
          <w:szCs w:val="22"/>
          <w:color w:val="000000"/>
        </w:rPr>
        <w:t>where they can view and download our proxy materials and our Annual Report on Form</w:t>
      </w:r>
      <w:r>
        <w:rPr>
          <w:rFonts w:ascii="Arial" w:cs="Arial" w:eastAsia="Arial" w:hAnsi="Arial"/>
          <w:sz w:val="22"/>
          <w:szCs w:val="22"/>
          <w:i w:val="1"/>
          <w:iCs w:val="1"/>
          <w:color w:val="582C83"/>
        </w:rPr>
        <w:t xml:space="preserve"> </w:t>
      </w:r>
      <w:r>
        <w:rPr>
          <w:rFonts w:ascii="Arial" w:cs="Arial" w:eastAsia="Arial" w:hAnsi="Arial"/>
          <w:sz w:val="22"/>
          <w:szCs w:val="22"/>
          <w:color w:val="000000"/>
        </w:rPr>
        <w:t xml:space="preserve">10-K for the year ended December 31, 2021, and vote their shares. On the day of, and during, the Annual Meeting, shareholders can view our agenda and meeting procedures and submit questions on </w:t>
      </w:r>
      <w:r>
        <w:rPr>
          <w:rFonts w:ascii="Arial" w:cs="Arial" w:eastAsia="Arial" w:hAnsi="Arial"/>
          <w:sz w:val="22"/>
          <w:szCs w:val="22"/>
          <w:i w:val="1"/>
          <w:iCs w:val="1"/>
          <w:color w:val="582C83"/>
        </w:rPr>
        <w:t>www.virtualshareholdermeeting.com/MDLZ2022</w:t>
      </w:r>
      <w:r>
        <w:rPr>
          <w:rFonts w:ascii="Arial" w:cs="Arial" w:eastAsia="Arial" w:hAnsi="Arial"/>
          <w:sz w:val="22"/>
          <w:szCs w:val="22"/>
          <w:color w:val="000000"/>
        </w:rPr>
        <w:t>. Shareholders must have their 16-digit control number to</w:t>
      </w:r>
      <w:r>
        <w:rPr>
          <w:rFonts w:ascii="Arial" w:cs="Arial" w:eastAsia="Arial" w:hAnsi="Arial"/>
          <w:sz w:val="22"/>
          <w:szCs w:val="22"/>
          <w:i w:val="1"/>
          <w:iCs w:val="1"/>
          <w:color w:val="582C83"/>
        </w:rPr>
        <w:t xml:space="preserve"> </w:t>
      </w:r>
      <w:r>
        <w:rPr>
          <w:rFonts w:ascii="Arial" w:cs="Arial" w:eastAsia="Arial" w:hAnsi="Arial"/>
          <w:sz w:val="22"/>
          <w:szCs w:val="22"/>
          <w:color w:val="000000"/>
        </w:rPr>
        <w:t>submit questions. Shareholders will have an opportunity to raise questions about the items of business for the meeting. In addition, after the business portion of the Annual Meeting concludes and the meeting is adjourned, shareholders will have another opportunity to raise questions of a more general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242570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303530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-107315</wp:posOffset>
            </wp:positionV>
            <wp:extent cx="9855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0880"/>
          </w:cols>
          <w:pgMar w:left="680" w:top="474" w:right="339" w:bottom="1440" w:gutter="0" w:footer="0" w:header="0"/>
        </w:sectPr>
      </w:pPr>
    </w:p>
    <w:bookmarkStart w:id="9" w:name="page10"/>
    <w:bookmarkEnd w:id="9"/>
    <w:p>
      <w:pPr>
        <w:ind w:right="260"/>
        <w:spacing w:after="0" w:line="250" w:lineRule="auto"/>
        <w:rPr>
          <w:sz w:val="20"/>
          <w:szCs w:val="20"/>
          <w:color w:val="auto"/>
        </w:rPr>
      </w:pPr>
      <w:r>
        <w:rPr>
          <w:rFonts w:ascii="Arial" w:cs="Arial" w:eastAsia="Arial" w:hAnsi="Arial"/>
          <w:sz w:val="21"/>
          <w:szCs w:val="21"/>
          <w:color w:val="auto"/>
        </w:rPr>
        <w:t>We intend to answer all questions submitted during the Annual Meeting that are pertinent to the Company and the items being voted on by shareholders, as time permits and in accordance with our meeting procedures. Answers to questions raised that we were unable to answer during the Annual Meeting will be posted following the meeting on the investor relations section of our website. Questions and answers will be grouped by topic, and substantially similar questions will be answered only once. To promote fairness, efficiently use the Company’s resources and address all shareholder questions, we will respond to no more than three questions from any single shareholder.</w:t>
      </w:r>
    </w:p>
    <w:p>
      <w:pPr>
        <w:spacing w:after="0" w:line="137" w:lineRule="exact"/>
        <w:rPr>
          <w:sz w:val="20"/>
          <w:szCs w:val="20"/>
          <w:color w:val="auto"/>
        </w:rPr>
      </w:pPr>
    </w:p>
    <w:p>
      <w:pPr>
        <w:ind w:right="80"/>
        <w:spacing w:after="0"/>
        <w:rPr>
          <w:sz w:val="20"/>
          <w:szCs w:val="20"/>
          <w:color w:val="auto"/>
        </w:rPr>
      </w:pPr>
      <w:r>
        <w:rPr>
          <w:rFonts w:ascii="Arial" w:cs="Arial" w:eastAsia="Arial" w:hAnsi="Arial"/>
          <w:sz w:val="22"/>
          <w:szCs w:val="22"/>
          <w:b w:val="1"/>
          <w:bCs w:val="1"/>
          <w:color w:val="582C83"/>
        </w:rPr>
        <w:t xml:space="preserve">Technical Assistance: </w:t>
      </w:r>
      <w:r>
        <w:rPr>
          <w:rFonts w:ascii="Arial" w:cs="Arial" w:eastAsia="Arial" w:hAnsi="Arial"/>
          <w:sz w:val="22"/>
          <w:szCs w:val="22"/>
          <w:color w:val="000000"/>
        </w:rPr>
        <w:t>Online access to the webcast will open approximately 30 minutes prior to the start of the</w:t>
      </w:r>
      <w:r>
        <w:rPr>
          <w:rFonts w:ascii="Arial" w:cs="Arial" w:eastAsia="Arial" w:hAnsi="Arial"/>
          <w:sz w:val="22"/>
          <w:szCs w:val="22"/>
          <w:b w:val="1"/>
          <w:bCs w:val="1"/>
          <w:color w:val="582C83"/>
        </w:rPr>
        <w:t xml:space="preserve"> </w:t>
      </w:r>
      <w:r>
        <w:rPr>
          <w:rFonts w:ascii="Arial" w:cs="Arial" w:eastAsia="Arial" w:hAnsi="Arial"/>
          <w:sz w:val="22"/>
          <w:szCs w:val="22"/>
          <w:color w:val="000000"/>
        </w:rPr>
        <w:t>Annual Meeting to allow time for shareholders to log in and test their device’s system. We encourage shareholders to access the meeting prior to the start time. If you encounter any difficulties accessing the meeting or during the meeting time, please call 1-844-986-0822 (U.S.) or 1-303-562-9302 (International).</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MAY VOTE: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Shareholders of record of Class A Common Stock at the close of business on </w:t>
      </w:r>
      <w:r>
        <w:rPr>
          <w:rFonts w:ascii="Arial" w:cs="Arial" w:eastAsia="Arial" w:hAnsi="Arial"/>
          <w:sz w:val="22"/>
          <w:szCs w:val="22"/>
          <w:b w:val="1"/>
          <w:bCs w:val="1"/>
          <w:color w:val="auto"/>
        </w:rPr>
        <w:t>March 14, 2022.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DISTRIBUTION:</w:t>
      </w:r>
    </w:p>
    <w:p>
      <w:pPr>
        <w:spacing w:after="0" w:line="60"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 xml:space="preserve">On or about April 6, 2022, we distributed the Notice of Internet Availability of Proxy Materials and made available the Proxy Statement, Proxy Card and Annual Report on Form 10-K for the year ended December 31, 2021 online at </w:t>
      </w:r>
      <w:r>
        <w:rPr>
          <w:rFonts w:ascii="Arial" w:cs="Arial" w:eastAsia="Arial" w:hAnsi="Arial"/>
          <w:sz w:val="22"/>
          <w:szCs w:val="22"/>
          <w:i w:val="1"/>
          <w:iCs w:val="1"/>
          <w:color w:val="582C83"/>
        </w:rPr>
        <w:t>http://materials.proxyvote.com/609207</w:t>
      </w:r>
      <w:r>
        <w:rPr>
          <w:rFonts w:ascii="Arial" w:cs="Arial" w:eastAsia="Arial" w:hAnsi="Arial"/>
          <w:sz w:val="22"/>
          <w:szCs w:val="22"/>
          <w:color w:val="000000"/>
        </w:rPr>
        <w:t>.</w:t>
      </w:r>
    </w:p>
    <w:p>
      <w:pPr>
        <w:spacing w:after="0" w:line="143"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On or about April 6, 2022, we expect to mail the Proxy Statement, Proxy Card and Annual Report on Form 10-K for the year ended December 31, 2021, to shareholders who previously elected to receive a paper copy of the proxy materials.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On behalf of our Board of Directors, management and employees,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080135" cy="29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013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Ellen M. Smith</w:t>
      </w:r>
    </w:p>
    <w:p>
      <w:pPr>
        <w:spacing w:after="0"/>
        <w:rPr>
          <w:sz w:val="20"/>
          <w:szCs w:val="20"/>
          <w:color w:val="auto"/>
        </w:rPr>
      </w:pPr>
      <w:r>
        <w:rPr>
          <w:rFonts w:ascii="Arial" w:cs="Arial" w:eastAsia="Arial" w:hAnsi="Arial"/>
          <w:sz w:val="22"/>
          <w:szCs w:val="22"/>
          <w:color w:val="auto"/>
        </w:rPr>
        <w:t>Senior Vice President &amp; Chief Counsel, Chief Compliance Officer &amp; Corporate Secretary</w:t>
      </w:r>
    </w:p>
    <w:p>
      <w:pPr>
        <w:spacing w:after="0"/>
        <w:rPr>
          <w:sz w:val="20"/>
          <w:szCs w:val="20"/>
          <w:color w:val="auto"/>
        </w:rPr>
      </w:pPr>
      <w:r>
        <w:rPr>
          <w:rFonts w:ascii="Arial" w:cs="Arial" w:eastAsia="Arial" w:hAnsi="Arial"/>
          <w:sz w:val="22"/>
          <w:szCs w:val="22"/>
          <w:color w:val="auto"/>
        </w:rPr>
        <w:t>April 6, 2022</w:t>
      </w:r>
    </w:p>
    <w:p>
      <w:pPr>
        <w:spacing w:after="0" w:line="200" w:lineRule="exact"/>
        <w:rPr>
          <w:sz w:val="20"/>
          <w:szCs w:val="20"/>
          <w:color w:val="auto"/>
        </w:rPr>
      </w:pPr>
    </w:p>
    <w:p>
      <w:pPr>
        <w:spacing w:after="0" w:line="228" w:lineRule="exact"/>
        <w:rPr>
          <w:sz w:val="20"/>
          <w:szCs w:val="20"/>
          <w:color w:val="auto"/>
        </w:rPr>
      </w:pPr>
    </w:p>
    <w:p>
      <w:pPr>
        <w:spacing w:after="0" w:line="288" w:lineRule="auto"/>
        <w:rPr>
          <w:sz w:val="20"/>
          <w:szCs w:val="20"/>
          <w:color w:val="auto"/>
        </w:rPr>
      </w:pPr>
      <w:r>
        <w:rPr>
          <w:rFonts w:ascii="Arial" w:cs="Arial" w:eastAsia="Arial" w:hAnsi="Arial"/>
          <w:sz w:val="24"/>
          <w:szCs w:val="24"/>
          <w:b w:val="1"/>
          <w:bCs w:val="1"/>
          <w:color w:val="582C83"/>
        </w:rPr>
        <w:t>IMPORTANT NOTICE REGARDING THE AVAILABILITY OF PROXY MATERIALS FOR THE ANNUAL MEETING OF SHAREHOLDERS TO BE HELD ON MAY 18, 2022</w:t>
      </w:r>
    </w:p>
    <w:p>
      <w:pPr>
        <w:spacing w:after="0" w:line="1"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 xml:space="preserve">Mondelēz International, Inc.’s Proxy Statement and Annual Report on Form 10-K for the year ended December 31, 2021, are available at </w:t>
      </w:r>
      <w:r>
        <w:rPr>
          <w:rFonts w:ascii="Arial" w:cs="Arial" w:eastAsia="Arial" w:hAnsi="Arial"/>
          <w:sz w:val="22"/>
          <w:szCs w:val="22"/>
          <w:i w:val="1"/>
          <w:iCs w:val="1"/>
          <w:color w:val="582C83"/>
        </w:rPr>
        <w:t>http://materials.proxyvote.com/609207</w:t>
      </w:r>
      <w:r>
        <w:rPr>
          <w:rFonts w:ascii="Arial" w:cs="Arial" w:eastAsia="Arial" w:hAnsi="Arial"/>
          <w:sz w:val="22"/>
          <w:szCs w:val="22"/>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40" w:type="dxa"/>
            <w:vAlign w:val="bottom"/>
            <w:tcBorders>
              <w:right w:val="single" w:sz="8" w:color="582C83"/>
            </w:tcBorders>
          </w:tcPr>
          <w:p>
            <w:pPr>
              <w:spacing w:after="0"/>
              <w:rPr>
                <w:sz w:val="24"/>
                <w:szCs w:val="24"/>
                <w:color w:val="auto"/>
              </w:rPr>
            </w:pPr>
          </w:p>
        </w:tc>
        <w:tc>
          <w:tcPr>
            <w:tcW w:w="3420" w:type="dxa"/>
            <w:vAlign w:val="bottom"/>
            <w:tcBorders>
              <w:top w:val="single" w:sz="8" w:color="582C83"/>
            </w:tcBorders>
          </w:tcPr>
          <w:p>
            <w:pPr>
              <w:ind w:left="140"/>
              <w:spacing w:after="0"/>
              <w:rPr>
                <w:sz w:val="20"/>
                <w:szCs w:val="20"/>
                <w:color w:val="auto"/>
              </w:rPr>
            </w:pPr>
            <w:r>
              <w:rPr>
                <w:rFonts w:ascii="Arial" w:cs="Arial" w:eastAsia="Arial" w:hAnsi="Arial"/>
                <w:sz w:val="22"/>
                <w:szCs w:val="22"/>
                <w:b w:val="1"/>
                <w:bCs w:val="1"/>
                <w:color w:val="582C83"/>
              </w:rPr>
              <w:t>HOW TO VOTE</w:t>
            </w:r>
          </w:p>
        </w:tc>
        <w:tc>
          <w:tcPr>
            <w:tcW w:w="1920" w:type="dxa"/>
            <w:vAlign w:val="bottom"/>
            <w:tcBorders>
              <w:top w:val="single" w:sz="8" w:color="582C83"/>
            </w:tcBorders>
          </w:tcPr>
          <w:p>
            <w:pPr>
              <w:spacing w:after="0"/>
              <w:rPr>
                <w:sz w:val="24"/>
                <w:szCs w:val="24"/>
                <w:color w:val="auto"/>
              </w:rPr>
            </w:pPr>
          </w:p>
        </w:tc>
        <w:tc>
          <w:tcPr>
            <w:tcW w:w="1940" w:type="dxa"/>
            <w:vAlign w:val="bottom"/>
            <w:tcBorders>
              <w:top w:val="single" w:sz="8" w:color="582C83"/>
            </w:tcBorders>
          </w:tcPr>
          <w:p>
            <w:pPr>
              <w:spacing w:after="0"/>
              <w:rPr>
                <w:sz w:val="24"/>
                <w:szCs w:val="24"/>
                <w:color w:val="auto"/>
              </w:rPr>
            </w:pPr>
          </w:p>
        </w:tc>
        <w:tc>
          <w:tcPr>
            <w:tcW w:w="1940" w:type="dxa"/>
            <w:vAlign w:val="bottom"/>
            <w:tcBorders>
              <w:top w:val="single" w:sz="8" w:color="582C83"/>
            </w:tcBorders>
          </w:tcPr>
          <w:p>
            <w:pPr>
              <w:spacing w:after="0"/>
              <w:rPr>
                <w:sz w:val="24"/>
                <w:szCs w:val="24"/>
                <w:color w:val="auto"/>
              </w:rPr>
            </w:pPr>
          </w:p>
        </w:tc>
        <w:tc>
          <w:tcPr>
            <w:tcW w:w="1980" w:type="dxa"/>
            <w:vAlign w:val="bottom"/>
            <w:tcBorders>
              <w:top w:val="single" w:sz="8" w:color="582C83"/>
              <w:right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582C83"/>
            </w:tcBorders>
          </w:tcPr>
          <w:p>
            <w:pPr>
              <w:spacing w:after="0"/>
              <w:rPr>
                <w:sz w:val="22"/>
                <w:szCs w:val="22"/>
                <w:color w:val="auto"/>
              </w:rPr>
            </w:pPr>
          </w:p>
        </w:tc>
        <w:tc>
          <w:tcPr>
            <w:tcW w:w="3420" w:type="dxa"/>
            <w:vAlign w:val="bottom"/>
          </w:tcPr>
          <w:p>
            <w:pPr>
              <w:ind w:left="140"/>
              <w:spacing w:after="0"/>
              <w:rPr>
                <w:sz w:val="20"/>
                <w:szCs w:val="20"/>
                <w:color w:val="auto"/>
              </w:rPr>
            </w:pPr>
            <w:r>
              <w:rPr>
                <w:rFonts w:ascii="Arial" w:cs="Arial" w:eastAsia="Arial" w:hAnsi="Arial"/>
                <w:sz w:val="19"/>
                <w:szCs w:val="19"/>
                <w:b w:val="1"/>
                <w:bCs w:val="1"/>
                <w:color w:val="auto"/>
              </w:rPr>
              <w:t>Even if you plan to attend the</w:t>
            </w:r>
          </w:p>
        </w:tc>
        <w:tc>
          <w:tcPr>
            <w:tcW w:w="19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980" w:type="dxa"/>
            <w:vAlign w:val="bottom"/>
            <w:tcBorders>
              <w:right w:val="single" w:sz="8" w:color="582C83"/>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582C83"/>
            </w:tcBorders>
          </w:tcPr>
          <w:p>
            <w:pPr>
              <w:spacing w:after="0"/>
              <w:rPr>
                <w:sz w:val="18"/>
                <w:szCs w:val="18"/>
                <w:color w:val="auto"/>
              </w:rPr>
            </w:pPr>
          </w:p>
        </w:tc>
        <w:tc>
          <w:tcPr>
            <w:tcW w:w="3420" w:type="dxa"/>
            <w:vAlign w:val="bottom"/>
          </w:tcPr>
          <w:p>
            <w:pPr>
              <w:ind w:left="140"/>
              <w:spacing w:after="0" w:line="216" w:lineRule="exact"/>
              <w:rPr>
                <w:sz w:val="20"/>
                <w:szCs w:val="20"/>
                <w:color w:val="auto"/>
              </w:rPr>
            </w:pPr>
            <w:r>
              <w:rPr>
                <w:rFonts w:ascii="Arial" w:cs="Arial" w:eastAsia="Arial" w:hAnsi="Arial"/>
                <w:sz w:val="19"/>
                <w:szCs w:val="19"/>
                <w:b w:val="1"/>
                <w:bCs w:val="1"/>
                <w:color w:val="auto"/>
              </w:rPr>
              <w:t>Annual Meeting online, please vote</w:t>
            </w:r>
          </w:p>
        </w:tc>
        <w:tc>
          <w:tcPr>
            <w:tcW w:w="1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6"/>
              </w:rPr>
              <w:t>VIA THE</w:t>
            </w:r>
          </w:p>
        </w:tc>
        <w:tc>
          <w:tcPr>
            <w:tcW w:w="19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WITH YOUR</w:t>
            </w:r>
          </w:p>
        </w:tc>
        <w:tc>
          <w:tcPr>
            <w:tcW w:w="19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BY TELEPHONE</w:t>
            </w:r>
          </w:p>
        </w:tc>
        <w:tc>
          <w:tcPr>
            <w:tcW w:w="198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7"/>
              </w:rPr>
              <w:t>BY MAIL</w:t>
            </w:r>
          </w:p>
        </w:tc>
        <w:tc>
          <w:tcPr>
            <w:tcW w:w="0" w:type="dxa"/>
            <w:vAlign w:val="bottom"/>
          </w:tcPr>
          <w:p>
            <w:pPr>
              <w:spacing w:after="0"/>
              <w:rPr>
                <w:sz w:val="1"/>
                <w:szCs w:val="1"/>
                <w:color w:val="auto"/>
              </w:rPr>
            </w:pPr>
          </w:p>
        </w:tc>
      </w:tr>
      <w:tr>
        <w:trPr>
          <w:trHeight w:val="107"/>
        </w:trPr>
        <w:tc>
          <w:tcPr>
            <w:tcW w:w="40" w:type="dxa"/>
            <w:vAlign w:val="bottom"/>
            <w:tcBorders>
              <w:right w:val="single" w:sz="8" w:color="582C83"/>
            </w:tcBorders>
          </w:tcPr>
          <w:p>
            <w:pPr>
              <w:spacing w:after="0"/>
              <w:rPr>
                <w:sz w:val="9"/>
                <w:szCs w:val="9"/>
                <w:color w:val="auto"/>
              </w:rPr>
            </w:pPr>
          </w:p>
        </w:tc>
        <w:tc>
          <w:tcPr>
            <w:tcW w:w="3420" w:type="dxa"/>
            <w:vAlign w:val="bottom"/>
            <w:vMerge w:val="restart"/>
          </w:tcPr>
          <w:p>
            <w:pPr>
              <w:ind w:left="140"/>
              <w:spacing w:after="0" w:line="216" w:lineRule="exact"/>
              <w:rPr>
                <w:sz w:val="20"/>
                <w:szCs w:val="20"/>
                <w:color w:val="auto"/>
              </w:rPr>
            </w:pPr>
            <w:r>
              <w:rPr>
                <w:rFonts w:ascii="Arial" w:cs="Arial" w:eastAsia="Arial" w:hAnsi="Arial"/>
                <w:sz w:val="19"/>
                <w:szCs w:val="19"/>
                <w:b w:val="1"/>
                <w:bCs w:val="1"/>
                <w:color w:val="auto"/>
              </w:rPr>
              <w:t>in advance of the meeting using</w:t>
            </w:r>
          </w:p>
        </w:tc>
        <w:tc>
          <w:tcPr>
            <w:tcW w:w="192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198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582C83"/>
            </w:tcBorders>
          </w:tcPr>
          <w:p>
            <w:pPr>
              <w:spacing w:after="0"/>
              <w:rPr>
                <w:sz w:val="9"/>
                <w:szCs w:val="9"/>
                <w:color w:val="auto"/>
              </w:rPr>
            </w:pPr>
          </w:p>
        </w:tc>
        <w:tc>
          <w:tcPr>
            <w:tcW w:w="3420" w:type="dxa"/>
            <w:vAlign w:val="bottom"/>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8"/>
              </w:rPr>
              <w:t>INTERNET</w:t>
            </w:r>
          </w:p>
        </w:tc>
        <w:tc>
          <w:tcPr>
            <w:tcW w:w="19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9"/>
              </w:rPr>
              <w:t>MOBILE DEVICE</w:t>
            </w:r>
          </w:p>
        </w:tc>
        <w:tc>
          <w:tcPr>
            <w:tcW w:w="1940" w:type="dxa"/>
            <w:vAlign w:val="bottom"/>
            <w:vMerge w:val="restart"/>
          </w:tcPr>
          <w:p>
            <w:pPr>
              <w:jc w:val="center"/>
              <w:spacing w:after="0"/>
              <w:rPr>
                <w:sz w:val="20"/>
                <w:szCs w:val="20"/>
                <w:color w:val="auto"/>
              </w:rPr>
            </w:pPr>
            <w:r>
              <w:rPr>
                <w:rFonts w:ascii="Arial" w:cs="Arial" w:eastAsia="Arial" w:hAnsi="Arial"/>
                <w:sz w:val="22"/>
                <w:szCs w:val="22"/>
                <w:color w:val="auto"/>
                <w:w w:val="98"/>
              </w:rPr>
              <w:t>Call the telephone</w:t>
            </w:r>
          </w:p>
        </w:tc>
        <w:tc>
          <w:tcPr>
            <w:tcW w:w="198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If you received</w:t>
            </w:r>
          </w:p>
        </w:tc>
        <w:tc>
          <w:tcPr>
            <w:tcW w:w="0" w:type="dxa"/>
            <w:vAlign w:val="bottom"/>
          </w:tcPr>
          <w:p>
            <w:pPr>
              <w:spacing w:after="0"/>
              <w:rPr>
                <w:sz w:val="1"/>
                <w:szCs w:val="1"/>
                <w:color w:val="auto"/>
              </w:rPr>
            </w:pPr>
          </w:p>
        </w:tc>
      </w:tr>
      <w:tr>
        <w:trPr>
          <w:trHeight w:val="189"/>
        </w:trPr>
        <w:tc>
          <w:tcPr>
            <w:tcW w:w="40" w:type="dxa"/>
            <w:vAlign w:val="bottom"/>
            <w:tcBorders>
              <w:right w:val="single" w:sz="8" w:color="582C83"/>
            </w:tcBorders>
          </w:tcPr>
          <w:p>
            <w:pPr>
              <w:spacing w:after="0"/>
              <w:rPr>
                <w:sz w:val="16"/>
                <w:szCs w:val="16"/>
                <w:color w:val="auto"/>
              </w:rPr>
            </w:pPr>
          </w:p>
        </w:tc>
        <w:tc>
          <w:tcPr>
            <w:tcW w:w="3420" w:type="dxa"/>
            <w:vAlign w:val="bottom"/>
          </w:tcPr>
          <w:p>
            <w:pPr>
              <w:ind w:left="140"/>
              <w:spacing w:after="0" w:line="189" w:lineRule="exact"/>
              <w:rPr>
                <w:sz w:val="20"/>
                <w:szCs w:val="20"/>
                <w:color w:val="auto"/>
              </w:rPr>
            </w:pPr>
            <w:r>
              <w:rPr>
                <w:rFonts w:ascii="Arial" w:cs="Arial" w:eastAsia="Arial" w:hAnsi="Arial"/>
                <w:sz w:val="19"/>
                <w:szCs w:val="19"/>
                <w:b w:val="1"/>
                <w:bCs w:val="1"/>
                <w:color w:val="auto"/>
              </w:rPr>
              <w:t>one of the following voting</w:t>
            </w:r>
          </w:p>
        </w:tc>
        <w:tc>
          <w:tcPr>
            <w:tcW w:w="19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1980" w:type="dxa"/>
            <w:vAlign w:val="bottom"/>
            <w:tcBorders>
              <w:right w:val="single" w:sz="8" w:color="582C8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582C83"/>
            </w:tcBorders>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9"/>
                <w:szCs w:val="19"/>
                <w:b w:val="1"/>
                <w:bCs w:val="1"/>
                <w:color w:val="auto"/>
              </w:rPr>
              <w:t>methods (see Question 12 on page</w:t>
            </w:r>
          </w:p>
        </w:tc>
        <w:tc>
          <w:tcPr>
            <w:tcW w:w="1920" w:type="dxa"/>
            <w:vAlign w:val="bottom"/>
          </w:tcPr>
          <w:p>
            <w:pPr>
              <w:jc w:val="center"/>
              <w:spacing w:after="0" w:line="230" w:lineRule="exact"/>
              <w:rPr>
                <w:sz w:val="20"/>
                <w:szCs w:val="20"/>
                <w:color w:val="auto"/>
              </w:rPr>
            </w:pPr>
            <w:r>
              <w:rPr>
                <w:rFonts w:ascii="Arial" w:cs="Arial" w:eastAsia="Arial" w:hAnsi="Arial"/>
                <w:sz w:val="22"/>
                <w:szCs w:val="22"/>
                <w:color w:val="auto"/>
                <w:w w:val="96"/>
              </w:rPr>
              <w:t>Visit the website</w:t>
            </w:r>
          </w:p>
        </w:tc>
        <w:tc>
          <w:tcPr>
            <w:tcW w:w="1940" w:type="dxa"/>
            <w:vAlign w:val="bottom"/>
          </w:tcPr>
          <w:p>
            <w:pPr>
              <w:jc w:val="center"/>
              <w:spacing w:after="0" w:line="230" w:lineRule="exact"/>
              <w:rPr>
                <w:sz w:val="20"/>
                <w:szCs w:val="20"/>
                <w:color w:val="auto"/>
              </w:rPr>
            </w:pPr>
            <w:r>
              <w:rPr>
                <w:rFonts w:ascii="Arial" w:cs="Arial" w:eastAsia="Arial" w:hAnsi="Arial"/>
                <w:sz w:val="22"/>
                <w:szCs w:val="22"/>
                <w:color w:val="auto"/>
                <w:w w:val="98"/>
              </w:rPr>
              <w:t>Scan the QR</w:t>
            </w:r>
          </w:p>
        </w:tc>
        <w:tc>
          <w:tcPr>
            <w:tcW w:w="1940" w:type="dxa"/>
            <w:vAlign w:val="bottom"/>
          </w:tcPr>
          <w:p>
            <w:pPr>
              <w:jc w:val="center"/>
              <w:spacing w:after="0" w:line="230" w:lineRule="exact"/>
              <w:rPr>
                <w:sz w:val="20"/>
                <w:szCs w:val="20"/>
                <w:color w:val="auto"/>
              </w:rPr>
            </w:pPr>
            <w:r>
              <w:rPr>
                <w:rFonts w:ascii="Arial" w:cs="Arial" w:eastAsia="Arial" w:hAnsi="Arial"/>
                <w:sz w:val="22"/>
                <w:szCs w:val="22"/>
                <w:color w:val="auto"/>
                <w:w w:val="98"/>
              </w:rPr>
              <w:t>number on your</w:t>
            </w:r>
          </w:p>
        </w:tc>
        <w:tc>
          <w:tcPr>
            <w:tcW w:w="1980" w:type="dxa"/>
            <w:vAlign w:val="bottom"/>
            <w:tcBorders>
              <w:right w:val="single" w:sz="8" w:color="582C83"/>
            </w:tcBorders>
          </w:tcPr>
          <w:p>
            <w:pPr>
              <w:jc w:val="center"/>
              <w:spacing w:after="0" w:line="230" w:lineRule="exact"/>
              <w:rPr>
                <w:sz w:val="20"/>
                <w:szCs w:val="20"/>
                <w:color w:val="auto"/>
              </w:rPr>
            </w:pPr>
            <w:r>
              <w:rPr>
                <w:rFonts w:ascii="Arial" w:cs="Arial" w:eastAsia="Arial" w:hAnsi="Arial"/>
                <w:sz w:val="22"/>
                <w:szCs w:val="22"/>
                <w:color w:val="auto"/>
                <w:w w:val="98"/>
              </w:rPr>
              <w:t>paper copies of</w:t>
            </w:r>
          </w:p>
        </w:tc>
        <w:tc>
          <w:tcPr>
            <w:tcW w:w="0" w:type="dxa"/>
            <w:vAlign w:val="bottom"/>
          </w:tcPr>
          <w:p>
            <w:pPr>
              <w:spacing w:after="0"/>
              <w:rPr>
                <w:sz w:val="1"/>
                <w:szCs w:val="1"/>
                <w:color w:val="auto"/>
              </w:rPr>
            </w:pPr>
          </w:p>
        </w:tc>
      </w:tr>
      <w:tr>
        <w:trPr>
          <w:trHeight w:val="229"/>
        </w:trPr>
        <w:tc>
          <w:tcPr>
            <w:tcW w:w="40" w:type="dxa"/>
            <w:vAlign w:val="bottom"/>
            <w:tcBorders>
              <w:right w:val="single" w:sz="8" w:color="582C83"/>
            </w:tcBorders>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9"/>
                <w:szCs w:val="19"/>
                <w:b w:val="1"/>
                <w:bCs w:val="1"/>
                <w:color w:val="auto"/>
              </w:rPr>
              <w:t>121 for additional details). If you</w:t>
            </w:r>
          </w:p>
        </w:tc>
        <w:tc>
          <w:tcPr>
            <w:tcW w:w="1920" w:type="dxa"/>
            <w:vAlign w:val="bottom"/>
          </w:tcPr>
          <w:p>
            <w:pPr>
              <w:jc w:val="center"/>
              <w:spacing w:after="0" w:line="229" w:lineRule="exact"/>
              <w:rPr>
                <w:sz w:val="20"/>
                <w:szCs w:val="20"/>
                <w:color w:val="auto"/>
              </w:rPr>
            </w:pPr>
            <w:r>
              <w:rPr>
                <w:rFonts w:ascii="Arial" w:cs="Arial" w:eastAsia="Arial" w:hAnsi="Arial"/>
                <w:sz w:val="22"/>
                <w:szCs w:val="22"/>
                <w:color w:val="auto"/>
                <w:w w:val="99"/>
              </w:rPr>
              <w:t>listed on your</w:t>
            </w:r>
          </w:p>
        </w:tc>
        <w:tc>
          <w:tcPr>
            <w:tcW w:w="1940" w:type="dxa"/>
            <w:vAlign w:val="bottom"/>
          </w:tcPr>
          <w:p>
            <w:pPr>
              <w:jc w:val="center"/>
              <w:spacing w:after="0" w:line="229" w:lineRule="exact"/>
              <w:rPr>
                <w:sz w:val="20"/>
                <w:szCs w:val="20"/>
                <w:color w:val="auto"/>
              </w:rPr>
            </w:pPr>
            <w:r>
              <w:rPr>
                <w:rFonts w:ascii="Arial" w:cs="Arial" w:eastAsia="Arial" w:hAnsi="Arial"/>
                <w:sz w:val="22"/>
                <w:szCs w:val="22"/>
                <w:color w:val="auto"/>
                <w:w w:val="98"/>
              </w:rPr>
              <w:t>barcode on your</w:t>
            </w:r>
          </w:p>
        </w:tc>
        <w:tc>
          <w:tcPr>
            <w:tcW w:w="1940" w:type="dxa"/>
            <w:vAlign w:val="bottom"/>
          </w:tcPr>
          <w:p>
            <w:pPr>
              <w:jc w:val="center"/>
              <w:spacing w:after="0" w:line="229" w:lineRule="exact"/>
              <w:rPr>
                <w:sz w:val="20"/>
                <w:szCs w:val="20"/>
                <w:color w:val="auto"/>
              </w:rPr>
            </w:pPr>
            <w:r>
              <w:rPr>
                <w:rFonts w:ascii="Arial" w:cs="Arial" w:eastAsia="Arial" w:hAnsi="Arial"/>
                <w:sz w:val="22"/>
                <w:szCs w:val="22"/>
                <w:color w:val="auto"/>
                <w:w w:val="97"/>
              </w:rPr>
              <w:t>Notice of Internet</w:t>
            </w:r>
          </w:p>
        </w:tc>
        <w:tc>
          <w:tcPr>
            <w:tcW w:w="1980" w:type="dxa"/>
            <w:vAlign w:val="bottom"/>
            <w:tcBorders>
              <w:right w:val="single" w:sz="8" w:color="582C83"/>
            </w:tcBorders>
          </w:tcPr>
          <w:p>
            <w:pPr>
              <w:jc w:val="center"/>
              <w:spacing w:after="0" w:line="229" w:lineRule="exact"/>
              <w:rPr>
                <w:sz w:val="20"/>
                <w:szCs w:val="20"/>
                <w:color w:val="auto"/>
              </w:rPr>
            </w:pPr>
            <w:r>
              <w:rPr>
                <w:rFonts w:ascii="Arial" w:cs="Arial" w:eastAsia="Arial" w:hAnsi="Arial"/>
                <w:sz w:val="22"/>
                <w:szCs w:val="22"/>
                <w:color w:val="auto"/>
                <w:w w:val="97"/>
              </w:rPr>
              <w:t>your proxy</w:t>
            </w:r>
          </w:p>
        </w:tc>
        <w:tc>
          <w:tcPr>
            <w:tcW w:w="0" w:type="dxa"/>
            <w:vAlign w:val="bottom"/>
          </w:tcPr>
          <w:p>
            <w:pPr>
              <w:spacing w:after="0"/>
              <w:rPr>
                <w:sz w:val="1"/>
                <w:szCs w:val="1"/>
                <w:color w:val="auto"/>
              </w:rPr>
            </w:pPr>
          </w:p>
        </w:tc>
      </w:tr>
      <w:tr>
        <w:trPr>
          <w:trHeight w:val="230"/>
        </w:trPr>
        <w:tc>
          <w:tcPr>
            <w:tcW w:w="40" w:type="dxa"/>
            <w:vAlign w:val="bottom"/>
            <w:tcBorders>
              <w:right w:val="single" w:sz="8" w:color="582C83"/>
            </w:tcBorders>
          </w:tcPr>
          <w:p>
            <w:pPr>
              <w:spacing w:after="0"/>
              <w:rPr>
                <w:sz w:val="19"/>
                <w:szCs w:val="19"/>
                <w:color w:val="auto"/>
              </w:rPr>
            </w:pPr>
          </w:p>
        </w:tc>
        <w:tc>
          <w:tcPr>
            <w:tcW w:w="3420" w:type="dxa"/>
            <w:vAlign w:val="bottom"/>
          </w:tcPr>
          <w:p>
            <w:pPr>
              <w:ind w:left="140"/>
              <w:spacing w:after="0"/>
              <w:rPr>
                <w:sz w:val="20"/>
                <w:szCs w:val="20"/>
                <w:color w:val="auto"/>
              </w:rPr>
            </w:pPr>
            <w:r>
              <w:rPr>
                <w:rFonts w:ascii="Arial" w:cs="Arial" w:eastAsia="Arial" w:hAnsi="Arial"/>
                <w:sz w:val="19"/>
                <w:szCs w:val="19"/>
                <w:b w:val="1"/>
                <w:bCs w:val="1"/>
                <w:color w:val="auto"/>
              </w:rPr>
              <w:t>are voting via the Internet, with</w:t>
            </w:r>
          </w:p>
        </w:tc>
        <w:tc>
          <w:tcPr>
            <w:tcW w:w="1920" w:type="dxa"/>
            <w:vAlign w:val="bottom"/>
          </w:tcPr>
          <w:p>
            <w:pPr>
              <w:jc w:val="center"/>
              <w:spacing w:after="0" w:line="229" w:lineRule="exact"/>
              <w:rPr>
                <w:sz w:val="20"/>
                <w:szCs w:val="20"/>
                <w:color w:val="auto"/>
              </w:rPr>
            </w:pPr>
            <w:r>
              <w:rPr>
                <w:rFonts w:ascii="Arial" w:cs="Arial" w:eastAsia="Arial" w:hAnsi="Arial"/>
                <w:sz w:val="22"/>
                <w:szCs w:val="22"/>
                <w:color w:val="auto"/>
                <w:w w:val="99"/>
              </w:rPr>
              <w:t>Notice of Internet</w:t>
            </w:r>
          </w:p>
        </w:tc>
        <w:tc>
          <w:tcPr>
            <w:tcW w:w="1940" w:type="dxa"/>
            <w:vAlign w:val="bottom"/>
          </w:tcPr>
          <w:p>
            <w:pPr>
              <w:jc w:val="center"/>
              <w:spacing w:after="0" w:line="229" w:lineRule="exact"/>
              <w:rPr>
                <w:sz w:val="20"/>
                <w:szCs w:val="20"/>
                <w:color w:val="auto"/>
              </w:rPr>
            </w:pPr>
            <w:r>
              <w:rPr>
                <w:rFonts w:ascii="Arial" w:cs="Arial" w:eastAsia="Arial" w:hAnsi="Arial"/>
                <w:sz w:val="22"/>
                <w:szCs w:val="22"/>
                <w:color w:val="auto"/>
                <w:w w:val="97"/>
              </w:rPr>
              <w:t>Notice of Internet</w:t>
            </w:r>
          </w:p>
        </w:tc>
        <w:tc>
          <w:tcPr>
            <w:tcW w:w="1940" w:type="dxa"/>
            <w:vAlign w:val="bottom"/>
          </w:tcPr>
          <w:p>
            <w:pPr>
              <w:jc w:val="center"/>
              <w:spacing w:after="0" w:line="229" w:lineRule="exact"/>
              <w:rPr>
                <w:sz w:val="20"/>
                <w:szCs w:val="20"/>
                <w:color w:val="auto"/>
              </w:rPr>
            </w:pPr>
            <w:r>
              <w:rPr>
                <w:rFonts w:ascii="Arial" w:cs="Arial" w:eastAsia="Arial" w:hAnsi="Arial"/>
                <w:sz w:val="22"/>
                <w:szCs w:val="22"/>
                <w:color w:val="auto"/>
                <w:w w:val="98"/>
              </w:rPr>
              <w:t>Availability of</w:t>
            </w:r>
          </w:p>
        </w:tc>
        <w:tc>
          <w:tcPr>
            <w:tcW w:w="1980" w:type="dxa"/>
            <w:vAlign w:val="bottom"/>
            <w:tcBorders>
              <w:right w:val="single" w:sz="8" w:color="582C83"/>
            </w:tcBorders>
          </w:tcPr>
          <w:p>
            <w:pPr>
              <w:jc w:val="center"/>
              <w:spacing w:after="0" w:line="229" w:lineRule="exact"/>
              <w:rPr>
                <w:sz w:val="20"/>
                <w:szCs w:val="20"/>
                <w:color w:val="auto"/>
              </w:rPr>
            </w:pPr>
            <w:r>
              <w:rPr>
                <w:rFonts w:ascii="Arial" w:cs="Arial" w:eastAsia="Arial" w:hAnsi="Arial"/>
                <w:sz w:val="22"/>
                <w:szCs w:val="22"/>
                <w:color w:val="auto"/>
                <w:w w:val="97"/>
              </w:rPr>
              <w:t>materials, mark,</w:t>
            </w:r>
          </w:p>
        </w:tc>
        <w:tc>
          <w:tcPr>
            <w:tcW w:w="0" w:type="dxa"/>
            <w:vAlign w:val="bottom"/>
          </w:tcPr>
          <w:p>
            <w:pPr>
              <w:spacing w:after="0"/>
              <w:rPr>
                <w:sz w:val="1"/>
                <w:szCs w:val="1"/>
                <w:color w:val="auto"/>
              </w:rPr>
            </w:pPr>
          </w:p>
        </w:tc>
      </w:tr>
      <w:tr>
        <w:trPr>
          <w:trHeight w:val="243"/>
        </w:trPr>
        <w:tc>
          <w:tcPr>
            <w:tcW w:w="40" w:type="dxa"/>
            <w:vAlign w:val="bottom"/>
            <w:tcBorders>
              <w:right w:val="single" w:sz="8" w:color="582C83"/>
            </w:tcBorders>
          </w:tcPr>
          <w:p>
            <w:pPr>
              <w:spacing w:after="0"/>
              <w:rPr>
                <w:sz w:val="21"/>
                <w:szCs w:val="21"/>
                <w:color w:val="auto"/>
              </w:rPr>
            </w:pPr>
          </w:p>
        </w:tc>
        <w:tc>
          <w:tcPr>
            <w:tcW w:w="3420" w:type="dxa"/>
            <w:vAlign w:val="bottom"/>
          </w:tcPr>
          <w:p>
            <w:pPr>
              <w:ind w:left="140"/>
              <w:spacing w:after="0"/>
              <w:rPr>
                <w:sz w:val="20"/>
                <w:szCs w:val="20"/>
                <w:color w:val="auto"/>
              </w:rPr>
            </w:pPr>
            <w:r>
              <w:rPr>
                <w:rFonts w:ascii="Arial" w:cs="Arial" w:eastAsia="Arial" w:hAnsi="Arial"/>
                <w:sz w:val="19"/>
                <w:szCs w:val="19"/>
                <w:b w:val="1"/>
                <w:bCs w:val="1"/>
                <w:color w:val="auto"/>
              </w:rPr>
              <w:t>your mobile phone or by</w:t>
            </w:r>
          </w:p>
        </w:tc>
        <w:tc>
          <w:tcPr>
            <w:tcW w:w="1920" w:type="dxa"/>
            <w:vAlign w:val="bottom"/>
          </w:tcPr>
          <w:p>
            <w:pPr>
              <w:jc w:val="center"/>
              <w:spacing w:after="0" w:line="243" w:lineRule="exact"/>
              <w:rPr>
                <w:sz w:val="20"/>
                <w:szCs w:val="20"/>
                <w:color w:val="auto"/>
              </w:rPr>
            </w:pPr>
            <w:r>
              <w:rPr>
                <w:rFonts w:ascii="Arial" w:cs="Arial" w:eastAsia="Arial" w:hAnsi="Arial"/>
                <w:sz w:val="22"/>
                <w:szCs w:val="22"/>
                <w:color w:val="auto"/>
                <w:w w:val="98"/>
              </w:rPr>
              <w:t>Availability of</w:t>
            </w:r>
          </w:p>
        </w:tc>
        <w:tc>
          <w:tcPr>
            <w:tcW w:w="1940" w:type="dxa"/>
            <w:vAlign w:val="bottom"/>
          </w:tcPr>
          <w:p>
            <w:pPr>
              <w:jc w:val="center"/>
              <w:spacing w:after="0" w:line="243" w:lineRule="exact"/>
              <w:rPr>
                <w:sz w:val="20"/>
                <w:szCs w:val="20"/>
                <w:color w:val="auto"/>
              </w:rPr>
            </w:pPr>
            <w:r>
              <w:rPr>
                <w:rFonts w:ascii="Arial" w:cs="Arial" w:eastAsia="Arial" w:hAnsi="Arial"/>
                <w:sz w:val="22"/>
                <w:szCs w:val="22"/>
                <w:color w:val="auto"/>
                <w:w w:val="96"/>
              </w:rPr>
              <w:t>Availability of</w:t>
            </w:r>
          </w:p>
        </w:tc>
        <w:tc>
          <w:tcPr>
            <w:tcW w:w="1940" w:type="dxa"/>
            <w:vAlign w:val="bottom"/>
          </w:tcPr>
          <w:p>
            <w:pPr>
              <w:jc w:val="center"/>
              <w:spacing w:after="0" w:line="243" w:lineRule="exact"/>
              <w:rPr>
                <w:sz w:val="20"/>
                <w:szCs w:val="20"/>
                <w:color w:val="auto"/>
              </w:rPr>
            </w:pPr>
            <w:r>
              <w:rPr>
                <w:rFonts w:ascii="Arial" w:cs="Arial" w:eastAsia="Arial" w:hAnsi="Arial"/>
                <w:sz w:val="22"/>
                <w:szCs w:val="22"/>
                <w:color w:val="auto"/>
                <w:w w:val="98"/>
              </w:rPr>
              <w:t>Proxy Materials,</w:t>
            </w:r>
          </w:p>
        </w:tc>
        <w:tc>
          <w:tcPr>
            <w:tcW w:w="1980" w:type="dxa"/>
            <w:vAlign w:val="bottom"/>
            <w:tcBorders>
              <w:right w:val="single" w:sz="8" w:color="582C83"/>
            </w:tcBorders>
          </w:tcPr>
          <w:p>
            <w:pPr>
              <w:jc w:val="center"/>
              <w:spacing w:after="0" w:line="243" w:lineRule="exact"/>
              <w:rPr>
                <w:sz w:val="20"/>
                <w:szCs w:val="20"/>
                <w:color w:val="auto"/>
              </w:rPr>
            </w:pPr>
            <w:r>
              <w:rPr>
                <w:rFonts w:ascii="Arial" w:cs="Arial" w:eastAsia="Arial" w:hAnsi="Arial"/>
                <w:sz w:val="22"/>
                <w:szCs w:val="22"/>
                <w:color w:val="auto"/>
                <w:w w:val="98"/>
              </w:rPr>
              <w:t>sign, date and</w:t>
            </w:r>
          </w:p>
        </w:tc>
        <w:tc>
          <w:tcPr>
            <w:tcW w:w="0" w:type="dxa"/>
            <w:vAlign w:val="bottom"/>
          </w:tcPr>
          <w:p>
            <w:pPr>
              <w:spacing w:after="0"/>
              <w:rPr>
                <w:sz w:val="1"/>
                <w:szCs w:val="1"/>
                <w:color w:val="auto"/>
              </w:rPr>
            </w:pPr>
          </w:p>
        </w:tc>
      </w:tr>
      <w:tr>
        <w:trPr>
          <w:trHeight w:val="175"/>
        </w:trPr>
        <w:tc>
          <w:tcPr>
            <w:tcW w:w="40" w:type="dxa"/>
            <w:vAlign w:val="bottom"/>
            <w:tcBorders>
              <w:right w:val="single" w:sz="8" w:color="582C83"/>
            </w:tcBorders>
          </w:tcPr>
          <w:p>
            <w:pPr>
              <w:spacing w:after="0"/>
              <w:rPr>
                <w:sz w:val="15"/>
                <w:szCs w:val="15"/>
                <w:color w:val="auto"/>
              </w:rPr>
            </w:pPr>
          </w:p>
        </w:tc>
        <w:tc>
          <w:tcPr>
            <w:tcW w:w="3420" w:type="dxa"/>
            <w:vAlign w:val="bottom"/>
          </w:tcPr>
          <w:p>
            <w:pPr>
              <w:ind w:left="140"/>
              <w:spacing w:after="0" w:line="175" w:lineRule="exact"/>
              <w:rPr>
                <w:sz w:val="20"/>
                <w:szCs w:val="20"/>
                <w:color w:val="auto"/>
              </w:rPr>
            </w:pPr>
            <w:r>
              <w:rPr>
                <w:rFonts w:ascii="Arial" w:cs="Arial" w:eastAsia="Arial" w:hAnsi="Arial"/>
                <w:sz w:val="19"/>
                <w:szCs w:val="19"/>
                <w:b w:val="1"/>
                <w:bCs w:val="1"/>
                <w:color w:val="auto"/>
              </w:rPr>
              <w:t>telephone, be sure to have your</w:t>
            </w:r>
          </w:p>
        </w:tc>
        <w:tc>
          <w:tcPr>
            <w:tcW w:w="1920" w:type="dxa"/>
            <w:vAlign w:val="bottom"/>
            <w:vMerge w:val="restart"/>
          </w:tcPr>
          <w:p>
            <w:pPr>
              <w:jc w:val="center"/>
              <w:spacing w:after="0"/>
              <w:rPr>
                <w:sz w:val="20"/>
                <w:szCs w:val="20"/>
                <w:color w:val="auto"/>
              </w:rPr>
            </w:pPr>
            <w:r>
              <w:rPr>
                <w:rFonts w:ascii="Arial" w:cs="Arial" w:eastAsia="Arial" w:hAnsi="Arial"/>
                <w:sz w:val="22"/>
                <w:szCs w:val="22"/>
                <w:color w:val="auto"/>
                <w:w w:val="97"/>
              </w:rPr>
              <w:t>Proxy Materials,</w:t>
            </w:r>
          </w:p>
        </w:tc>
        <w:tc>
          <w:tcPr>
            <w:tcW w:w="1940" w:type="dxa"/>
            <w:vAlign w:val="bottom"/>
            <w:vMerge w:val="restart"/>
          </w:tcPr>
          <w:p>
            <w:pPr>
              <w:jc w:val="center"/>
              <w:spacing w:after="0"/>
              <w:rPr>
                <w:sz w:val="20"/>
                <w:szCs w:val="20"/>
                <w:color w:val="auto"/>
              </w:rPr>
            </w:pPr>
            <w:r>
              <w:rPr>
                <w:rFonts w:ascii="Arial" w:cs="Arial" w:eastAsia="Arial" w:hAnsi="Arial"/>
                <w:sz w:val="22"/>
                <w:szCs w:val="22"/>
                <w:color w:val="auto"/>
                <w:w w:val="98"/>
              </w:rPr>
              <w:t>Proxy Materials,</w:t>
            </w:r>
          </w:p>
        </w:tc>
        <w:tc>
          <w:tcPr>
            <w:tcW w:w="1940" w:type="dxa"/>
            <w:vAlign w:val="bottom"/>
            <w:vMerge w:val="restart"/>
          </w:tcPr>
          <w:p>
            <w:pPr>
              <w:jc w:val="center"/>
              <w:spacing w:after="0"/>
              <w:rPr>
                <w:sz w:val="20"/>
                <w:szCs w:val="20"/>
                <w:color w:val="auto"/>
              </w:rPr>
            </w:pPr>
            <w:r>
              <w:rPr>
                <w:rFonts w:ascii="Arial" w:cs="Arial" w:eastAsia="Arial" w:hAnsi="Arial"/>
                <w:sz w:val="22"/>
                <w:szCs w:val="22"/>
                <w:color w:val="auto"/>
                <w:w w:val="98"/>
              </w:rPr>
              <w:t>proxy card or VIF</w:t>
            </w:r>
          </w:p>
        </w:tc>
        <w:tc>
          <w:tcPr>
            <w:tcW w:w="198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return the proxy</w:t>
            </w:r>
          </w:p>
        </w:tc>
        <w:tc>
          <w:tcPr>
            <w:tcW w:w="0" w:type="dxa"/>
            <w:vAlign w:val="bottom"/>
          </w:tcPr>
          <w:p>
            <w:pPr>
              <w:spacing w:after="0"/>
              <w:rPr>
                <w:sz w:val="1"/>
                <w:szCs w:val="1"/>
                <w:color w:val="auto"/>
              </w:rPr>
            </w:pPr>
          </w:p>
        </w:tc>
      </w:tr>
      <w:tr>
        <w:trPr>
          <w:trHeight w:val="95"/>
        </w:trPr>
        <w:tc>
          <w:tcPr>
            <w:tcW w:w="40" w:type="dxa"/>
            <w:vAlign w:val="bottom"/>
            <w:tcBorders>
              <w:right w:val="single" w:sz="8" w:color="582C83"/>
            </w:tcBorders>
          </w:tcPr>
          <w:p>
            <w:pPr>
              <w:spacing w:after="0"/>
              <w:rPr>
                <w:sz w:val="8"/>
                <w:szCs w:val="8"/>
                <w:color w:val="auto"/>
              </w:rPr>
            </w:pPr>
          </w:p>
        </w:tc>
        <w:tc>
          <w:tcPr>
            <w:tcW w:w="3420" w:type="dxa"/>
            <w:vAlign w:val="bottom"/>
            <w:vMerge w:val="restart"/>
          </w:tcPr>
          <w:p>
            <w:pPr>
              <w:ind w:left="140"/>
              <w:spacing w:after="0" w:line="216" w:lineRule="exact"/>
              <w:rPr>
                <w:sz w:val="20"/>
                <w:szCs w:val="20"/>
                <w:color w:val="auto"/>
              </w:rPr>
            </w:pPr>
            <w:r>
              <w:rPr>
                <w:rFonts w:ascii="Arial" w:cs="Arial" w:eastAsia="Arial" w:hAnsi="Arial"/>
                <w:sz w:val="19"/>
                <w:szCs w:val="19"/>
                <w:b w:val="1"/>
                <w:bCs w:val="1"/>
                <w:color w:val="auto"/>
              </w:rPr>
              <w:t>proxy card or VIF in hand and</w:t>
            </w:r>
          </w:p>
        </w:tc>
        <w:tc>
          <w:tcPr>
            <w:tcW w:w="19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980" w:type="dxa"/>
            <w:vAlign w:val="bottom"/>
            <w:tcBorders>
              <w:right w:val="single" w:sz="8" w:color="582C8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582C83"/>
            </w:tcBorders>
          </w:tcPr>
          <w:p>
            <w:pPr>
              <w:spacing w:after="0"/>
              <w:rPr>
                <w:sz w:val="10"/>
                <w:szCs w:val="10"/>
                <w:color w:val="auto"/>
              </w:rPr>
            </w:pPr>
          </w:p>
        </w:tc>
        <w:tc>
          <w:tcPr>
            <w:tcW w:w="3420" w:type="dxa"/>
            <w:vAlign w:val="bottom"/>
            <w:vMerge w:val="continue"/>
          </w:tcPr>
          <w:p>
            <w:pPr>
              <w:spacing w:after="0"/>
              <w:rPr>
                <w:sz w:val="10"/>
                <w:szCs w:val="10"/>
                <w:color w:val="auto"/>
              </w:rPr>
            </w:pPr>
          </w:p>
        </w:tc>
        <w:tc>
          <w:tcPr>
            <w:tcW w:w="19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proxy card or VIF</w:t>
            </w:r>
          </w:p>
        </w:tc>
        <w:tc>
          <w:tcPr>
            <w:tcW w:w="194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proxy card or VIF</w:t>
            </w:r>
          </w:p>
        </w:tc>
        <w:tc>
          <w:tcPr>
            <w:tcW w:w="194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to vote</w:t>
            </w:r>
          </w:p>
        </w:tc>
        <w:tc>
          <w:tcPr>
            <w:tcW w:w="1980" w:type="dxa"/>
            <w:vAlign w:val="bottom"/>
            <w:tcBorders>
              <w:right w:val="single" w:sz="8" w:color="582C83"/>
            </w:tcBorders>
            <w:vMerge w:val="restart"/>
          </w:tcPr>
          <w:p>
            <w:pPr>
              <w:jc w:val="center"/>
              <w:spacing w:after="0" w:line="243" w:lineRule="exact"/>
              <w:rPr>
                <w:sz w:val="20"/>
                <w:szCs w:val="20"/>
                <w:color w:val="auto"/>
              </w:rPr>
            </w:pPr>
            <w:r>
              <w:rPr>
                <w:rFonts w:ascii="Arial" w:cs="Arial" w:eastAsia="Arial" w:hAnsi="Arial"/>
                <w:sz w:val="22"/>
                <w:szCs w:val="22"/>
                <w:color w:val="auto"/>
                <w:w w:val="97"/>
              </w:rPr>
              <w:t>card in the</w:t>
            </w:r>
          </w:p>
        </w:tc>
        <w:tc>
          <w:tcPr>
            <w:tcW w:w="0" w:type="dxa"/>
            <w:vAlign w:val="bottom"/>
          </w:tcPr>
          <w:p>
            <w:pPr>
              <w:spacing w:after="0"/>
              <w:rPr>
                <w:sz w:val="1"/>
                <w:szCs w:val="1"/>
                <w:color w:val="auto"/>
              </w:rPr>
            </w:pPr>
          </w:p>
        </w:tc>
      </w:tr>
      <w:tr>
        <w:trPr>
          <w:trHeight w:val="122"/>
        </w:trPr>
        <w:tc>
          <w:tcPr>
            <w:tcW w:w="40" w:type="dxa"/>
            <w:vAlign w:val="bottom"/>
            <w:tcBorders>
              <w:right w:val="single" w:sz="8" w:color="582C83"/>
            </w:tcBorders>
          </w:tcPr>
          <w:p>
            <w:pPr>
              <w:spacing w:after="0"/>
              <w:rPr>
                <w:sz w:val="10"/>
                <w:szCs w:val="10"/>
                <w:color w:val="auto"/>
              </w:rPr>
            </w:pPr>
          </w:p>
        </w:tc>
        <w:tc>
          <w:tcPr>
            <w:tcW w:w="3420" w:type="dxa"/>
            <w:vAlign w:val="bottom"/>
            <w:vMerge w:val="restart"/>
          </w:tcPr>
          <w:p>
            <w:pPr>
              <w:ind w:left="140"/>
              <w:spacing w:after="0" w:line="216" w:lineRule="exact"/>
              <w:rPr>
                <w:sz w:val="20"/>
                <w:szCs w:val="20"/>
                <w:color w:val="auto"/>
              </w:rPr>
            </w:pPr>
            <w:r>
              <w:rPr>
                <w:rFonts w:ascii="Arial" w:cs="Arial" w:eastAsia="Arial" w:hAnsi="Arial"/>
                <w:sz w:val="19"/>
                <w:szCs w:val="19"/>
                <w:b w:val="1"/>
                <w:bCs w:val="1"/>
                <w:color w:val="auto"/>
              </w:rPr>
              <w:t>follow the instructions. You can</w:t>
            </w:r>
          </w:p>
        </w:tc>
        <w:tc>
          <w:tcPr>
            <w:tcW w:w="192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1940" w:type="dxa"/>
            <w:vAlign w:val="bottom"/>
            <w:vMerge w:val="continue"/>
          </w:tcPr>
          <w:p>
            <w:pPr>
              <w:spacing w:after="0"/>
              <w:rPr>
                <w:sz w:val="10"/>
                <w:szCs w:val="10"/>
                <w:color w:val="auto"/>
              </w:rPr>
            </w:pPr>
          </w:p>
        </w:tc>
        <w:tc>
          <w:tcPr>
            <w:tcW w:w="1980" w:type="dxa"/>
            <w:vAlign w:val="bottom"/>
            <w:tcBorders>
              <w:right w:val="single" w:sz="8" w:color="582C8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right w:val="single" w:sz="8" w:color="582C83"/>
            </w:tcBorders>
          </w:tcPr>
          <w:p>
            <w:pPr>
              <w:spacing w:after="0"/>
              <w:rPr>
                <w:sz w:val="8"/>
                <w:szCs w:val="8"/>
                <w:color w:val="auto"/>
              </w:rPr>
            </w:pPr>
          </w:p>
        </w:tc>
        <w:tc>
          <w:tcPr>
            <w:tcW w:w="3420" w:type="dxa"/>
            <w:vAlign w:val="bottom"/>
            <w:vMerge w:val="continue"/>
          </w:tcPr>
          <w:p>
            <w:pPr>
              <w:spacing w:after="0"/>
              <w:rPr>
                <w:sz w:val="8"/>
                <w:szCs w:val="8"/>
                <w:color w:val="auto"/>
              </w:rPr>
            </w:pPr>
          </w:p>
        </w:tc>
        <w:tc>
          <w:tcPr>
            <w:tcW w:w="19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9"/>
              </w:rPr>
              <w:t>to vote</w:t>
            </w:r>
          </w:p>
        </w:tc>
        <w:tc>
          <w:tcPr>
            <w:tcW w:w="194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to vote</w:t>
            </w:r>
          </w:p>
        </w:tc>
        <w:tc>
          <w:tcPr>
            <w:tcW w:w="1940" w:type="dxa"/>
            <w:vAlign w:val="bottom"/>
          </w:tcPr>
          <w:p>
            <w:pPr>
              <w:spacing w:after="0"/>
              <w:rPr>
                <w:sz w:val="8"/>
                <w:szCs w:val="8"/>
                <w:color w:val="auto"/>
              </w:rPr>
            </w:pPr>
          </w:p>
        </w:tc>
        <w:tc>
          <w:tcPr>
            <w:tcW w:w="1980" w:type="dxa"/>
            <w:vAlign w:val="bottom"/>
            <w:tcBorders>
              <w:right w:val="single" w:sz="8" w:color="582C83"/>
            </w:tcBorders>
            <w:vMerge w:val="restart"/>
          </w:tcPr>
          <w:p>
            <w:pPr>
              <w:jc w:val="center"/>
              <w:spacing w:after="0" w:line="243" w:lineRule="exact"/>
              <w:rPr>
                <w:sz w:val="20"/>
                <w:szCs w:val="20"/>
                <w:color w:val="auto"/>
              </w:rPr>
            </w:pPr>
            <w:r>
              <w:rPr>
                <w:rFonts w:ascii="Arial" w:cs="Arial" w:eastAsia="Arial" w:hAnsi="Arial"/>
                <w:sz w:val="22"/>
                <w:szCs w:val="22"/>
                <w:color w:val="auto"/>
                <w:w w:val="98"/>
              </w:rPr>
              <w:t>enclosed envelope</w:t>
            </w:r>
          </w:p>
        </w:tc>
        <w:tc>
          <w:tcPr>
            <w:tcW w:w="0" w:type="dxa"/>
            <w:vAlign w:val="bottom"/>
          </w:tcPr>
          <w:p>
            <w:pPr>
              <w:spacing w:after="0"/>
              <w:rPr>
                <w:sz w:val="1"/>
                <w:szCs w:val="1"/>
                <w:color w:val="auto"/>
              </w:rPr>
            </w:pPr>
          </w:p>
        </w:tc>
      </w:tr>
      <w:tr>
        <w:trPr>
          <w:trHeight w:val="149"/>
        </w:trPr>
        <w:tc>
          <w:tcPr>
            <w:tcW w:w="40" w:type="dxa"/>
            <w:vAlign w:val="bottom"/>
            <w:tcBorders>
              <w:right w:val="single" w:sz="8" w:color="582C83"/>
            </w:tcBorders>
          </w:tcPr>
          <w:p>
            <w:pPr>
              <w:spacing w:after="0"/>
              <w:rPr>
                <w:sz w:val="12"/>
                <w:szCs w:val="12"/>
                <w:color w:val="auto"/>
              </w:rPr>
            </w:pPr>
          </w:p>
        </w:tc>
        <w:tc>
          <w:tcPr>
            <w:tcW w:w="3420" w:type="dxa"/>
            <w:vAlign w:val="bottom"/>
            <w:vMerge w:val="restart"/>
          </w:tcPr>
          <w:p>
            <w:pPr>
              <w:ind w:left="140"/>
              <w:spacing w:after="0"/>
              <w:rPr>
                <w:sz w:val="20"/>
                <w:szCs w:val="20"/>
                <w:color w:val="auto"/>
              </w:rPr>
            </w:pPr>
            <w:r>
              <w:rPr>
                <w:rFonts w:ascii="Arial" w:cs="Arial" w:eastAsia="Arial" w:hAnsi="Arial"/>
                <w:sz w:val="19"/>
                <w:szCs w:val="19"/>
                <w:b w:val="1"/>
                <w:bCs w:val="1"/>
                <w:color w:val="auto"/>
              </w:rPr>
              <w:t>vote any of four ways:</w:t>
            </w:r>
          </w:p>
        </w:tc>
        <w:tc>
          <w:tcPr>
            <w:tcW w:w="192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940" w:type="dxa"/>
            <w:vAlign w:val="bottom"/>
          </w:tcPr>
          <w:p>
            <w:pPr>
              <w:spacing w:after="0"/>
              <w:rPr>
                <w:sz w:val="12"/>
                <w:szCs w:val="12"/>
                <w:color w:val="auto"/>
              </w:rPr>
            </w:pPr>
          </w:p>
        </w:tc>
        <w:tc>
          <w:tcPr>
            <w:tcW w:w="1980" w:type="dxa"/>
            <w:vAlign w:val="bottom"/>
            <w:tcBorders>
              <w:right w:val="single" w:sz="8" w:color="582C8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0" w:type="dxa"/>
            <w:vAlign w:val="bottom"/>
            <w:tcBorders>
              <w:right w:val="single" w:sz="8" w:color="582C83"/>
            </w:tcBorders>
          </w:tcPr>
          <w:p>
            <w:pPr>
              <w:spacing w:after="0"/>
              <w:rPr>
                <w:sz w:val="9"/>
                <w:szCs w:val="9"/>
                <w:color w:val="auto"/>
              </w:rPr>
            </w:pPr>
          </w:p>
        </w:tc>
        <w:tc>
          <w:tcPr>
            <w:tcW w:w="342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98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6"/>
              </w:rPr>
              <w:t>to vote</w:t>
            </w:r>
          </w:p>
        </w:tc>
        <w:tc>
          <w:tcPr>
            <w:tcW w:w="0" w:type="dxa"/>
            <w:vAlign w:val="bottom"/>
          </w:tcPr>
          <w:p>
            <w:pPr>
              <w:spacing w:after="0"/>
              <w:rPr>
                <w:sz w:val="1"/>
                <w:szCs w:val="1"/>
                <w:color w:val="auto"/>
              </w:rPr>
            </w:pPr>
          </w:p>
        </w:tc>
      </w:tr>
      <w:tr>
        <w:trPr>
          <w:trHeight w:val="174"/>
        </w:trPr>
        <w:tc>
          <w:tcPr>
            <w:tcW w:w="40" w:type="dxa"/>
            <w:vAlign w:val="bottom"/>
            <w:tcBorders>
              <w:right w:val="single" w:sz="8" w:color="582C83"/>
            </w:tcBorders>
          </w:tcPr>
          <w:p>
            <w:pPr>
              <w:spacing w:after="0"/>
              <w:rPr>
                <w:sz w:val="15"/>
                <w:szCs w:val="15"/>
                <w:color w:val="auto"/>
              </w:rPr>
            </w:pPr>
          </w:p>
        </w:tc>
        <w:tc>
          <w:tcPr>
            <w:tcW w:w="3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80" w:type="dxa"/>
            <w:vAlign w:val="bottom"/>
            <w:tcBorders>
              <w:right w:val="single" w:sz="8" w:color="582C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40" w:type="dxa"/>
            <w:vAlign w:val="bottom"/>
            <w:tcBorders>
              <w:right w:val="single" w:sz="8" w:color="582C83"/>
            </w:tcBorders>
          </w:tcPr>
          <w:p>
            <w:pPr>
              <w:spacing w:after="0"/>
              <w:rPr>
                <w:sz w:val="8"/>
                <w:szCs w:val="8"/>
                <w:color w:val="auto"/>
              </w:rPr>
            </w:pPr>
          </w:p>
        </w:tc>
        <w:tc>
          <w:tcPr>
            <w:tcW w:w="3420" w:type="dxa"/>
            <w:vAlign w:val="bottom"/>
            <w:tcBorders>
              <w:bottom w:val="single" w:sz="8" w:color="582C83"/>
            </w:tcBorders>
          </w:tcPr>
          <w:p>
            <w:pPr>
              <w:spacing w:after="0"/>
              <w:rPr>
                <w:sz w:val="8"/>
                <w:szCs w:val="8"/>
                <w:color w:val="auto"/>
              </w:rPr>
            </w:pPr>
          </w:p>
        </w:tc>
        <w:tc>
          <w:tcPr>
            <w:tcW w:w="1920" w:type="dxa"/>
            <w:vAlign w:val="bottom"/>
            <w:tcBorders>
              <w:bottom w:val="single" w:sz="8" w:color="582C83"/>
            </w:tcBorders>
          </w:tcPr>
          <w:p>
            <w:pPr>
              <w:spacing w:after="0"/>
              <w:rPr>
                <w:sz w:val="8"/>
                <w:szCs w:val="8"/>
                <w:color w:val="auto"/>
              </w:rPr>
            </w:pPr>
          </w:p>
        </w:tc>
        <w:tc>
          <w:tcPr>
            <w:tcW w:w="1940" w:type="dxa"/>
            <w:vAlign w:val="bottom"/>
            <w:tcBorders>
              <w:bottom w:val="single" w:sz="8" w:color="582C83"/>
            </w:tcBorders>
          </w:tcPr>
          <w:p>
            <w:pPr>
              <w:spacing w:after="0"/>
              <w:rPr>
                <w:sz w:val="8"/>
                <w:szCs w:val="8"/>
                <w:color w:val="auto"/>
              </w:rPr>
            </w:pPr>
          </w:p>
        </w:tc>
        <w:tc>
          <w:tcPr>
            <w:tcW w:w="3920" w:type="dxa"/>
            <w:vAlign w:val="bottom"/>
            <w:tcBorders>
              <w:bottom w:val="single" w:sz="8" w:color="582C83"/>
              <w:right w:val="single" w:sz="8" w:color="582C83"/>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0" w:type="dxa"/>
            <w:vAlign w:val="bottom"/>
            <w:tcBorders>
              <w:bottom w:val="single" w:sz="8" w:color="58358F"/>
            </w:tcBorders>
          </w:tcPr>
          <w:p>
            <w:pPr>
              <w:spacing w:after="0"/>
              <w:rPr>
                <w:sz w:val="16"/>
                <w:szCs w:val="16"/>
                <w:color w:val="auto"/>
              </w:rPr>
            </w:pPr>
          </w:p>
        </w:tc>
        <w:tc>
          <w:tcPr>
            <w:tcW w:w="3420" w:type="dxa"/>
            <w:vAlign w:val="bottom"/>
            <w:tcBorders>
              <w:bottom w:val="single" w:sz="8" w:color="58358F"/>
            </w:tcBorders>
          </w:tcPr>
          <w:p>
            <w:pPr>
              <w:spacing w:after="0"/>
              <w:rPr>
                <w:sz w:val="16"/>
                <w:szCs w:val="16"/>
                <w:color w:val="auto"/>
              </w:rPr>
            </w:pPr>
          </w:p>
        </w:tc>
        <w:tc>
          <w:tcPr>
            <w:tcW w:w="1920" w:type="dxa"/>
            <w:vAlign w:val="bottom"/>
            <w:tcBorders>
              <w:bottom w:val="single" w:sz="8" w:color="58358F"/>
            </w:tcBorders>
          </w:tcPr>
          <w:p>
            <w:pPr>
              <w:spacing w:after="0"/>
              <w:rPr>
                <w:sz w:val="16"/>
                <w:szCs w:val="16"/>
                <w:color w:val="auto"/>
              </w:rPr>
            </w:pPr>
          </w:p>
        </w:tc>
        <w:tc>
          <w:tcPr>
            <w:tcW w:w="1940" w:type="dxa"/>
            <w:vAlign w:val="bottom"/>
            <w:tcBorders>
              <w:bottom w:val="single" w:sz="8" w:color="58358F"/>
            </w:tcBorders>
          </w:tcPr>
          <w:p>
            <w:pPr>
              <w:spacing w:after="0"/>
              <w:rPr>
                <w:sz w:val="16"/>
                <w:szCs w:val="16"/>
                <w:color w:val="auto"/>
              </w:rPr>
            </w:pPr>
          </w:p>
        </w:tc>
        <w:tc>
          <w:tcPr>
            <w:tcW w:w="3920" w:type="dxa"/>
            <w:vAlign w:val="bottom"/>
            <w:tcBorders>
              <w:bottom w:val="single" w:sz="8" w:color="58358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20" w:type="dxa"/>
            <w:vAlign w:val="bottom"/>
            <w:gridSpan w:val="2"/>
          </w:tcPr>
          <w:p>
            <w:pPr>
              <w:ind w:left="1620"/>
              <w:spacing w:after="0"/>
              <w:rPr>
                <w:sz w:val="20"/>
                <w:szCs w:val="20"/>
                <w:color w:val="auto"/>
              </w:rPr>
            </w:pPr>
            <w:r>
              <w:rPr>
                <w:rFonts w:ascii="Arial" w:cs="Arial" w:eastAsia="Arial" w:hAnsi="Arial"/>
                <w:sz w:val="16"/>
                <w:szCs w:val="16"/>
                <w:b w:val="1"/>
                <w:bCs w:val="1"/>
                <w:color w:val="58358F"/>
              </w:rPr>
              <w:t>2022 PROXY STATEMENT | 7</w:t>
            </w:r>
          </w:p>
        </w:tc>
        <w:tc>
          <w:tcPr>
            <w:tcW w:w="0" w:type="dxa"/>
            <w:vAlign w:val="bottom"/>
          </w:tcPr>
          <w:p>
            <w:pPr>
              <w:spacing w:after="0"/>
              <w:rPr>
                <w:sz w:val="1"/>
                <w:szCs w:val="1"/>
                <w:color w:val="auto"/>
              </w:rPr>
            </w:pPr>
          </w:p>
        </w:tc>
      </w:tr>
      <w:tr>
        <w:trPr>
          <w:trHeight w:val="446"/>
        </w:trPr>
        <w:tc>
          <w:tcPr>
            <w:tcW w:w="40" w:type="dxa"/>
            <w:vAlign w:val="bottom"/>
            <w:tcBorders>
              <w:bottom w:val="single" w:sz="8" w:color="E5E5E5"/>
            </w:tcBorders>
          </w:tcPr>
          <w:p>
            <w:pPr>
              <w:spacing w:after="0"/>
              <w:rPr>
                <w:sz w:val="24"/>
                <w:szCs w:val="24"/>
                <w:color w:val="auto"/>
              </w:rPr>
            </w:pPr>
          </w:p>
        </w:tc>
        <w:tc>
          <w:tcPr>
            <w:tcW w:w="3420" w:type="dxa"/>
            <w:vAlign w:val="bottom"/>
            <w:tcBorders>
              <w:bottom w:val="single" w:sz="8" w:color="E5E5E5"/>
            </w:tcBorders>
          </w:tcPr>
          <w:p>
            <w:pPr>
              <w:spacing w:after="0"/>
              <w:rPr>
                <w:sz w:val="24"/>
                <w:szCs w:val="24"/>
                <w:color w:val="auto"/>
              </w:rPr>
            </w:pPr>
          </w:p>
        </w:tc>
        <w:tc>
          <w:tcPr>
            <w:tcW w:w="1920" w:type="dxa"/>
            <w:vAlign w:val="bottom"/>
            <w:tcBorders>
              <w:bottom w:val="single" w:sz="8" w:color="E5E5E5"/>
            </w:tcBorders>
          </w:tcPr>
          <w:p>
            <w:pPr>
              <w:spacing w:after="0"/>
              <w:rPr>
                <w:sz w:val="24"/>
                <w:szCs w:val="24"/>
                <w:color w:val="auto"/>
              </w:rPr>
            </w:pPr>
          </w:p>
        </w:tc>
        <w:tc>
          <w:tcPr>
            <w:tcW w:w="1940" w:type="dxa"/>
            <w:vAlign w:val="bottom"/>
            <w:tcBorders>
              <w:bottom w:val="single" w:sz="8" w:color="E5E5E5"/>
            </w:tcBorders>
          </w:tcPr>
          <w:p>
            <w:pPr>
              <w:spacing w:after="0"/>
              <w:rPr>
                <w:sz w:val="24"/>
                <w:szCs w:val="24"/>
                <w:color w:val="auto"/>
              </w:rPr>
            </w:pPr>
          </w:p>
        </w:tc>
        <w:tc>
          <w:tcPr>
            <w:tcW w:w="1940" w:type="dxa"/>
            <w:vAlign w:val="bottom"/>
            <w:tcBorders>
              <w:bottom w:val="single" w:sz="8" w:color="E5E5E5"/>
            </w:tcBorders>
          </w:tcPr>
          <w:p>
            <w:pPr>
              <w:spacing w:after="0"/>
              <w:rPr>
                <w:sz w:val="24"/>
                <w:szCs w:val="24"/>
                <w:color w:val="auto"/>
              </w:rPr>
            </w:pPr>
          </w:p>
        </w:tc>
        <w:tc>
          <w:tcPr>
            <w:tcW w:w="1980" w:type="dxa"/>
            <w:vAlign w:val="bottom"/>
            <w:tcBorders>
              <w:bottom w:val="single" w:sz="8" w:color="E5E5E5"/>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-2665730</wp:posOffset>
            </wp:positionV>
            <wp:extent cx="360045"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-2665730</wp:posOffset>
            </wp:positionV>
            <wp:extent cx="360045"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-2665730</wp:posOffset>
            </wp:positionV>
            <wp:extent cx="360045"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-2665730</wp:posOffset>
            </wp:positionV>
            <wp:extent cx="360045" cy="360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985520"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ind w:right="220"/>
        <w:spacing w:after="0" w:line="245" w:lineRule="auto"/>
        <w:rPr>
          <w:sz w:val="20"/>
          <w:szCs w:val="20"/>
          <w:color w:val="auto"/>
        </w:rPr>
      </w:pPr>
      <w:r>
        <w:rPr>
          <w:rFonts w:ascii="Arial" w:cs="Arial" w:eastAsia="Arial" w:hAnsi="Arial"/>
          <w:sz w:val="22"/>
          <w:szCs w:val="22"/>
          <w:color w:val="auto"/>
        </w:rPr>
        <w:t>Website references throughout this document are provided for convenience only, and the content on the referenced websites is not incorporated by reference into this document. We assume no liability for any third-party content contained on the referenced websites.</w:t>
      </w:r>
    </w:p>
    <w:p>
      <w:pPr>
        <w:spacing w:after="0" w:line="143"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FORWARD-LOOKING STATEMENTS</w:t>
      </w:r>
    </w:p>
    <w:p>
      <w:pPr>
        <w:spacing w:after="0" w:line="103" w:lineRule="exact"/>
        <w:rPr>
          <w:sz w:val="20"/>
          <w:szCs w:val="20"/>
          <w:color w:val="auto"/>
        </w:rPr>
      </w:pPr>
    </w:p>
    <w:p>
      <w:pPr>
        <w:ind w:right="240"/>
        <w:spacing w:after="0" w:line="248" w:lineRule="auto"/>
        <w:rPr>
          <w:sz w:val="20"/>
          <w:szCs w:val="20"/>
          <w:color w:val="auto"/>
        </w:rPr>
      </w:pPr>
      <w:r>
        <w:rPr>
          <w:rFonts w:ascii="Arial" w:cs="Arial" w:eastAsia="Arial" w:hAnsi="Arial"/>
          <w:sz w:val="21"/>
          <w:szCs w:val="21"/>
          <w:color w:val="auto"/>
        </w:rPr>
        <w:t>This proxy statement contains a number of forward-looking statements. Words, and variations of words, such as “will,” “expect,” “may,” “believe,” “plan,” “intend” and similar expressions are intended to identify our forward-looking statements. Forward-looking statements are not based on historical facts but instead represent our current expectations and assumptions regarding our business, the economy and other future conditions. The information included in, and any issues identified as material for purposes of, this document may not be considered material for U.S. Securities and Exchange Commission ("SEC") reporting purposes. In the context of this disclosure, the term “material” is distinct from, and should not be confused with, such term as defined for SEC reporting purposes.</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Please see our risk factors, as they may be amended from time to time, set forth in our filings with the SEC, including our most recently filed Annual Report on Form 10-K. Mondelēz International disclaims and does not undertake any obligation to update or revise any forward-looking statement in this proxy statement,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47"/>
          <w:szCs w:val="47"/>
          <w:b w:val="1"/>
          <w:bCs w:val="1"/>
          <w:color w:val="582C83"/>
        </w:rPr>
        <w:drawing>
          <wp:anchor simplePos="0" relativeHeight="251657728" behindDoc="1" locked="0" layoutInCell="0" allowOverlap="1">
            <wp:simplePos x="0" y="0"/>
            <wp:positionH relativeFrom="page">
              <wp:posOffset>431165</wp:posOffset>
            </wp:positionH>
            <wp:positionV relativeFrom="page">
              <wp:posOffset>88900</wp:posOffset>
            </wp:positionV>
            <wp:extent cx="6686550" cy="1611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rFonts w:ascii="Arial" w:cs="Arial" w:eastAsia="Arial" w:hAnsi="Arial"/>
                <w:sz w:val="19"/>
                <w:szCs w:val="19"/>
                <w:b w:val="1"/>
                <w:bCs w:val="1"/>
                <w:color w:val="582C83"/>
              </w:rPr>
            </w:pPr>
            <w:hyperlink w:anchor="page4">
              <w:r>
                <w:rPr>
                  <w:rFonts w:ascii="Arial" w:cs="Arial" w:eastAsia="Arial" w:hAnsi="Arial"/>
                  <w:sz w:val="19"/>
                  <w:szCs w:val="19"/>
                  <w:b w:val="1"/>
                  <w:bCs w:val="1"/>
                  <w:color w:val="582C83"/>
                </w:rPr>
                <w:t>LETTER FROM OUR CHAIRMAN AND CHIEF EXECUTIVE OFFICER</w:t>
              </w:r>
            </w:hyperlink>
          </w:p>
        </w:tc>
        <w:tc>
          <w:tcPr>
            <w:tcW w:w="2120" w:type="dxa"/>
            <w:vAlign w:val="bottom"/>
          </w:tcPr>
          <w:p>
            <w:pPr>
              <w:jc w:val="right"/>
              <w:spacing w:after="0"/>
              <w:rPr>
                <w:rFonts w:ascii="Arial" w:cs="Arial" w:eastAsia="Arial" w:hAnsi="Arial"/>
                <w:sz w:val="19"/>
                <w:szCs w:val="19"/>
                <w:b w:val="1"/>
                <w:bCs w:val="1"/>
                <w:color w:val="582C83"/>
              </w:rPr>
            </w:pPr>
            <w:hyperlink w:anchor="page4">
              <w:r>
                <w:rPr>
                  <w:rFonts w:ascii="Arial" w:cs="Arial" w:eastAsia="Arial" w:hAnsi="Arial"/>
                  <w:sz w:val="19"/>
                  <w:szCs w:val="19"/>
                  <w:b w:val="1"/>
                  <w:bCs w:val="1"/>
                  <w:color w:val="582C83"/>
                </w:rPr>
                <w:t>1</w:t>
              </w:r>
            </w:hyperlink>
          </w:p>
        </w:tc>
      </w:tr>
      <w:tr>
        <w:trPr>
          <w:trHeight w:val="418"/>
        </w:trPr>
        <w:tc>
          <w:tcPr>
            <w:tcW w:w="8680" w:type="dxa"/>
            <w:vAlign w:val="bottom"/>
          </w:tcPr>
          <w:p>
            <w:pPr>
              <w:spacing w:after="0"/>
              <w:rPr>
                <w:rFonts w:ascii="Arial" w:cs="Arial" w:eastAsia="Arial" w:hAnsi="Arial"/>
                <w:sz w:val="19"/>
                <w:szCs w:val="19"/>
                <w:b w:val="1"/>
                <w:bCs w:val="1"/>
                <w:color w:val="582C83"/>
              </w:rPr>
            </w:pPr>
            <w:hyperlink w:anchor="page7">
              <w:r>
                <w:rPr>
                  <w:rFonts w:ascii="Arial" w:cs="Arial" w:eastAsia="Arial" w:hAnsi="Arial"/>
                  <w:sz w:val="19"/>
                  <w:szCs w:val="19"/>
                  <w:b w:val="1"/>
                  <w:bCs w:val="1"/>
                  <w:color w:val="582C83"/>
                </w:rPr>
                <w:t>LETTER FROM OUR LEAD DIRECTOR</w:t>
              </w:r>
            </w:hyperlink>
          </w:p>
        </w:tc>
        <w:tc>
          <w:tcPr>
            <w:tcW w:w="2120" w:type="dxa"/>
            <w:vAlign w:val="bottom"/>
          </w:tcPr>
          <w:p>
            <w:pPr>
              <w:jc w:val="right"/>
              <w:spacing w:after="0"/>
              <w:rPr>
                <w:rFonts w:ascii="Arial" w:cs="Arial" w:eastAsia="Arial" w:hAnsi="Arial"/>
                <w:sz w:val="19"/>
                <w:szCs w:val="19"/>
                <w:b w:val="1"/>
                <w:bCs w:val="1"/>
                <w:color w:val="582C83"/>
              </w:rPr>
            </w:pPr>
            <w:hyperlink w:anchor="page7">
              <w:r>
                <w:rPr>
                  <w:rFonts w:ascii="Arial" w:cs="Arial" w:eastAsia="Arial" w:hAnsi="Arial"/>
                  <w:sz w:val="19"/>
                  <w:szCs w:val="19"/>
                  <w:b w:val="1"/>
                  <w:bCs w:val="1"/>
                  <w:color w:val="582C83"/>
                </w:rPr>
                <w:t>4</w:t>
              </w:r>
            </w:hyperlink>
          </w:p>
        </w:tc>
      </w:tr>
      <w:tr>
        <w:trPr>
          <w:trHeight w:val="418"/>
        </w:trPr>
        <w:tc>
          <w:tcPr>
            <w:tcW w:w="8680" w:type="dxa"/>
            <w:vAlign w:val="bottom"/>
          </w:tcPr>
          <w:p>
            <w:pPr>
              <w:spacing w:after="0"/>
              <w:rPr>
                <w:rFonts w:ascii="Arial" w:cs="Arial" w:eastAsia="Arial" w:hAnsi="Arial"/>
                <w:sz w:val="19"/>
                <w:szCs w:val="19"/>
                <w:b w:val="1"/>
                <w:bCs w:val="1"/>
                <w:color w:val="582C83"/>
              </w:rPr>
            </w:pPr>
            <w:hyperlink w:anchor="page9">
              <w:r>
                <w:rPr>
                  <w:rFonts w:ascii="Arial" w:cs="Arial" w:eastAsia="Arial" w:hAnsi="Arial"/>
                  <w:sz w:val="19"/>
                  <w:szCs w:val="19"/>
                  <w:b w:val="1"/>
                  <w:bCs w:val="1"/>
                  <w:color w:val="582C83"/>
                </w:rPr>
                <w:t>NOTICE OF 2022 ANNUAL MEETING OF SHAREHOLDERS</w:t>
              </w:r>
            </w:hyperlink>
          </w:p>
        </w:tc>
        <w:tc>
          <w:tcPr>
            <w:tcW w:w="2120" w:type="dxa"/>
            <w:vAlign w:val="bottom"/>
          </w:tcPr>
          <w:p>
            <w:pPr>
              <w:jc w:val="right"/>
              <w:spacing w:after="0"/>
              <w:rPr>
                <w:rFonts w:ascii="Arial" w:cs="Arial" w:eastAsia="Arial" w:hAnsi="Arial"/>
                <w:sz w:val="19"/>
                <w:szCs w:val="19"/>
                <w:b w:val="1"/>
                <w:bCs w:val="1"/>
                <w:color w:val="582C83"/>
              </w:rPr>
            </w:pPr>
            <w:hyperlink w:anchor="page9">
              <w:r>
                <w:rPr>
                  <w:rFonts w:ascii="Arial" w:cs="Arial" w:eastAsia="Arial" w:hAnsi="Arial"/>
                  <w:sz w:val="19"/>
                  <w:szCs w:val="19"/>
                  <w:b w:val="1"/>
                  <w:bCs w:val="1"/>
                  <w:color w:val="582C83"/>
                </w:rPr>
                <w:t>6</w:t>
              </w:r>
            </w:hyperlink>
          </w:p>
        </w:tc>
      </w:tr>
      <w:tr>
        <w:trPr>
          <w:trHeight w:val="417"/>
        </w:trPr>
        <w:tc>
          <w:tcPr>
            <w:tcW w:w="8680" w:type="dxa"/>
            <w:vAlign w:val="bottom"/>
          </w:tcPr>
          <w:p>
            <w:pPr>
              <w:spacing w:after="0"/>
              <w:rPr>
                <w:rFonts w:ascii="Arial" w:cs="Arial" w:eastAsia="Arial" w:hAnsi="Arial"/>
                <w:sz w:val="19"/>
                <w:szCs w:val="19"/>
                <w:b w:val="1"/>
                <w:bCs w:val="1"/>
                <w:color w:val="582C83"/>
              </w:rPr>
            </w:pPr>
            <w:hyperlink w:anchor="page14">
              <w:r>
                <w:rPr>
                  <w:rFonts w:ascii="Arial" w:cs="Arial" w:eastAsia="Arial" w:hAnsi="Arial"/>
                  <w:sz w:val="19"/>
                  <w:szCs w:val="19"/>
                  <w:b w:val="1"/>
                  <w:bCs w:val="1"/>
                  <w:color w:val="582C83"/>
                </w:rPr>
                <w:t>PROXY STATEMENT SUMMARY</w:t>
              </w:r>
            </w:hyperlink>
          </w:p>
        </w:tc>
        <w:tc>
          <w:tcPr>
            <w:tcW w:w="2120" w:type="dxa"/>
            <w:vAlign w:val="bottom"/>
          </w:tcPr>
          <w:p>
            <w:pPr>
              <w:jc w:val="right"/>
              <w:spacing w:after="0"/>
              <w:rPr>
                <w:rFonts w:ascii="Arial" w:cs="Arial" w:eastAsia="Arial" w:hAnsi="Arial"/>
                <w:sz w:val="19"/>
                <w:szCs w:val="19"/>
                <w:b w:val="1"/>
                <w:bCs w:val="1"/>
                <w:color w:val="582C83"/>
              </w:rPr>
            </w:pPr>
            <w:hyperlink w:anchor="page14">
              <w:r>
                <w:rPr>
                  <w:rFonts w:ascii="Arial" w:cs="Arial" w:eastAsia="Arial" w:hAnsi="Arial"/>
                  <w:sz w:val="19"/>
                  <w:szCs w:val="19"/>
                  <w:b w:val="1"/>
                  <w:bCs w:val="1"/>
                  <w:color w:val="582C83"/>
                </w:rPr>
                <w:t>10</w:t>
              </w:r>
            </w:hyperlink>
          </w:p>
        </w:tc>
      </w:tr>
      <w:tr>
        <w:trPr>
          <w:trHeight w:val="231"/>
        </w:trPr>
        <w:tc>
          <w:tcPr>
            <w:tcW w:w="8680" w:type="dxa"/>
            <w:vAlign w:val="bottom"/>
          </w:tcPr>
          <w:p>
            <w:pPr>
              <w:spacing w:after="0"/>
              <w:rPr>
                <w:rFonts w:ascii="Arial" w:cs="Arial" w:eastAsia="Arial" w:hAnsi="Arial"/>
                <w:sz w:val="18"/>
                <w:szCs w:val="18"/>
                <w:color w:val="auto"/>
              </w:rPr>
            </w:pPr>
            <w:hyperlink w:anchor="page14">
              <w:r>
                <w:rPr>
                  <w:rFonts w:ascii="Arial" w:cs="Arial" w:eastAsia="Arial" w:hAnsi="Arial"/>
                  <w:sz w:val="18"/>
                  <w:szCs w:val="18"/>
                  <w:color w:val="auto"/>
                </w:rPr>
                <w:t>2022 Annual Meeting of Shareholders</w:t>
              </w:r>
            </w:hyperlink>
          </w:p>
        </w:tc>
        <w:tc>
          <w:tcPr>
            <w:tcW w:w="21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10</w:t>
              </w:r>
            </w:hyperlink>
          </w:p>
        </w:tc>
      </w:tr>
      <w:tr>
        <w:trPr>
          <w:trHeight w:val="243"/>
        </w:trPr>
        <w:tc>
          <w:tcPr>
            <w:tcW w:w="8680" w:type="dxa"/>
            <w:vAlign w:val="bottom"/>
          </w:tcPr>
          <w:p>
            <w:pPr>
              <w:spacing w:after="0"/>
              <w:rPr>
                <w:rFonts w:ascii="Arial" w:cs="Arial" w:eastAsia="Arial" w:hAnsi="Arial"/>
                <w:sz w:val="18"/>
                <w:szCs w:val="18"/>
                <w:color w:val="auto"/>
              </w:rPr>
            </w:pPr>
            <w:hyperlink w:anchor="page14">
              <w:r>
                <w:rPr>
                  <w:rFonts w:ascii="Arial" w:cs="Arial" w:eastAsia="Arial" w:hAnsi="Arial"/>
                  <w:sz w:val="18"/>
                  <w:szCs w:val="18"/>
                  <w:color w:val="auto"/>
                </w:rPr>
                <w:t>How to Vote in Advance of the Meeting</w:t>
              </w:r>
            </w:hyperlink>
          </w:p>
        </w:tc>
        <w:tc>
          <w:tcPr>
            <w:tcW w:w="212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10</w:t>
              </w:r>
            </w:hyperlink>
          </w:p>
        </w:tc>
      </w:tr>
      <w:tr>
        <w:trPr>
          <w:trHeight w:val="243"/>
        </w:trPr>
        <w:tc>
          <w:tcPr>
            <w:tcW w:w="8680" w:type="dxa"/>
            <w:vAlign w:val="bottom"/>
          </w:tcPr>
          <w:p>
            <w:pPr>
              <w:spacing w:after="0"/>
              <w:rPr>
                <w:rFonts w:ascii="Arial" w:cs="Arial" w:eastAsia="Arial" w:hAnsi="Arial"/>
                <w:sz w:val="18"/>
                <w:szCs w:val="18"/>
                <w:color w:val="auto"/>
              </w:rPr>
            </w:pPr>
            <w:hyperlink w:anchor="page15">
              <w:r>
                <w:rPr>
                  <w:rFonts w:ascii="Arial" w:cs="Arial" w:eastAsia="Arial" w:hAnsi="Arial"/>
                  <w:sz w:val="18"/>
                  <w:szCs w:val="18"/>
                  <w:color w:val="auto"/>
                </w:rPr>
                <w:t>Items of Business</w:t>
              </w:r>
            </w:hyperlink>
          </w:p>
        </w:tc>
        <w:tc>
          <w:tcPr>
            <w:tcW w:w="212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11</w:t>
              </w:r>
            </w:hyperlink>
          </w:p>
        </w:tc>
      </w:tr>
      <w:tr>
        <w:trPr>
          <w:trHeight w:val="243"/>
        </w:trPr>
        <w:tc>
          <w:tcPr>
            <w:tcW w:w="868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About Mondelēz International</w:t>
              </w:r>
            </w:hyperlink>
          </w:p>
        </w:tc>
        <w:tc>
          <w:tcPr>
            <w:tcW w:w="21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12</w:t>
              </w:r>
            </w:hyperlink>
          </w:p>
        </w:tc>
      </w:tr>
      <w:tr>
        <w:trPr>
          <w:trHeight w:val="243"/>
        </w:trPr>
        <w:tc>
          <w:tcPr>
            <w:tcW w:w="8680" w:type="dxa"/>
            <w:vAlign w:val="bottom"/>
          </w:tcPr>
          <w:p>
            <w:pPr>
              <w:spacing w:after="0"/>
              <w:rPr>
                <w:rFonts w:ascii="Arial" w:cs="Arial" w:eastAsia="Arial" w:hAnsi="Arial"/>
                <w:sz w:val="18"/>
                <w:szCs w:val="18"/>
                <w:color w:val="auto"/>
              </w:rPr>
            </w:pPr>
            <w:hyperlink w:anchor="page16">
              <w:r>
                <w:rPr>
                  <w:rFonts w:ascii="Arial" w:cs="Arial" w:eastAsia="Arial" w:hAnsi="Arial"/>
                  <w:sz w:val="18"/>
                  <w:szCs w:val="18"/>
                  <w:color w:val="auto"/>
                </w:rPr>
                <w:t>Director Nominees</w:t>
              </w:r>
            </w:hyperlink>
          </w:p>
        </w:tc>
        <w:tc>
          <w:tcPr>
            <w:tcW w:w="21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12</w:t>
              </w:r>
            </w:hyperlink>
          </w:p>
        </w:tc>
      </w:tr>
      <w:tr>
        <w:trPr>
          <w:trHeight w:val="243"/>
        </w:trPr>
        <w:tc>
          <w:tcPr>
            <w:tcW w:w="8680" w:type="dxa"/>
            <w:vAlign w:val="bottom"/>
          </w:tcPr>
          <w:p>
            <w:pPr>
              <w:spacing w:after="0"/>
              <w:rPr>
                <w:rFonts w:ascii="Arial" w:cs="Arial" w:eastAsia="Arial" w:hAnsi="Arial"/>
                <w:sz w:val="18"/>
                <w:szCs w:val="18"/>
                <w:color w:val="auto"/>
              </w:rPr>
            </w:pPr>
            <w:hyperlink w:anchor="page18">
              <w:r>
                <w:rPr>
                  <w:rFonts w:ascii="Arial" w:cs="Arial" w:eastAsia="Arial" w:hAnsi="Arial"/>
                  <w:sz w:val="18"/>
                  <w:szCs w:val="18"/>
                  <w:color w:val="auto"/>
                </w:rPr>
                <w:t>Our Governance Framework</w:t>
              </w:r>
            </w:hyperlink>
          </w:p>
        </w:tc>
        <w:tc>
          <w:tcPr>
            <w:tcW w:w="21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14</w:t>
              </w:r>
            </w:hyperlink>
          </w:p>
        </w:tc>
      </w:tr>
      <w:tr>
        <w:trPr>
          <w:trHeight w:val="243"/>
        </w:trPr>
        <w:tc>
          <w:tcPr>
            <w:tcW w:w="8680" w:type="dxa"/>
            <w:vAlign w:val="bottom"/>
          </w:tcPr>
          <w:p>
            <w:pPr>
              <w:spacing w:after="0"/>
              <w:rPr>
                <w:rFonts w:ascii="Arial" w:cs="Arial" w:eastAsia="Arial" w:hAnsi="Arial"/>
                <w:sz w:val="18"/>
                <w:szCs w:val="18"/>
                <w:color w:val="auto"/>
              </w:rPr>
            </w:pPr>
            <w:hyperlink w:anchor="page19">
              <w:r>
                <w:rPr>
                  <w:rFonts w:ascii="Arial" w:cs="Arial" w:eastAsia="Arial" w:hAnsi="Arial"/>
                  <w:sz w:val="18"/>
                  <w:szCs w:val="18"/>
                  <w:color w:val="auto"/>
                </w:rPr>
                <w:t>Executive Compensation</w:t>
              </w:r>
            </w:hyperlink>
          </w:p>
        </w:tc>
        <w:tc>
          <w:tcPr>
            <w:tcW w:w="212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15</w:t>
              </w:r>
            </w:hyperlink>
          </w:p>
        </w:tc>
      </w:tr>
      <w:tr>
        <w:trPr>
          <w:trHeight w:val="431"/>
        </w:trPr>
        <w:tc>
          <w:tcPr>
            <w:tcW w:w="8680" w:type="dxa"/>
            <w:vAlign w:val="bottom"/>
          </w:tcPr>
          <w:p>
            <w:pPr>
              <w:spacing w:after="0"/>
              <w:rPr>
                <w:rFonts w:ascii="Arial" w:cs="Arial" w:eastAsia="Arial" w:hAnsi="Arial"/>
                <w:sz w:val="19"/>
                <w:szCs w:val="19"/>
                <w:b w:val="1"/>
                <w:bCs w:val="1"/>
                <w:color w:val="582C83"/>
              </w:rPr>
            </w:pPr>
            <w:hyperlink w:anchor="page21">
              <w:r>
                <w:rPr>
                  <w:rFonts w:ascii="Arial" w:cs="Arial" w:eastAsia="Arial" w:hAnsi="Arial"/>
                  <w:sz w:val="19"/>
                  <w:szCs w:val="19"/>
                  <w:b w:val="1"/>
                  <w:bCs w:val="1"/>
                  <w:color w:val="582C83"/>
                </w:rPr>
                <w:t>ITEM 1. ELECTION OF DIRECTORS</w:t>
              </w:r>
            </w:hyperlink>
          </w:p>
        </w:tc>
        <w:tc>
          <w:tcPr>
            <w:tcW w:w="2120" w:type="dxa"/>
            <w:vAlign w:val="bottom"/>
          </w:tcPr>
          <w:p>
            <w:pPr>
              <w:jc w:val="right"/>
              <w:spacing w:after="0"/>
              <w:rPr>
                <w:rFonts w:ascii="Arial" w:cs="Arial" w:eastAsia="Arial" w:hAnsi="Arial"/>
                <w:sz w:val="19"/>
                <w:szCs w:val="19"/>
                <w:b w:val="1"/>
                <w:bCs w:val="1"/>
                <w:color w:val="582C83"/>
              </w:rPr>
            </w:pPr>
            <w:hyperlink w:anchor="page21">
              <w:r>
                <w:rPr>
                  <w:rFonts w:ascii="Arial" w:cs="Arial" w:eastAsia="Arial" w:hAnsi="Arial"/>
                  <w:sz w:val="19"/>
                  <w:szCs w:val="19"/>
                  <w:b w:val="1"/>
                  <w:bCs w:val="1"/>
                  <w:color w:val="582C83"/>
                </w:rPr>
                <w:t>17</w:t>
              </w:r>
            </w:hyperlink>
          </w:p>
        </w:tc>
      </w:tr>
      <w:tr>
        <w:trPr>
          <w:trHeight w:val="231"/>
        </w:trPr>
        <w:tc>
          <w:tcPr>
            <w:tcW w:w="868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How We Build an Experienced and Qualified Board</w:t>
              </w:r>
            </w:hyperlink>
          </w:p>
        </w:tc>
        <w:tc>
          <w:tcPr>
            <w:tcW w:w="212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17</w:t>
              </w:r>
            </w:hyperlink>
          </w:p>
        </w:tc>
      </w:tr>
      <w:tr>
        <w:trPr>
          <w:trHeight w:val="243"/>
        </w:trPr>
        <w:tc>
          <w:tcPr>
            <w:tcW w:w="8680" w:type="dxa"/>
            <w:vAlign w:val="bottom"/>
          </w:tcPr>
          <w:p>
            <w:pPr>
              <w:spacing w:after="0"/>
              <w:rPr>
                <w:rFonts w:ascii="Arial" w:cs="Arial" w:eastAsia="Arial" w:hAnsi="Arial"/>
                <w:sz w:val="18"/>
                <w:szCs w:val="18"/>
                <w:color w:val="auto"/>
              </w:rPr>
            </w:pPr>
            <w:hyperlink w:anchor="page24">
              <w:r>
                <w:rPr>
                  <w:rFonts w:ascii="Arial" w:cs="Arial" w:eastAsia="Arial" w:hAnsi="Arial"/>
                  <w:sz w:val="18"/>
                  <w:szCs w:val="18"/>
                  <w:color w:val="auto"/>
                </w:rPr>
                <w:t>Director Skills</w:t>
              </w:r>
            </w:hyperlink>
          </w:p>
        </w:tc>
        <w:tc>
          <w:tcPr>
            <w:tcW w:w="21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20</w:t>
              </w:r>
            </w:hyperlink>
          </w:p>
        </w:tc>
      </w:tr>
      <w:tr>
        <w:trPr>
          <w:trHeight w:val="243"/>
        </w:trPr>
        <w:tc>
          <w:tcPr>
            <w:tcW w:w="8680" w:type="dxa"/>
            <w:vAlign w:val="bottom"/>
          </w:tcPr>
          <w:p>
            <w:pPr>
              <w:spacing w:after="0"/>
              <w:rPr>
                <w:rFonts w:ascii="Arial" w:cs="Arial" w:eastAsia="Arial" w:hAnsi="Arial"/>
                <w:sz w:val="18"/>
                <w:szCs w:val="18"/>
                <w:color w:val="auto"/>
              </w:rPr>
            </w:pPr>
            <w:hyperlink w:anchor="page26">
              <w:r>
                <w:rPr>
                  <w:rFonts w:ascii="Arial" w:cs="Arial" w:eastAsia="Arial" w:hAnsi="Arial"/>
                  <w:sz w:val="18"/>
                  <w:szCs w:val="18"/>
                  <w:color w:val="auto"/>
                </w:rPr>
                <w:t>Shareholder Recommendations for Director Candidates</w:t>
              </w:r>
            </w:hyperlink>
          </w:p>
        </w:tc>
        <w:tc>
          <w:tcPr>
            <w:tcW w:w="21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r>
      <w:tr>
        <w:trPr>
          <w:trHeight w:val="243"/>
        </w:trPr>
        <w:tc>
          <w:tcPr>
            <w:tcW w:w="8680" w:type="dxa"/>
            <w:vAlign w:val="bottom"/>
          </w:tcPr>
          <w:p>
            <w:pPr>
              <w:spacing w:after="0"/>
              <w:rPr>
                <w:rFonts w:ascii="Arial" w:cs="Arial" w:eastAsia="Arial" w:hAnsi="Arial"/>
                <w:sz w:val="18"/>
                <w:szCs w:val="18"/>
                <w:color w:val="auto"/>
              </w:rPr>
            </w:pPr>
            <w:hyperlink w:anchor="page26">
              <w:r>
                <w:rPr>
                  <w:rFonts w:ascii="Arial" w:cs="Arial" w:eastAsia="Arial" w:hAnsi="Arial"/>
                  <w:sz w:val="18"/>
                  <w:szCs w:val="18"/>
                  <w:color w:val="auto"/>
                </w:rPr>
                <w:t>Shareholders Elect Directors Annually</w:t>
              </w:r>
            </w:hyperlink>
          </w:p>
        </w:tc>
        <w:tc>
          <w:tcPr>
            <w:tcW w:w="21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22</w:t>
              </w:r>
            </w:hyperlink>
          </w:p>
        </w:tc>
      </w:tr>
      <w:tr>
        <w:trPr>
          <w:trHeight w:val="243"/>
        </w:trPr>
        <w:tc>
          <w:tcPr>
            <w:tcW w:w="8680" w:type="dxa"/>
            <w:vAlign w:val="bottom"/>
          </w:tcPr>
          <w:p>
            <w:pPr>
              <w:spacing w:after="0"/>
              <w:rPr>
                <w:rFonts w:ascii="Arial" w:cs="Arial" w:eastAsia="Arial" w:hAnsi="Arial"/>
                <w:sz w:val="18"/>
                <w:szCs w:val="18"/>
                <w:color w:val="auto"/>
              </w:rPr>
            </w:pPr>
            <w:hyperlink w:anchor="page27">
              <w:r>
                <w:rPr>
                  <w:rFonts w:ascii="Arial" w:cs="Arial" w:eastAsia="Arial" w:hAnsi="Arial"/>
                  <w:sz w:val="18"/>
                  <w:szCs w:val="18"/>
                  <w:color w:val="auto"/>
                </w:rPr>
                <w:t>Director Nominees for Election at the Annual Meeting</w:t>
              </w:r>
            </w:hyperlink>
          </w:p>
        </w:tc>
        <w:tc>
          <w:tcPr>
            <w:tcW w:w="212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23</w:t>
              </w:r>
            </w:hyperlink>
          </w:p>
        </w:tc>
      </w:tr>
      <w:tr>
        <w:trPr>
          <w:trHeight w:val="431"/>
        </w:trPr>
        <w:tc>
          <w:tcPr>
            <w:tcW w:w="8680" w:type="dxa"/>
            <w:vAlign w:val="bottom"/>
          </w:tcPr>
          <w:p>
            <w:pPr>
              <w:spacing w:after="0"/>
              <w:rPr>
                <w:rFonts w:ascii="Arial" w:cs="Arial" w:eastAsia="Arial" w:hAnsi="Arial"/>
                <w:sz w:val="19"/>
                <w:szCs w:val="19"/>
                <w:b w:val="1"/>
                <w:bCs w:val="1"/>
                <w:color w:val="582C83"/>
              </w:rPr>
            </w:pPr>
            <w:hyperlink w:anchor="page36">
              <w:r>
                <w:rPr>
                  <w:rFonts w:ascii="Arial" w:cs="Arial" w:eastAsia="Arial" w:hAnsi="Arial"/>
                  <w:sz w:val="19"/>
                  <w:szCs w:val="19"/>
                  <w:b w:val="1"/>
                  <w:bCs w:val="1"/>
                  <w:color w:val="582C83"/>
                </w:rPr>
                <w:t>CORPORATE GOVERNANCE</w:t>
              </w:r>
            </w:hyperlink>
          </w:p>
        </w:tc>
        <w:tc>
          <w:tcPr>
            <w:tcW w:w="2120" w:type="dxa"/>
            <w:vAlign w:val="bottom"/>
          </w:tcPr>
          <w:p>
            <w:pPr>
              <w:jc w:val="right"/>
              <w:spacing w:after="0"/>
              <w:rPr>
                <w:rFonts w:ascii="Arial" w:cs="Arial" w:eastAsia="Arial" w:hAnsi="Arial"/>
                <w:sz w:val="19"/>
                <w:szCs w:val="19"/>
                <w:b w:val="1"/>
                <w:bCs w:val="1"/>
                <w:color w:val="582C83"/>
              </w:rPr>
            </w:pPr>
            <w:hyperlink w:anchor="page36">
              <w:r>
                <w:rPr>
                  <w:rFonts w:ascii="Arial" w:cs="Arial" w:eastAsia="Arial" w:hAnsi="Arial"/>
                  <w:sz w:val="19"/>
                  <w:szCs w:val="19"/>
                  <w:b w:val="1"/>
                  <w:bCs w:val="1"/>
                  <w:color w:val="582C83"/>
                </w:rPr>
                <w:t>32</w:t>
              </w:r>
            </w:hyperlink>
          </w:p>
        </w:tc>
      </w:tr>
      <w:tr>
        <w:trPr>
          <w:trHeight w:val="231"/>
        </w:trPr>
        <w:tc>
          <w:tcPr>
            <w:tcW w:w="868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Governance Guidelines</w:t>
              </w:r>
            </w:hyperlink>
          </w:p>
        </w:tc>
        <w:tc>
          <w:tcPr>
            <w:tcW w:w="21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32</w:t>
              </w:r>
            </w:hyperlink>
          </w:p>
        </w:tc>
      </w:tr>
      <w:tr>
        <w:trPr>
          <w:trHeight w:val="243"/>
        </w:trPr>
        <w:tc>
          <w:tcPr>
            <w:tcW w:w="8680" w:type="dxa"/>
            <w:vAlign w:val="bottom"/>
          </w:tcPr>
          <w:p>
            <w:pPr>
              <w:spacing w:after="0"/>
              <w:rPr>
                <w:rFonts w:ascii="Arial" w:cs="Arial" w:eastAsia="Arial" w:hAnsi="Arial"/>
                <w:sz w:val="18"/>
                <w:szCs w:val="18"/>
                <w:color w:val="auto"/>
              </w:rPr>
            </w:pPr>
            <w:hyperlink w:anchor="page38">
              <w:r>
                <w:rPr>
                  <w:rFonts w:ascii="Arial" w:cs="Arial" w:eastAsia="Arial" w:hAnsi="Arial"/>
                  <w:sz w:val="18"/>
                  <w:szCs w:val="18"/>
                  <w:color w:val="auto"/>
                </w:rPr>
                <w:t>Director Onboarding and Education</w:t>
              </w:r>
            </w:hyperlink>
          </w:p>
        </w:tc>
        <w:tc>
          <w:tcPr>
            <w:tcW w:w="21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34</w:t>
              </w:r>
            </w:hyperlink>
          </w:p>
        </w:tc>
      </w:tr>
      <w:tr>
        <w:trPr>
          <w:trHeight w:val="243"/>
        </w:trPr>
        <w:tc>
          <w:tcPr>
            <w:tcW w:w="8680" w:type="dxa"/>
            <w:vAlign w:val="bottom"/>
          </w:tcPr>
          <w:p>
            <w:pPr>
              <w:spacing w:after="0"/>
              <w:rPr>
                <w:rFonts w:ascii="Arial" w:cs="Arial" w:eastAsia="Arial" w:hAnsi="Arial"/>
                <w:sz w:val="18"/>
                <w:szCs w:val="18"/>
                <w:color w:val="auto"/>
              </w:rPr>
            </w:pPr>
            <w:hyperlink w:anchor="page39">
              <w:r>
                <w:rPr>
                  <w:rFonts w:ascii="Arial" w:cs="Arial" w:eastAsia="Arial" w:hAnsi="Arial"/>
                  <w:sz w:val="18"/>
                  <w:szCs w:val="18"/>
                  <w:color w:val="auto"/>
                </w:rPr>
                <w:t>Board Leadership Structure</w:t>
              </w:r>
            </w:hyperlink>
          </w:p>
        </w:tc>
        <w:tc>
          <w:tcPr>
            <w:tcW w:w="21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35</w:t>
              </w:r>
            </w:hyperlink>
          </w:p>
        </w:tc>
      </w:tr>
      <w:tr>
        <w:trPr>
          <w:trHeight w:val="243"/>
        </w:trPr>
        <w:tc>
          <w:tcPr>
            <w:tcW w:w="868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Director Independence</w:t>
              </w:r>
            </w:hyperlink>
          </w:p>
        </w:tc>
        <w:tc>
          <w:tcPr>
            <w:tcW w:w="21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37</w:t>
              </w:r>
            </w:hyperlink>
          </w:p>
        </w:tc>
      </w:tr>
      <w:tr>
        <w:trPr>
          <w:trHeight w:val="243"/>
        </w:trPr>
        <w:tc>
          <w:tcPr>
            <w:tcW w:w="868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Board Oversight of Strategy</w:t>
              </w:r>
            </w:hyperlink>
          </w:p>
        </w:tc>
        <w:tc>
          <w:tcPr>
            <w:tcW w:w="21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37</w:t>
              </w:r>
            </w:hyperlink>
          </w:p>
        </w:tc>
      </w:tr>
      <w:tr>
        <w:trPr>
          <w:trHeight w:val="243"/>
        </w:trPr>
        <w:tc>
          <w:tcPr>
            <w:tcW w:w="8680" w:type="dxa"/>
            <w:vAlign w:val="bottom"/>
          </w:tcPr>
          <w:p>
            <w:pPr>
              <w:spacing w:after="0"/>
              <w:rPr>
                <w:rFonts w:ascii="Arial" w:cs="Arial" w:eastAsia="Arial" w:hAnsi="Arial"/>
                <w:sz w:val="18"/>
                <w:szCs w:val="18"/>
                <w:color w:val="auto"/>
              </w:rPr>
            </w:pPr>
            <w:hyperlink w:anchor="page42">
              <w:r>
                <w:rPr>
                  <w:rFonts w:ascii="Arial" w:cs="Arial" w:eastAsia="Arial" w:hAnsi="Arial"/>
                  <w:sz w:val="18"/>
                  <w:szCs w:val="18"/>
                  <w:color w:val="auto"/>
                </w:rPr>
                <w:t>Board Oversight of Risk Management</w:t>
              </w:r>
            </w:hyperlink>
          </w:p>
        </w:tc>
        <w:tc>
          <w:tcPr>
            <w:tcW w:w="21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38</w:t>
              </w:r>
            </w:hyperlink>
          </w:p>
        </w:tc>
      </w:tr>
      <w:tr>
        <w:trPr>
          <w:trHeight w:val="243"/>
        </w:trPr>
        <w:tc>
          <w:tcPr>
            <w:tcW w:w="8680" w:type="dxa"/>
            <w:vAlign w:val="bottom"/>
          </w:tcPr>
          <w:p>
            <w:pPr>
              <w:spacing w:after="0"/>
              <w:rPr>
                <w:rFonts w:ascii="Arial" w:cs="Arial" w:eastAsia="Arial" w:hAnsi="Arial"/>
                <w:sz w:val="18"/>
                <w:szCs w:val="18"/>
                <w:color w:val="auto"/>
              </w:rPr>
            </w:pPr>
            <w:hyperlink w:anchor="page44">
              <w:r>
                <w:rPr>
                  <w:rFonts w:ascii="Arial" w:cs="Arial" w:eastAsia="Arial" w:hAnsi="Arial"/>
                  <w:sz w:val="18"/>
                  <w:szCs w:val="18"/>
                  <w:color w:val="auto"/>
                </w:rPr>
                <w:t>Board Oversight of Human Capital Management and Corporate Culture</w:t>
              </w:r>
            </w:hyperlink>
          </w:p>
        </w:tc>
        <w:tc>
          <w:tcPr>
            <w:tcW w:w="212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40</w:t>
              </w:r>
            </w:hyperlink>
          </w:p>
        </w:tc>
      </w:tr>
      <w:tr>
        <w:trPr>
          <w:trHeight w:val="243"/>
        </w:trPr>
        <w:tc>
          <w:tcPr>
            <w:tcW w:w="8680" w:type="dxa"/>
            <w:vAlign w:val="bottom"/>
          </w:tcPr>
          <w:p>
            <w:pPr>
              <w:spacing w:after="0"/>
              <w:rPr>
                <w:rFonts w:ascii="Arial" w:cs="Arial" w:eastAsia="Arial" w:hAnsi="Arial"/>
                <w:sz w:val="18"/>
                <w:szCs w:val="18"/>
                <w:color w:val="auto"/>
              </w:rPr>
            </w:pPr>
            <w:hyperlink w:anchor="page45">
              <w:r>
                <w:rPr>
                  <w:rFonts w:ascii="Arial" w:cs="Arial" w:eastAsia="Arial" w:hAnsi="Arial"/>
                  <w:sz w:val="18"/>
                  <w:szCs w:val="18"/>
                  <w:color w:val="auto"/>
                </w:rPr>
                <w:t>Meeting Attendance</w:t>
              </w:r>
            </w:hyperlink>
          </w:p>
        </w:tc>
        <w:tc>
          <w:tcPr>
            <w:tcW w:w="21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41</w:t>
              </w:r>
            </w:hyperlink>
          </w:p>
        </w:tc>
      </w:tr>
      <w:tr>
        <w:trPr>
          <w:trHeight w:val="243"/>
        </w:trPr>
        <w:tc>
          <w:tcPr>
            <w:tcW w:w="86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Codes of Conduct</w:t>
              </w:r>
            </w:hyperlink>
          </w:p>
        </w:tc>
        <w:tc>
          <w:tcPr>
            <w:tcW w:w="21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43"/>
        </w:trPr>
        <w:tc>
          <w:tcPr>
            <w:tcW w:w="86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Where to Find More Information</w:t>
              </w:r>
            </w:hyperlink>
          </w:p>
        </w:tc>
        <w:tc>
          <w:tcPr>
            <w:tcW w:w="21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43"/>
        </w:trPr>
        <w:tc>
          <w:tcPr>
            <w:tcW w:w="8680" w:type="dxa"/>
            <w:vAlign w:val="bottom"/>
          </w:tcPr>
          <w:p>
            <w:pPr>
              <w:spacing w:after="0"/>
              <w:rPr>
                <w:rFonts w:ascii="Arial" w:cs="Arial" w:eastAsia="Arial" w:hAnsi="Arial"/>
                <w:sz w:val="18"/>
                <w:szCs w:val="18"/>
                <w:color w:val="auto"/>
              </w:rPr>
            </w:pPr>
            <w:hyperlink w:anchor="page46">
              <w:r>
                <w:rPr>
                  <w:rFonts w:ascii="Arial" w:cs="Arial" w:eastAsia="Arial" w:hAnsi="Arial"/>
                  <w:sz w:val="18"/>
                  <w:szCs w:val="18"/>
                  <w:color w:val="auto"/>
                </w:rPr>
                <w:t>Review of Transactions with Related Persons</w:t>
              </w:r>
            </w:hyperlink>
          </w:p>
        </w:tc>
        <w:tc>
          <w:tcPr>
            <w:tcW w:w="212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42</w:t>
              </w:r>
            </w:hyperlink>
          </w:p>
        </w:tc>
      </w:tr>
      <w:tr>
        <w:trPr>
          <w:trHeight w:val="243"/>
        </w:trPr>
        <w:tc>
          <w:tcPr>
            <w:tcW w:w="8680" w:type="dxa"/>
            <w:vAlign w:val="bottom"/>
          </w:tcPr>
          <w:p>
            <w:pPr>
              <w:spacing w:after="0"/>
              <w:rPr>
                <w:rFonts w:ascii="Arial" w:cs="Arial" w:eastAsia="Arial" w:hAnsi="Arial"/>
                <w:sz w:val="18"/>
                <w:szCs w:val="18"/>
                <w:color w:val="auto"/>
              </w:rPr>
            </w:pPr>
            <w:hyperlink w:anchor="page47">
              <w:r>
                <w:rPr>
                  <w:rFonts w:ascii="Arial" w:cs="Arial" w:eastAsia="Arial" w:hAnsi="Arial"/>
                  <w:sz w:val="18"/>
                  <w:szCs w:val="18"/>
                  <w:color w:val="auto"/>
                </w:rPr>
                <w:t>Anti-Hedging Policy</w:t>
              </w:r>
            </w:hyperlink>
          </w:p>
        </w:tc>
        <w:tc>
          <w:tcPr>
            <w:tcW w:w="21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43</w:t>
              </w:r>
            </w:hyperlink>
          </w:p>
        </w:tc>
      </w:tr>
      <w:tr>
        <w:trPr>
          <w:trHeight w:val="243"/>
        </w:trPr>
        <w:tc>
          <w:tcPr>
            <w:tcW w:w="8680" w:type="dxa"/>
            <w:vAlign w:val="bottom"/>
          </w:tcPr>
          <w:p>
            <w:pPr>
              <w:spacing w:after="0"/>
              <w:rPr>
                <w:rFonts w:ascii="Arial" w:cs="Arial" w:eastAsia="Arial" w:hAnsi="Arial"/>
                <w:sz w:val="18"/>
                <w:szCs w:val="18"/>
                <w:color w:val="auto"/>
              </w:rPr>
            </w:pPr>
            <w:hyperlink w:anchor="page48">
              <w:r>
                <w:rPr>
                  <w:rFonts w:ascii="Arial" w:cs="Arial" w:eastAsia="Arial" w:hAnsi="Arial"/>
                  <w:sz w:val="18"/>
                  <w:szCs w:val="18"/>
                  <w:color w:val="auto"/>
                </w:rPr>
                <w:t>Shareholder Outreach and Communications with the Board</w:t>
              </w:r>
            </w:hyperlink>
          </w:p>
        </w:tc>
        <w:tc>
          <w:tcPr>
            <w:tcW w:w="21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44</w:t>
              </w:r>
            </w:hyperlink>
          </w:p>
        </w:tc>
      </w:tr>
      <w:tr>
        <w:trPr>
          <w:trHeight w:val="431"/>
        </w:trPr>
        <w:tc>
          <w:tcPr>
            <w:tcW w:w="8680" w:type="dxa"/>
            <w:vAlign w:val="bottom"/>
          </w:tcPr>
          <w:p>
            <w:pPr>
              <w:spacing w:after="0"/>
              <w:rPr>
                <w:rFonts w:ascii="Arial" w:cs="Arial" w:eastAsia="Arial" w:hAnsi="Arial"/>
                <w:sz w:val="19"/>
                <w:szCs w:val="19"/>
                <w:b w:val="1"/>
                <w:bCs w:val="1"/>
                <w:color w:val="582C83"/>
              </w:rPr>
            </w:pPr>
            <w:hyperlink w:anchor="page49">
              <w:r>
                <w:rPr>
                  <w:rFonts w:ascii="Arial" w:cs="Arial" w:eastAsia="Arial" w:hAnsi="Arial"/>
                  <w:sz w:val="19"/>
                  <w:szCs w:val="19"/>
                  <w:b w:val="1"/>
                  <w:bCs w:val="1"/>
                  <w:color w:val="582C83"/>
                </w:rPr>
                <w:t>BOARD COMMITTEES AND MEMBERSHIP</w:t>
              </w:r>
            </w:hyperlink>
          </w:p>
        </w:tc>
        <w:tc>
          <w:tcPr>
            <w:tcW w:w="2120" w:type="dxa"/>
            <w:vAlign w:val="bottom"/>
          </w:tcPr>
          <w:p>
            <w:pPr>
              <w:jc w:val="right"/>
              <w:spacing w:after="0"/>
              <w:rPr>
                <w:rFonts w:ascii="Arial" w:cs="Arial" w:eastAsia="Arial" w:hAnsi="Arial"/>
                <w:sz w:val="19"/>
                <w:szCs w:val="19"/>
                <w:b w:val="1"/>
                <w:bCs w:val="1"/>
                <w:color w:val="582C83"/>
              </w:rPr>
            </w:pPr>
            <w:hyperlink w:anchor="page49">
              <w:r>
                <w:rPr>
                  <w:rFonts w:ascii="Arial" w:cs="Arial" w:eastAsia="Arial" w:hAnsi="Arial"/>
                  <w:sz w:val="19"/>
                  <w:szCs w:val="19"/>
                  <w:b w:val="1"/>
                  <w:bCs w:val="1"/>
                  <w:color w:val="582C83"/>
                </w:rPr>
                <w:t>45</w:t>
              </w:r>
            </w:hyperlink>
          </w:p>
        </w:tc>
      </w:tr>
      <w:tr>
        <w:trPr>
          <w:trHeight w:val="231"/>
        </w:trPr>
        <w:tc>
          <w:tcPr>
            <w:tcW w:w="868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Committee Membership</w:t>
              </w:r>
            </w:hyperlink>
          </w:p>
        </w:tc>
        <w:tc>
          <w:tcPr>
            <w:tcW w:w="21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45</w:t>
              </w:r>
            </w:hyperlink>
          </w:p>
        </w:tc>
      </w:tr>
      <w:tr>
        <w:trPr>
          <w:trHeight w:val="243"/>
        </w:trPr>
        <w:tc>
          <w:tcPr>
            <w:tcW w:w="8680" w:type="dxa"/>
            <w:vAlign w:val="bottom"/>
          </w:tcPr>
          <w:p>
            <w:pPr>
              <w:spacing w:after="0"/>
              <w:rPr>
                <w:rFonts w:ascii="Arial" w:cs="Arial" w:eastAsia="Arial" w:hAnsi="Arial"/>
                <w:sz w:val="18"/>
                <w:szCs w:val="18"/>
                <w:color w:val="auto"/>
              </w:rPr>
            </w:pPr>
            <w:hyperlink w:anchor="page50">
              <w:r>
                <w:rPr>
                  <w:rFonts w:ascii="Arial" w:cs="Arial" w:eastAsia="Arial" w:hAnsi="Arial"/>
                  <w:sz w:val="18"/>
                  <w:szCs w:val="18"/>
                  <w:color w:val="auto"/>
                </w:rPr>
                <w:t>Audit Committee</w:t>
              </w:r>
            </w:hyperlink>
          </w:p>
        </w:tc>
        <w:tc>
          <w:tcPr>
            <w:tcW w:w="21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46</w:t>
              </w:r>
            </w:hyperlink>
          </w:p>
        </w:tc>
      </w:tr>
      <w:tr>
        <w:trPr>
          <w:trHeight w:val="243"/>
        </w:trPr>
        <w:tc>
          <w:tcPr>
            <w:tcW w:w="868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Finance Committee</w:t>
              </w:r>
            </w:hyperlink>
          </w:p>
        </w:tc>
        <w:tc>
          <w:tcPr>
            <w:tcW w:w="212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49</w:t>
              </w:r>
            </w:hyperlink>
          </w:p>
        </w:tc>
      </w:tr>
      <w:tr>
        <w:trPr>
          <w:trHeight w:val="243"/>
        </w:trPr>
        <w:tc>
          <w:tcPr>
            <w:tcW w:w="868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Governance, Membership and Sustainability Committee</w:t>
              </w:r>
            </w:hyperlink>
          </w:p>
        </w:tc>
        <w:tc>
          <w:tcPr>
            <w:tcW w:w="212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50</w:t>
              </w:r>
            </w:hyperlink>
          </w:p>
        </w:tc>
      </w:tr>
      <w:tr>
        <w:trPr>
          <w:trHeight w:val="243"/>
        </w:trPr>
        <w:tc>
          <w:tcPr>
            <w:tcW w:w="8680" w:type="dxa"/>
            <w:vAlign w:val="bottom"/>
          </w:tcPr>
          <w:p>
            <w:pPr>
              <w:spacing w:after="0"/>
              <w:rPr>
                <w:rFonts w:ascii="Arial" w:cs="Arial" w:eastAsia="Arial" w:hAnsi="Arial"/>
                <w:sz w:val="18"/>
                <w:szCs w:val="18"/>
                <w:color w:val="auto"/>
              </w:rPr>
            </w:pPr>
            <w:hyperlink w:anchor="page55">
              <w:r>
                <w:rPr>
                  <w:rFonts w:ascii="Arial" w:cs="Arial" w:eastAsia="Arial" w:hAnsi="Arial"/>
                  <w:sz w:val="18"/>
                  <w:szCs w:val="18"/>
                  <w:color w:val="auto"/>
                </w:rPr>
                <w:t>People and Compensation Committee</w:t>
              </w:r>
            </w:hyperlink>
          </w:p>
        </w:tc>
        <w:tc>
          <w:tcPr>
            <w:tcW w:w="212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51</w:t>
              </w:r>
            </w:hyperlink>
          </w:p>
        </w:tc>
      </w:tr>
      <w:tr>
        <w:trPr>
          <w:trHeight w:val="431"/>
        </w:trPr>
        <w:tc>
          <w:tcPr>
            <w:tcW w:w="8680" w:type="dxa"/>
            <w:vAlign w:val="bottom"/>
          </w:tcPr>
          <w:p>
            <w:pPr>
              <w:spacing w:after="0"/>
              <w:rPr>
                <w:rFonts w:ascii="Arial" w:cs="Arial" w:eastAsia="Arial" w:hAnsi="Arial"/>
                <w:sz w:val="19"/>
                <w:szCs w:val="19"/>
                <w:b w:val="1"/>
                <w:bCs w:val="1"/>
                <w:color w:val="582C83"/>
              </w:rPr>
            </w:pPr>
            <w:hyperlink w:anchor="page60">
              <w:r>
                <w:rPr>
                  <w:rFonts w:ascii="Arial" w:cs="Arial" w:eastAsia="Arial" w:hAnsi="Arial"/>
                  <w:sz w:val="19"/>
                  <w:szCs w:val="19"/>
                  <w:b w:val="1"/>
                  <w:bCs w:val="1"/>
                  <w:color w:val="582C83"/>
                </w:rPr>
                <w:t>OUR DISTINCTIVE APPROACH TO ENVIRONMENTAL AND SOCIAL ISSUES</w:t>
              </w:r>
            </w:hyperlink>
          </w:p>
        </w:tc>
        <w:tc>
          <w:tcPr>
            <w:tcW w:w="2120" w:type="dxa"/>
            <w:vAlign w:val="bottom"/>
          </w:tcPr>
          <w:p>
            <w:pPr>
              <w:jc w:val="right"/>
              <w:spacing w:after="0"/>
              <w:rPr>
                <w:rFonts w:ascii="Arial" w:cs="Arial" w:eastAsia="Arial" w:hAnsi="Arial"/>
                <w:sz w:val="19"/>
                <w:szCs w:val="19"/>
                <w:b w:val="1"/>
                <w:bCs w:val="1"/>
                <w:color w:val="582C83"/>
              </w:rPr>
            </w:pPr>
            <w:hyperlink w:anchor="page60">
              <w:r>
                <w:rPr>
                  <w:rFonts w:ascii="Arial" w:cs="Arial" w:eastAsia="Arial" w:hAnsi="Arial"/>
                  <w:sz w:val="19"/>
                  <w:szCs w:val="19"/>
                  <w:b w:val="1"/>
                  <w:bCs w:val="1"/>
                  <w:color w:val="582C83"/>
                </w:rPr>
                <w:t>56</w:t>
              </w:r>
            </w:hyperlink>
          </w:p>
        </w:tc>
      </w:tr>
      <w:tr>
        <w:trPr>
          <w:trHeight w:val="231"/>
        </w:trPr>
        <w:tc>
          <w:tcPr>
            <w:tcW w:w="868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Board Oversight and Governance of ESG</w:t>
              </w:r>
            </w:hyperlink>
          </w:p>
        </w:tc>
        <w:tc>
          <w:tcPr>
            <w:tcW w:w="212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57</w:t>
              </w:r>
            </w:hyperlink>
          </w:p>
        </w:tc>
      </w:tr>
      <w:tr>
        <w:trPr>
          <w:trHeight w:val="243"/>
        </w:trPr>
        <w:tc>
          <w:tcPr>
            <w:tcW w:w="868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Goals</w:t>
              </w:r>
            </w:hyperlink>
          </w:p>
        </w:tc>
        <w:tc>
          <w:tcPr>
            <w:tcW w:w="21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58</w:t>
              </w:r>
            </w:hyperlink>
          </w:p>
        </w:tc>
      </w:tr>
      <w:tr>
        <w:trPr>
          <w:trHeight w:val="243"/>
        </w:trPr>
        <w:tc>
          <w:tcPr>
            <w:tcW w:w="868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United Nations Sustainable Development Goals</w:t>
              </w:r>
            </w:hyperlink>
          </w:p>
        </w:tc>
        <w:tc>
          <w:tcPr>
            <w:tcW w:w="212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58</w:t>
              </w:r>
            </w:hyperlink>
          </w:p>
        </w:tc>
      </w:tr>
      <w:tr>
        <w:trPr>
          <w:trHeight w:val="243"/>
        </w:trPr>
        <w:tc>
          <w:tcPr>
            <w:tcW w:w="868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2021 Environmental and Social Achievements</w:t>
              </w:r>
            </w:hyperlink>
          </w:p>
        </w:tc>
        <w:tc>
          <w:tcPr>
            <w:tcW w:w="212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243"/>
        </w:trPr>
        <w:tc>
          <w:tcPr>
            <w:tcW w:w="868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ESG Reporting</w:t>
              </w:r>
            </w:hyperlink>
          </w:p>
        </w:tc>
        <w:tc>
          <w:tcPr>
            <w:tcW w:w="212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243"/>
        </w:trPr>
        <w:tc>
          <w:tcPr>
            <w:tcW w:w="8680" w:type="dxa"/>
            <w:vAlign w:val="bottom"/>
          </w:tcPr>
          <w:p>
            <w:pPr>
              <w:spacing w:after="0"/>
              <w:rPr>
                <w:rFonts w:ascii="Arial" w:cs="Arial" w:eastAsia="Arial" w:hAnsi="Arial"/>
                <w:sz w:val="18"/>
                <w:szCs w:val="18"/>
                <w:color w:val="auto"/>
              </w:rPr>
            </w:pPr>
            <w:hyperlink w:anchor="page63">
              <w:r>
                <w:rPr>
                  <w:rFonts w:ascii="Arial" w:cs="Arial" w:eastAsia="Arial" w:hAnsi="Arial"/>
                  <w:sz w:val="18"/>
                  <w:szCs w:val="18"/>
                  <w:color w:val="auto"/>
                </w:rPr>
                <w:t>About Our ESG Goals</w:t>
              </w:r>
            </w:hyperlink>
          </w:p>
        </w:tc>
        <w:tc>
          <w:tcPr>
            <w:tcW w:w="212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59</w:t>
              </w:r>
            </w:hyperlink>
          </w:p>
        </w:tc>
      </w:tr>
      <w:tr>
        <w:trPr>
          <w:trHeight w:val="432"/>
        </w:trPr>
        <w:tc>
          <w:tcPr>
            <w:tcW w:w="8680" w:type="dxa"/>
            <w:vAlign w:val="bottom"/>
          </w:tcPr>
          <w:p>
            <w:pPr>
              <w:spacing w:after="0"/>
              <w:rPr>
                <w:rFonts w:ascii="Arial" w:cs="Arial" w:eastAsia="Arial" w:hAnsi="Arial"/>
                <w:sz w:val="19"/>
                <w:szCs w:val="19"/>
                <w:b w:val="1"/>
                <w:bCs w:val="1"/>
                <w:color w:val="582C83"/>
              </w:rPr>
            </w:pPr>
            <w:hyperlink w:anchor="page64">
              <w:r>
                <w:rPr>
                  <w:rFonts w:ascii="Arial" w:cs="Arial" w:eastAsia="Arial" w:hAnsi="Arial"/>
                  <w:sz w:val="19"/>
                  <w:szCs w:val="19"/>
                  <w:b w:val="1"/>
                  <w:bCs w:val="1"/>
                  <w:color w:val="582C83"/>
                </w:rPr>
                <w:t>COMPENSATION OF NON-EMPLOYEE DIRECTORS</w:t>
              </w:r>
            </w:hyperlink>
          </w:p>
        </w:tc>
        <w:tc>
          <w:tcPr>
            <w:tcW w:w="2120" w:type="dxa"/>
            <w:vAlign w:val="bottom"/>
          </w:tcPr>
          <w:p>
            <w:pPr>
              <w:jc w:val="right"/>
              <w:spacing w:after="0"/>
              <w:rPr>
                <w:rFonts w:ascii="Arial" w:cs="Arial" w:eastAsia="Arial" w:hAnsi="Arial"/>
                <w:sz w:val="19"/>
                <w:szCs w:val="19"/>
                <w:b w:val="1"/>
                <w:bCs w:val="1"/>
                <w:color w:val="582C83"/>
              </w:rPr>
            </w:pPr>
            <w:hyperlink w:anchor="page64">
              <w:r>
                <w:rPr>
                  <w:rFonts w:ascii="Arial" w:cs="Arial" w:eastAsia="Arial" w:hAnsi="Arial"/>
                  <w:sz w:val="19"/>
                  <w:szCs w:val="19"/>
                  <w:b w:val="1"/>
                  <w:bCs w:val="1"/>
                  <w:color w:val="582C83"/>
                </w:rPr>
                <w:t>60</w:t>
              </w:r>
            </w:hyperlink>
          </w:p>
        </w:tc>
      </w:tr>
      <w:tr>
        <w:trPr>
          <w:trHeight w:val="417"/>
        </w:trPr>
        <w:tc>
          <w:tcPr>
            <w:tcW w:w="8680" w:type="dxa"/>
            <w:vAlign w:val="bottom"/>
          </w:tcPr>
          <w:p>
            <w:pPr>
              <w:spacing w:after="0"/>
              <w:rPr>
                <w:rFonts w:ascii="Arial" w:cs="Arial" w:eastAsia="Arial" w:hAnsi="Arial"/>
                <w:sz w:val="19"/>
                <w:szCs w:val="19"/>
                <w:b w:val="1"/>
                <w:bCs w:val="1"/>
                <w:color w:val="582C83"/>
              </w:rPr>
            </w:pPr>
            <w:hyperlink w:anchor="page68">
              <w:r>
                <w:rPr>
                  <w:rFonts w:ascii="Arial" w:cs="Arial" w:eastAsia="Arial" w:hAnsi="Arial"/>
                  <w:sz w:val="19"/>
                  <w:szCs w:val="19"/>
                  <w:b w:val="1"/>
                  <w:bCs w:val="1"/>
                  <w:color w:val="582C83"/>
                </w:rPr>
                <w:t>COMPENSATION DISCUSSION AND ANALYSIS</w:t>
              </w:r>
            </w:hyperlink>
          </w:p>
        </w:tc>
        <w:tc>
          <w:tcPr>
            <w:tcW w:w="2120" w:type="dxa"/>
            <w:vAlign w:val="bottom"/>
          </w:tcPr>
          <w:p>
            <w:pPr>
              <w:jc w:val="right"/>
              <w:spacing w:after="0"/>
              <w:rPr>
                <w:rFonts w:ascii="Arial" w:cs="Arial" w:eastAsia="Arial" w:hAnsi="Arial"/>
                <w:sz w:val="19"/>
                <w:szCs w:val="19"/>
                <w:b w:val="1"/>
                <w:bCs w:val="1"/>
                <w:color w:val="582C83"/>
              </w:rPr>
            </w:pPr>
            <w:hyperlink w:anchor="page68">
              <w:r>
                <w:rPr>
                  <w:rFonts w:ascii="Arial" w:cs="Arial" w:eastAsia="Arial" w:hAnsi="Arial"/>
                  <w:sz w:val="19"/>
                  <w:szCs w:val="19"/>
                  <w:b w:val="1"/>
                  <w:bCs w:val="1"/>
                  <w:color w:val="582C83"/>
                </w:rPr>
                <w:t>64</w:t>
              </w:r>
            </w:hyperlink>
          </w:p>
        </w:tc>
      </w:tr>
      <w:tr>
        <w:trPr>
          <w:trHeight w:val="231"/>
        </w:trPr>
        <w:tc>
          <w:tcPr>
            <w:tcW w:w="868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Executive Summary</w:t>
              </w:r>
            </w:hyperlink>
          </w:p>
        </w:tc>
        <w:tc>
          <w:tcPr>
            <w:tcW w:w="212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64</w:t>
              </w:r>
            </w:hyperlink>
          </w:p>
        </w:tc>
      </w:tr>
      <w:tr>
        <w:trPr>
          <w:trHeight w:val="243"/>
        </w:trPr>
        <w:tc>
          <w:tcPr>
            <w:tcW w:w="8680" w:type="dxa"/>
            <w:vAlign w:val="bottom"/>
          </w:tcPr>
          <w:p>
            <w:pPr>
              <w:spacing w:after="0"/>
              <w:rPr>
                <w:rFonts w:ascii="Arial" w:cs="Arial" w:eastAsia="Arial" w:hAnsi="Arial"/>
                <w:sz w:val="18"/>
                <w:szCs w:val="18"/>
                <w:color w:val="auto"/>
              </w:rPr>
            </w:pPr>
            <w:hyperlink w:anchor="page74">
              <w:r>
                <w:rPr>
                  <w:rFonts w:ascii="Arial" w:cs="Arial" w:eastAsia="Arial" w:hAnsi="Arial"/>
                  <w:sz w:val="18"/>
                  <w:szCs w:val="18"/>
                  <w:color w:val="auto"/>
                </w:rPr>
                <w:t>Detailed Program Discussion</w:t>
              </w:r>
            </w:hyperlink>
          </w:p>
        </w:tc>
        <w:tc>
          <w:tcPr>
            <w:tcW w:w="212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70</w:t>
              </w:r>
            </w:hyperlink>
          </w:p>
        </w:tc>
      </w:tr>
      <w:tr>
        <w:trPr>
          <w:trHeight w:val="243"/>
        </w:trPr>
        <w:tc>
          <w:tcPr>
            <w:tcW w:w="868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Compensation Governance</w:t>
              </w:r>
            </w:hyperlink>
          </w:p>
        </w:tc>
        <w:tc>
          <w:tcPr>
            <w:tcW w:w="212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87</w:t>
              </w:r>
            </w:hyperlink>
          </w:p>
        </w:tc>
      </w:tr>
    </w:tbl>
    <w:p>
      <w:pPr>
        <w:sectPr>
          <w:pgSz w:w="11900" w:h="16838" w:orient="portrait"/>
          <w:cols w:equalWidth="0" w:num="1">
            <w:col w:w="10800"/>
          </w:cols>
          <w:pgMar w:left="540" w:top="1027" w:right="55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60" w:type="dxa"/>
            <w:vAlign w:val="bottom"/>
          </w:tcPr>
          <w:p>
            <w:pPr>
              <w:spacing w:after="0"/>
              <w:rPr>
                <w:rFonts w:ascii="Arial" w:cs="Arial" w:eastAsia="Arial" w:hAnsi="Arial"/>
                <w:sz w:val="19"/>
                <w:szCs w:val="19"/>
                <w:b w:val="1"/>
                <w:bCs w:val="1"/>
                <w:color w:val="582C83"/>
              </w:rPr>
            </w:pPr>
            <w:hyperlink w:anchor="page93">
              <w:r>
                <w:rPr>
                  <w:rFonts w:ascii="Arial" w:cs="Arial" w:eastAsia="Arial" w:hAnsi="Arial"/>
                  <w:sz w:val="19"/>
                  <w:szCs w:val="19"/>
                  <w:b w:val="1"/>
                  <w:bCs w:val="1"/>
                  <w:color w:val="582C83"/>
                </w:rPr>
                <w:t>EXECUTIVE COMPENSATION TABLES</w:t>
              </w:r>
            </w:hyperlink>
          </w:p>
        </w:tc>
        <w:tc>
          <w:tcPr>
            <w:tcW w:w="740" w:type="dxa"/>
            <w:vAlign w:val="bottom"/>
          </w:tcPr>
          <w:p>
            <w:pPr>
              <w:jc w:val="right"/>
              <w:spacing w:after="0"/>
              <w:rPr>
                <w:rFonts w:ascii="Arial" w:cs="Arial" w:eastAsia="Arial" w:hAnsi="Arial"/>
                <w:sz w:val="19"/>
                <w:szCs w:val="19"/>
                <w:b w:val="1"/>
                <w:bCs w:val="1"/>
                <w:color w:val="582C83"/>
              </w:rPr>
            </w:pPr>
            <w:hyperlink w:anchor="page93">
              <w:r>
                <w:rPr>
                  <w:rFonts w:ascii="Arial" w:cs="Arial" w:eastAsia="Arial" w:hAnsi="Arial"/>
                  <w:sz w:val="19"/>
                  <w:szCs w:val="19"/>
                  <w:b w:val="1"/>
                  <w:bCs w:val="1"/>
                  <w:color w:val="582C83"/>
                </w:rPr>
                <w:t>89</w:t>
              </w:r>
            </w:hyperlink>
          </w:p>
        </w:tc>
      </w:tr>
      <w:tr>
        <w:trPr>
          <w:trHeight w:val="231"/>
        </w:trPr>
        <w:tc>
          <w:tcPr>
            <w:tcW w:w="1006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2021 Summary Compensation Table</w:t>
              </w:r>
            </w:hyperlink>
          </w:p>
        </w:tc>
        <w:tc>
          <w:tcPr>
            <w:tcW w:w="74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89</w:t>
              </w:r>
            </w:hyperlink>
          </w:p>
        </w:tc>
      </w:tr>
      <w:tr>
        <w:trPr>
          <w:trHeight w:val="243"/>
        </w:trPr>
        <w:tc>
          <w:tcPr>
            <w:tcW w:w="10060" w:type="dxa"/>
            <w:vAlign w:val="bottom"/>
          </w:tcPr>
          <w:p>
            <w:pPr>
              <w:spacing w:after="0"/>
              <w:rPr>
                <w:rFonts w:ascii="Arial" w:cs="Arial" w:eastAsia="Arial" w:hAnsi="Arial"/>
                <w:sz w:val="18"/>
                <w:szCs w:val="18"/>
                <w:color w:val="auto"/>
              </w:rPr>
            </w:pPr>
            <w:hyperlink w:anchor="page95">
              <w:r>
                <w:rPr>
                  <w:rFonts w:ascii="Arial" w:cs="Arial" w:eastAsia="Arial" w:hAnsi="Arial"/>
                  <w:sz w:val="18"/>
                  <w:szCs w:val="18"/>
                  <w:color w:val="auto"/>
                </w:rPr>
                <w:t>2021 Grants of Plan-Based Awards</w:t>
              </w:r>
            </w:hyperlink>
          </w:p>
        </w:tc>
        <w:tc>
          <w:tcPr>
            <w:tcW w:w="740" w:type="dxa"/>
            <w:vAlign w:val="bottom"/>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91</w:t>
              </w:r>
            </w:hyperlink>
          </w:p>
        </w:tc>
      </w:tr>
      <w:tr>
        <w:trPr>
          <w:trHeight w:val="243"/>
        </w:trPr>
        <w:tc>
          <w:tcPr>
            <w:tcW w:w="10060" w:type="dxa"/>
            <w:vAlign w:val="bottom"/>
          </w:tcPr>
          <w:p>
            <w:pPr>
              <w:spacing w:after="0"/>
              <w:rPr>
                <w:rFonts w:ascii="Arial" w:cs="Arial" w:eastAsia="Arial" w:hAnsi="Arial"/>
                <w:sz w:val="18"/>
                <w:szCs w:val="18"/>
                <w:color w:val="auto"/>
              </w:rPr>
            </w:pPr>
            <w:hyperlink w:anchor="page96">
              <w:r>
                <w:rPr>
                  <w:rFonts w:ascii="Arial" w:cs="Arial" w:eastAsia="Arial" w:hAnsi="Arial"/>
                  <w:sz w:val="18"/>
                  <w:szCs w:val="18"/>
                  <w:color w:val="auto"/>
                </w:rPr>
                <w:t>2021 Outstanding Equity Awards at Fiscal Year-End</w:t>
              </w:r>
            </w:hyperlink>
          </w:p>
        </w:tc>
        <w:tc>
          <w:tcPr>
            <w:tcW w:w="74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92</w:t>
              </w:r>
            </w:hyperlink>
          </w:p>
        </w:tc>
      </w:tr>
      <w:tr>
        <w:trPr>
          <w:trHeight w:val="243"/>
        </w:trPr>
        <w:tc>
          <w:tcPr>
            <w:tcW w:w="1006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2021 Options Exercised and Stock Vested</w:t>
              </w:r>
            </w:hyperlink>
          </w:p>
        </w:tc>
        <w:tc>
          <w:tcPr>
            <w:tcW w:w="7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94</w:t>
              </w:r>
            </w:hyperlink>
          </w:p>
        </w:tc>
      </w:tr>
      <w:tr>
        <w:trPr>
          <w:trHeight w:val="243"/>
        </w:trPr>
        <w:tc>
          <w:tcPr>
            <w:tcW w:w="10060" w:type="dxa"/>
            <w:vAlign w:val="bottom"/>
          </w:tcPr>
          <w:p>
            <w:pPr>
              <w:spacing w:after="0"/>
              <w:rPr>
                <w:rFonts w:ascii="Arial" w:cs="Arial" w:eastAsia="Arial" w:hAnsi="Arial"/>
                <w:sz w:val="18"/>
                <w:szCs w:val="18"/>
                <w:color w:val="auto"/>
              </w:rPr>
            </w:pPr>
            <w:hyperlink w:anchor="page98">
              <w:r>
                <w:rPr>
                  <w:rFonts w:ascii="Arial" w:cs="Arial" w:eastAsia="Arial" w:hAnsi="Arial"/>
                  <w:sz w:val="18"/>
                  <w:szCs w:val="18"/>
                  <w:color w:val="auto"/>
                </w:rPr>
                <w:t>2021 Pension Benefits</w:t>
              </w:r>
            </w:hyperlink>
          </w:p>
        </w:tc>
        <w:tc>
          <w:tcPr>
            <w:tcW w:w="740" w:type="dxa"/>
            <w:vAlign w:val="bottom"/>
          </w:tcPr>
          <w:p>
            <w:pPr>
              <w:jc w:val="right"/>
              <w:spacing w:after="0"/>
              <w:rPr>
                <w:rFonts w:ascii="Arial" w:cs="Arial" w:eastAsia="Arial" w:hAnsi="Arial"/>
                <w:sz w:val="18"/>
                <w:szCs w:val="18"/>
                <w:color w:val="auto"/>
              </w:rPr>
            </w:pPr>
            <w:hyperlink w:anchor="page98">
              <w:r>
                <w:rPr>
                  <w:rFonts w:ascii="Arial" w:cs="Arial" w:eastAsia="Arial" w:hAnsi="Arial"/>
                  <w:sz w:val="18"/>
                  <w:szCs w:val="18"/>
                  <w:color w:val="auto"/>
                </w:rPr>
                <w:t>94</w:t>
              </w:r>
            </w:hyperlink>
          </w:p>
        </w:tc>
      </w:tr>
      <w:tr>
        <w:trPr>
          <w:trHeight w:val="243"/>
        </w:trPr>
        <w:tc>
          <w:tcPr>
            <w:tcW w:w="100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Retirement Benefit Plan Description</w:t>
              </w:r>
            </w:hyperlink>
          </w:p>
        </w:tc>
        <w:tc>
          <w:tcPr>
            <w:tcW w:w="74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95</w:t>
              </w:r>
            </w:hyperlink>
          </w:p>
        </w:tc>
      </w:tr>
      <w:tr>
        <w:trPr>
          <w:trHeight w:val="243"/>
        </w:trPr>
        <w:tc>
          <w:tcPr>
            <w:tcW w:w="10060" w:type="dxa"/>
            <w:vAlign w:val="bottom"/>
          </w:tcPr>
          <w:p>
            <w:pPr>
              <w:spacing w:after="0"/>
              <w:rPr>
                <w:rFonts w:ascii="Arial" w:cs="Arial" w:eastAsia="Arial" w:hAnsi="Arial"/>
                <w:sz w:val="18"/>
                <w:szCs w:val="18"/>
                <w:color w:val="auto"/>
              </w:rPr>
            </w:pPr>
            <w:hyperlink w:anchor="page99">
              <w:r>
                <w:rPr>
                  <w:rFonts w:ascii="Arial" w:cs="Arial" w:eastAsia="Arial" w:hAnsi="Arial"/>
                  <w:sz w:val="18"/>
                  <w:szCs w:val="18"/>
                  <w:color w:val="auto"/>
                </w:rPr>
                <w:t>2021 Non-Qualified Deferred Compensation Benefits</w:t>
              </w:r>
            </w:hyperlink>
          </w:p>
        </w:tc>
        <w:tc>
          <w:tcPr>
            <w:tcW w:w="740" w:type="dxa"/>
            <w:vAlign w:val="bottom"/>
          </w:tcPr>
          <w:p>
            <w:pPr>
              <w:jc w:val="right"/>
              <w:spacing w:after="0"/>
              <w:rPr>
                <w:rFonts w:ascii="Arial" w:cs="Arial" w:eastAsia="Arial" w:hAnsi="Arial"/>
                <w:sz w:val="18"/>
                <w:szCs w:val="18"/>
                <w:color w:val="auto"/>
              </w:rPr>
            </w:pPr>
            <w:hyperlink w:anchor="page99">
              <w:r>
                <w:rPr>
                  <w:rFonts w:ascii="Arial" w:cs="Arial" w:eastAsia="Arial" w:hAnsi="Arial"/>
                  <w:sz w:val="18"/>
                  <w:szCs w:val="18"/>
                  <w:color w:val="auto"/>
                </w:rPr>
                <w:t>95</w:t>
              </w:r>
            </w:hyperlink>
          </w:p>
        </w:tc>
      </w:tr>
      <w:tr>
        <w:trPr>
          <w:trHeight w:val="243"/>
        </w:trPr>
        <w:tc>
          <w:tcPr>
            <w:tcW w:w="10060" w:type="dxa"/>
            <w:vAlign w:val="bottom"/>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Potential Payments Upon Termination or Change in Control</w:t>
              </w:r>
            </w:hyperlink>
          </w:p>
        </w:tc>
        <w:tc>
          <w:tcPr>
            <w:tcW w:w="74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97</w:t>
              </w:r>
            </w:hyperlink>
          </w:p>
        </w:tc>
      </w:tr>
      <w:tr>
        <w:trPr>
          <w:trHeight w:val="433"/>
        </w:trPr>
        <w:tc>
          <w:tcPr>
            <w:tcW w:w="10060" w:type="dxa"/>
            <w:vAlign w:val="bottom"/>
          </w:tcPr>
          <w:p>
            <w:pPr>
              <w:spacing w:after="0"/>
              <w:rPr>
                <w:rFonts w:ascii="Arial" w:cs="Arial" w:eastAsia="Arial" w:hAnsi="Arial"/>
                <w:sz w:val="19"/>
                <w:szCs w:val="19"/>
                <w:b w:val="1"/>
                <w:bCs w:val="1"/>
                <w:color w:val="582C83"/>
              </w:rPr>
            </w:pPr>
            <w:hyperlink w:anchor="page106">
              <w:r>
                <w:rPr>
                  <w:rFonts w:ascii="Arial" w:cs="Arial" w:eastAsia="Arial" w:hAnsi="Arial"/>
                  <w:sz w:val="19"/>
                  <w:szCs w:val="19"/>
                  <w:b w:val="1"/>
                  <w:bCs w:val="1"/>
                  <w:color w:val="582C83"/>
                </w:rPr>
                <w:t>PEOPLE AND COMPENSATION COMMITTEE REPORT FOR THE YEAR ENDED DECEMBER 31, 2021</w:t>
              </w:r>
            </w:hyperlink>
          </w:p>
        </w:tc>
        <w:tc>
          <w:tcPr>
            <w:tcW w:w="740" w:type="dxa"/>
            <w:vAlign w:val="bottom"/>
          </w:tcPr>
          <w:p>
            <w:pPr>
              <w:jc w:val="right"/>
              <w:spacing w:after="0"/>
              <w:rPr>
                <w:rFonts w:ascii="Arial" w:cs="Arial" w:eastAsia="Arial" w:hAnsi="Arial"/>
                <w:sz w:val="19"/>
                <w:szCs w:val="19"/>
                <w:b w:val="1"/>
                <w:bCs w:val="1"/>
                <w:color w:val="582C83"/>
              </w:rPr>
            </w:pPr>
            <w:hyperlink w:anchor="page106">
              <w:r>
                <w:rPr>
                  <w:rFonts w:ascii="Arial" w:cs="Arial" w:eastAsia="Arial" w:hAnsi="Arial"/>
                  <w:sz w:val="19"/>
                  <w:szCs w:val="19"/>
                  <w:b w:val="1"/>
                  <w:bCs w:val="1"/>
                  <w:color w:val="582C83"/>
                </w:rPr>
                <w:t>102</w:t>
              </w:r>
            </w:hyperlink>
          </w:p>
        </w:tc>
      </w:tr>
      <w:tr>
        <w:trPr>
          <w:trHeight w:val="418"/>
        </w:trPr>
        <w:tc>
          <w:tcPr>
            <w:tcW w:w="10060" w:type="dxa"/>
            <w:vAlign w:val="bottom"/>
          </w:tcPr>
          <w:p>
            <w:pPr>
              <w:spacing w:after="0"/>
              <w:rPr>
                <w:rFonts w:ascii="Arial" w:cs="Arial" w:eastAsia="Arial" w:hAnsi="Arial"/>
                <w:sz w:val="19"/>
                <w:szCs w:val="19"/>
                <w:b w:val="1"/>
                <w:bCs w:val="1"/>
                <w:color w:val="582C83"/>
              </w:rPr>
            </w:pPr>
            <w:hyperlink w:anchor="page107">
              <w:r>
                <w:rPr>
                  <w:rFonts w:ascii="Arial" w:cs="Arial" w:eastAsia="Arial" w:hAnsi="Arial"/>
                  <w:sz w:val="19"/>
                  <w:szCs w:val="19"/>
                  <w:b w:val="1"/>
                  <w:bCs w:val="1"/>
                  <w:color w:val="582C83"/>
                </w:rPr>
                <w:t>CEO PAY RATIO</w:t>
              </w:r>
            </w:hyperlink>
          </w:p>
        </w:tc>
        <w:tc>
          <w:tcPr>
            <w:tcW w:w="740" w:type="dxa"/>
            <w:vAlign w:val="bottom"/>
          </w:tcPr>
          <w:p>
            <w:pPr>
              <w:jc w:val="right"/>
              <w:spacing w:after="0"/>
              <w:rPr>
                <w:rFonts w:ascii="Arial" w:cs="Arial" w:eastAsia="Arial" w:hAnsi="Arial"/>
                <w:sz w:val="19"/>
                <w:szCs w:val="19"/>
                <w:b w:val="1"/>
                <w:bCs w:val="1"/>
                <w:color w:val="582C83"/>
              </w:rPr>
            </w:pPr>
            <w:hyperlink w:anchor="page107">
              <w:r>
                <w:rPr>
                  <w:rFonts w:ascii="Arial" w:cs="Arial" w:eastAsia="Arial" w:hAnsi="Arial"/>
                  <w:sz w:val="19"/>
                  <w:szCs w:val="19"/>
                  <w:b w:val="1"/>
                  <w:bCs w:val="1"/>
                  <w:color w:val="582C83"/>
                </w:rPr>
                <w:t>103</w:t>
              </w:r>
            </w:hyperlink>
          </w:p>
        </w:tc>
      </w:tr>
      <w:tr>
        <w:trPr>
          <w:trHeight w:val="417"/>
        </w:trPr>
        <w:tc>
          <w:tcPr>
            <w:tcW w:w="10060" w:type="dxa"/>
            <w:vAlign w:val="bottom"/>
          </w:tcPr>
          <w:p>
            <w:pPr>
              <w:spacing w:after="0"/>
              <w:rPr>
                <w:rFonts w:ascii="Arial" w:cs="Arial" w:eastAsia="Arial" w:hAnsi="Arial"/>
                <w:sz w:val="19"/>
                <w:szCs w:val="19"/>
                <w:b w:val="1"/>
                <w:bCs w:val="1"/>
                <w:color w:val="582C83"/>
              </w:rPr>
            </w:pPr>
            <w:hyperlink w:anchor="page108">
              <w:r>
                <w:rPr>
                  <w:rFonts w:ascii="Arial" w:cs="Arial" w:eastAsia="Arial" w:hAnsi="Arial"/>
                  <w:sz w:val="19"/>
                  <w:szCs w:val="19"/>
                  <w:b w:val="1"/>
                  <w:bCs w:val="1"/>
                  <w:color w:val="582C83"/>
                </w:rPr>
                <w:t>OWNERSHIP OF EQUITY SECURITIES</w:t>
              </w:r>
            </w:hyperlink>
          </w:p>
        </w:tc>
        <w:tc>
          <w:tcPr>
            <w:tcW w:w="740" w:type="dxa"/>
            <w:vAlign w:val="bottom"/>
          </w:tcPr>
          <w:p>
            <w:pPr>
              <w:jc w:val="right"/>
              <w:spacing w:after="0"/>
              <w:rPr>
                <w:rFonts w:ascii="Arial" w:cs="Arial" w:eastAsia="Arial" w:hAnsi="Arial"/>
                <w:sz w:val="19"/>
                <w:szCs w:val="19"/>
                <w:b w:val="1"/>
                <w:bCs w:val="1"/>
                <w:color w:val="582C83"/>
              </w:rPr>
            </w:pPr>
            <w:hyperlink w:anchor="page108">
              <w:r>
                <w:rPr>
                  <w:rFonts w:ascii="Arial" w:cs="Arial" w:eastAsia="Arial" w:hAnsi="Arial"/>
                  <w:sz w:val="19"/>
                  <w:szCs w:val="19"/>
                  <w:b w:val="1"/>
                  <w:bCs w:val="1"/>
                  <w:color w:val="582C83"/>
                </w:rPr>
                <w:t>104</w:t>
              </w:r>
            </w:hyperlink>
          </w:p>
        </w:tc>
      </w:tr>
      <w:tr>
        <w:trPr>
          <w:trHeight w:val="231"/>
        </w:trPr>
        <w:tc>
          <w:tcPr>
            <w:tcW w:w="1006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Delinquent Section 16(a) Reports</w:t>
              </w:r>
            </w:hyperlink>
          </w:p>
        </w:tc>
        <w:tc>
          <w:tcPr>
            <w:tcW w:w="74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105</w:t>
              </w:r>
            </w:hyperlink>
          </w:p>
        </w:tc>
      </w:tr>
      <w:tr>
        <w:trPr>
          <w:trHeight w:val="433"/>
        </w:trPr>
        <w:tc>
          <w:tcPr>
            <w:tcW w:w="10060" w:type="dxa"/>
            <w:vAlign w:val="bottom"/>
          </w:tcPr>
          <w:p>
            <w:pPr>
              <w:spacing w:after="0"/>
              <w:rPr>
                <w:rFonts w:ascii="Arial" w:cs="Arial" w:eastAsia="Arial" w:hAnsi="Arial"/>
                <w:sz w:val="19"/>
                <w:szCs w:val="19"/>
                <w:b w:val="1"/>
                <w:bCs w:val="1"/>
                <w:color w:val="582C83"/>
              </w:rPr>
            </w:pPr>
            <w:hyperlink w:anchor="page110">
              <w:r>
                <w:rPr>
                  <w:rFonts w:ascii="Arial" w:cs="Arial" w:eastAsia="Arial" w:hAnsi="Arial"/>
                  <w:sz w:val="19"/>
                  <w:szCs w:val="19"/>
                  <w:b w:val="1"/>
                  <w:bCs w:val="1"/>
                  <w:color w:val="582C83"/>
                </w:rPr>
                <w:t>ITEM 2. ADVISORY VOTE TO APPROVE EXECUTIVE COMPENSATION</w:t>
              </w:r>
            </w:hyperlink>
          </w:p>
        </w:tc>
        <w:tc>
          <w:tcPr>
            <w:tcW w:w="740" w:type="dxa"/>
            <w:vAlign w:val="bottom"/>
          </w:tcPr>
          <w:p>
            <w:pPr>
              <w:jc w:val="right"/>
              <w:spacing w:after="0"/>
              <w:rPr>
                <w:rFonts w:ascii="Arial" w:cs="Arial" w:eastAsia="Arial" w:hAnsi="Arial"/>
                <w:sz w:val="19"/>
                <w:szCs w:val="19"/>
                <w:b w:val="1"/>
                <w:bCs w:val="1"/>
                <w:color w:val="582C83"/>
              </w:rPr>
            </w:pPr>
            <w:hyperlink w:anchor="page110">
              <w:r>
                <w:rPr>
                  <w:rFonts w:ascii="Arial" w:cs="Arial" w:eastAsia="Arial" w:hAnsi="Arial"/>
                  <w:sz w:val="19"/>
                  <w:szCs w:val="19"/>
                  <w:b w:val="1"/>
                  <w:bCs w:val="1"/>
                  <w:color w:val="582C83"/>
                </w:rPr>
                <w:t>106</w:t>
              </w:r>
            </w:hyperlink>
          </w:p>
        </w:tc>
      </w:tr>
      <w:tr>
        <w:trPr>
          <w:trHeight w:val="375"/>
        </w:trPr>
        <w:tc>
          <w:tcPr>
            <w:tcW w:w="10060" w:type="dxa"/>
            <w:vAlign w:val="bottom"/>
          </w:tcPr>
          <w:p>
            <w:pPr>
              <w:spacing w:after="0"/>
              <w:rPr>
                <w:rFonts w:ascii="Arial" w:cs="Arial" w:eastAsia="Arial" w:hAnsi="Arial"/>
                <w:sz w:val="19"/>
                <w:szCs w:val="19"/>
                <w:b w:val="1"/>
                <w:bCs w:val="1"/>
                <w:color w:val="582C83"/>
              </w:rPr>
            </w:pPr>
            <w:hyperlink w:anchor="page111">
              <w:r>
                <w:rPr>
                  <w:rFonts w:ascii="Arial" w:cs="Arial" w:eastAsia="Arial" w:hAnsi="Arial"/>
                  <w:sz w:val="19"/>
                  <w:szCs w:val="19"/>
                  <w:b w:val="1"/>
                  <w:bCs w:val="1"/>
                  <w:color w:val="582C83"/>
                </w:rPr>
                <w:t>ITEM 3. RATIFICATION OF THE SELECTION OF INDEPENDENT REGISTERED PUBLIC ACCOUNTANTS FOR</w:t>
              </w:r>
            </w:hyperlink>
          </w:p>
        </w:tc>
        <w:tc>
          <w:tcPr>
            <w:tcW w:w="740" w:type="dxa"/>
            <w:vAlign w:val="bottom"/>
          </w:tcPr>
          <w:p>
            <w:pPr>
              <w:spacing w:after="0"/>
              <w:rPr>
                <w:sz w:val="24"/>
                <w:szCs w:val="24"/>
                <w:color w:val="auto"/>
              </w:rPr>
            </w:pPr>
          </w:p>
        </w:tc>
      </w:tr>
      <w:tr>
        <w:trPr>
          <w:trHeight w:val="257"/>
        </w:trPr>
        <w:tc>
          <w:tcPr>
            <w:tcW w:w="10060" w:type="dxa"/>
            <w:vAlign w:val="bottom"/>
          </w:tcPr>
          <w:p>
            <w:pPr>
              <w:spacing w:after="0"/>
              <w:rPr>
                <w:rFonts w:ascii="Arial" w:cs="Arial" w:eastAsia="Arial" w:hAnsi="Arial"/>
                <w:sz w:val="19"/>
                <w:szCs w:val="19"/>
                <w:b w:val="1"/>
                <w:bCs w:val="1"/>
                <w:color w:val="582C83"/>
              </w:rPr>
            </w:pPr>
            <w:hyperlink w:anchor="page111">
              <w:r>
                <w:rPr>
                  <w:rFonts w:ascii="Arial" w:cs="Arial" w:eastAsia="Arial" w:hAnsi="Arial"/>
                  <w:sz w:val="19"/>
                  <w:szCs w:val="19"/>
                  <w:b w:val="1"/>
                  <w:bCs w:val="1"/>
                  <w:color w:val="582C83"/>
                </w:rPr>
                <w:t>FISCAL YEAR 2022</w:t>
              </w:r>
            </w:hyperlink>
          </w:p>
        </w:tc>
        <w:tc>
          <w:tcPr>
            <w:tcW w:w="740" w:type="dxa"/>
            <w:vAlign w:val="bottom"/>
          </w:tcPr>
          <w:p>
            <w:pPr>
              <w:jc w:val="right"/>
              <w:spacing w:after="0"/>
              <w:rPr>
                <w:rFonts w:ascii="Arial" w:cs="Arial" w:eastAsia="Arial" w:hAnsi="Arial"/>
                <w:sz w:val="19"/>
                <w:szCs w:val="19"/>
                <w:b w:val="1"/>
                <w:bCs w:val="1"/>
                <w:color w:val="582C83"/>
              </w:rPr>
            </w:pPr>
            <w:hyperlink w:anchor="page111">
              <w:r>
                <w:rPr>
                  <w:rFonts w:ascii="Arial" w:cs="Arial" w:eastAsia="Arial" w:hAnsi="Arial"/>
                  <w:sz w:val="19"/>
                  <w:szCs w:val="19"/>
                  <w:b w:val="1"/>
                  <w:bCs w:val="1"/>
                  <w:color w:val="582C83"/>
                </w:rPr>
                <w:t>107</w:t>
              </w:r>
            </w:hyperlink>
          </w:p>
        </w:tc>
      </w:tr>
      <w:tr>
        <w:trPr>
          <w:trHeight w:val="231"/>
        </w:trPr>
        <w:tc>
          <w:tcPr>
            <w:tcW w:w="10060" w:type="dxa"/>
            <w:vAlign w:val="bottom"/>
          </w:tcPr>
          <w:p>
            <w:pPr>
              <w:spacing w:after="0"/>
              <w:rPr>
                <w:rFonts w:ascii="Arial" w:cs="Arial" w:eastAsia="Arial" w:hAnsi="Arial"/>
                <w:sz w:val="18"/>
                <w:szCs w:val="18"/>
                <w:color w:val="auto"/>
              </w:rPr>
            </w:pPr>
            <w:hyperlink w:anchor="page111">
              <w:r>
                <w:rPr>
                  <w:rFonts w:ascii="Arial" w:cs="Arial" w:eastAsia="Arial" w:hAnsi="Arial"/>
                  <w:sz w:val="18"/>
                  <w:szCs w:val="18"/>
                  <w:color w:val="auto"/>
                </w:rPr>
                <w:t>Review of Independent Registered Public Accountants</w:t>
              </w:r>
            </w:hyperlink>
          </w:p>
        </w:tc>
        <w:tc>
          <w:tcPr>
            <w:tcW w:w="74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107</w:t>
              </w:r>
            </w:hyperlink>
          </w:p>
        </w:tc>
      </w:tr>
      <w:tr>
        <w:trPr>
          <w:trHeight w:val="243"/>
        </w:trPr>
        <w:tc>
          <w:tcPr>
            <w:tcW w:w="10060" w:type="dxa"/>
            <w:vAlign w:val="bottom"/>
          </w:tcPr>
          <w:p>
            <w:pPr>
              <w:spacing w:after="0"/>
              <w:rPr>
                <w:rFonts w:ascii="Arial" w:cs="Arial" w:eastAsia="Arial" w:hAnsi="Arial"/>
                <w:sz w:val="18"/>
                <w:szCs w:val="18"/>
                <w:color w:val="auto"/>
              </w:rPr>
            </w:pPr>
            <w:hyperlink w:anchor="page112">
              <w:r>
                <w:rPr>
                  <w:rFonts w:ascii="Arial" w:cs="Arial" w:eastAsia="Arial" w:hAnsi="Arial"/>
                  <w:sz w:val="18"/>
                  <w:szCs w:val="18"/>
                  <w:color w:val="auto"/>
                </w:rPr>
                <w:t>Selection of Independent Registered Public Accountants</w:t>
              </w:r>
            </w:hyperlink>
          </w:p>
        </w:tc>
        <w:tc>
          <w:tcPr>
            <w:tcW w:w="74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108</w:t>
              </w:r>
            </w:hyperlink>
          </w:p>
        </w:tc>
      </w:tr>
      <w:tr>
        <w:trPr>
          <w:trHeight w:val="433"/>
        </w:trPr>
        <w:tc>
          <w:tcPr>
            <w:tcW w:w="10060" w:type="dxa"/>
            <w:vAlign w:val="bottom"/>
          </w:tcPr>
          <w:p>
            <w:pPr>
              <w:spacing w:after="0"/>
              <w:rPr>
                <w:rFonts w:ascii="Arial" w:cs="Arial" w:eastAsia="Arial" w:hAnsi="Arial"/>
                <w:sz w:val="19"/>
                <w:szCs w:val="19"/>
                <w:b w:val="1"/>
                <w:bCs w:val="1"/>
                <w:color w:val="582C83"/>
              </w:rPr>
            </w:pPr>
            <w:hyperlink w:anchor="page113">
              <w:r>
                <w:rPr>
                  <w:rFonts w:ascii="Arial" w:cs="Arial" w:eastAsia="Arial" w:hAnsi="Arial"/>
                  <w:sz w:val="19"/>
                  <w:szCs w:val="19"/>
                  <w:b w:val="1"/>
                  <w:bCs w:val="1"/>
                  <w:color w:val="582C83"/>
                </w:rPr>
                <w:t>SHAREHOLDER PROPOSALS</w:t>
              </w:r>
            </w:hyperlink>
          </w:p>
        </w:tc>
        <w:tc>
          <w:tcPr>
            <w:tcW w:w="740" w:type="dxa"/>
            <w:vAlign w:val="bottom"/>
          </w:tcPr>
          <w:p>
            <w:pPr>
              <w:jc w:val="right"/>
              <w:spacing w:after="0"/>
              <w:rPr>
                <w:rFonts w:ascii="Arial" w:cs="Arial" w:eastAsia="Arial" w:hAnsi="Arial"/>
                <w:sz w:val="19"/>
                <w:szCs w:val="19"/>
                <w:b w:val="1"/>
                <w:bCs w:val="1"/>
                <w:color w:val="582C83"/>
              </w:rPr>
            </w:pPr>
            <w:hyperlink w:anchor="page113">
              <w:r>
                <w:rPr>
                  <w:rFonts w:ascii="Arial" w:cs="Arial" w:eastAsia="Arial" w:hAnsi="Arial"/>
                  <w:sz w:val="19"/>
                  <w:szCs w:val="19"/>
                  <w:b w:val="1"/>
                  <w:bCs w:val="1"/>
                  <w:color w:val="582C83"/>
                </w:rPr>
                <w:t>109</w:t>
              </w:r>
            </w:hyperlink>
          </w:p>
        </w:tc>
      </w:tr>
      <w:tr>
        <w:trPr>
          <w:trHeight w:val="417"/>
        </w:trPr>
        <w:tc>
          <w:tcPr>
            <w:tcW w:w="10060" w:type="dxa"/>
            <w:vAlign w:val="bottom"/>
          </w:tcPr>
          <w:p>
            <w:pPr>
              <w:spacing w:after="0"/>
              <w:rPr>
                <w:rFonts w:ascii="Arial" w:cs="Arial" w:eastAsia="Arial" w:hAnsi="Arial"/>
                <w:sz w:val="19"/>
                <w:szCs w:val="19"/>
                <w:b w:val="1"/>
                <w:bCs w:val="1"/>
                <w:color w:val="582C83"/>
              </w:rPr>
            </w:pPr>
            <w:hyperlink w:anchor="page114">
              <w:r>
                <w:rPr>
                  <w:rFonts w:ascii="Arial" w:cs="Arial" w:eastAsia="Arial" w:hAnsi="Arial"/>
                  <w:sz w:val="19"/>
                  <w:szCs w:val="19"/>
                  <w:b w:val="1"/>
                  <w:bCs w:val="1"/>
                  <w:color w:val="582C83"/>
                </w:rPr>
                <w:t>ITEM 4. SHAREHOLDER PROPOSAL</w:t>
              </w:r>
            </w:hyperlink>
          </w:p>
        </w:tc>
        <w:tc>
          <w:tcPr>
            <w:tcW w:w="740" w:type="dxa"/>
            <w:vAlign w:val="bottom"/>
          </w:tcPr>
          <w:p>
            <w:pPr>
              <w:jc w:val="right"/>
              <w:spacing w:after="0"/>
              <w:rPr>
                <w:rFonts w:ascii="Arial" w:cs="Arial" w:eastAsia="Arial" w:hAnsi="Arial"/>
                <w:sz w:val="19"/>
                <w:szCs w:val="19"/>
                <w:b w:val="1"/>
                <w:bCs w:val="1"/>
                <w:color w:val="582C83"/>
              </w:rPr>
            </w:pPr>
            <w:hyperlink w:anchor="page114">
              <w:r>
                <w:rPr>
                  <w:rFonts w:ascii="Arial" w:cs="Arial" w:eastAsia="Arial" w:hAnsi="Arial"/>
                  <w:sz w:val="19"/>
                  <w:szCs w:val="19"/>
                  <w:b w:val="1"/>
                  <w:bCs w:val="1"/>
                  <w:color w:val="582C83"/>
                </w:rPr>
                <w:t>110</w:t>
              </w:r>
            </w:hyperlink>
          </w:p>
        </w:tc>
      </w:tr>
      <w:tr>
        <w:trPr>
          <w:trHeight w:val="231"/>
        </w:trPr>
        <w:tc>
          <w:tcPr>
            <w:tcW w:w="1006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Conduct and Publish Racial Equity Audit</w:t>
              </w:r>
            </w:hyperlink>
          </w:p>
        </w:tc>
        <w:tc>
          <w:tcPr>
            <w:tcW w:w="74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110</w:t>
              </w:r>
            </w:hyperlink>
          </w:p>
        </w:tc>
      </w:tr>
      <w:tr>
        <w:trPr>
          <w:trHeight w:val="431"/>
        </w:trPr>
        <w:tc>
          <w:tcPr>
            <w:tcW w:w="10060" w:type="dxa"/>
            <w:vAlign w:val="bottom"/>
          </w:tcPr>
          <w:p>
            <w:pPr>
              <w:spacing w:after="0"/>
              <w:rPr>
                <w:rFonts w:ascii="Arial" w:cs="Arial" w:eastAsia="Arial" w:hAnsi="Arial"/>
                <w:sz w:val="19"/>
                <w:szCs w:val="19"/>
                <w:b w:val="1"/>
                <w:bCs w:val="1"/>
                <w:color w:val="582C83"/>
              </w:rPr>
            </w:pPr>
            <w:hyperlink w:anchor="page118">
              <w:r>
                <w:rPr>
                  <w:rFonts w:ascii="Arial" w:cs="Arial" w:eastAsia="Arial" w:hAnsi="Arial"/>
                  <w:sz w:val="19"/>
                  <w:szCs w:val="19"/>
                  <w:b w:val="1"/>
                  <w:bCs w:val="1"/>
                  <w:color w:val="582C83"/>
                </w:rPr>
                <w:t>ITEM 5. SHAREHOLDER PROPOSAL</w:t>
              </w:r>
            </w:hyperlink>
          </w:p>
        </w:tc>
        <w:tc>
          <w:tcPr>
            <w:tcW w:w="740" w:type="dxa"/>
            <w:vAlign w:val="bottom"/>
          </w:tcPr>
          <w:p>
            <w:pPr>
              <w:jc w:val="right"/>
              <w:spacing w:after="0"/>
              <w:rPr>
                <w:rFonts w:ascii="Arial" w:cs="Arial" w:eastAsia="Arial" w:hAnsi="Arial"/>
                <w:sz w:val="19"/>
                <w:szCs w:val="19"/>
                <w:b w:val="1"/>
                <w:bCs w:val="1"/>
                <w:color w:val="582C83"/>
              </w:rPr>
            </w:pPr>
            <w:hyperlink w:anchor="page118">
              <w:r>
                <w:rPr>
                  <w:rFonts w:ascii="Arial" w:cs="Arial" w:eastAsia="Arial" w:hAnsi="Arial"/>
                  <w:sz w:val="19"/>
                  <w:szCs w:val="19"/>
                  <w:b w:val="1"/>
                  <w:bCs w:val="1"/>
                  <w:color w:val="582C83"/>
                </w:rPr>
                <w:t>114</w:t>
              </w:r>
            </w:hyperlink>
          </w:p>
        </w:tc>
      </w:tr>
      <w:tr>
        <w:trPr>
          <w:trHeight w:val="231"/>
        </w:trPr>
        <w:tc>
          <w:tcPr>
            <w:tcW w:w="10060" w:type="dxa"/>
            <w:vAlign w:val="bottom"/>
          </w:tcPr>
          <w:p>
            <w:pPr>
              <w:spacing w:after="0"/>
              <w:rPr>
                <w:rFonts w:ascii="Arial" w:cs="Arial" w:eastAsia="Arial" w:hAnsi="Arial"/>
                <w:sz w:val="18"/>
                <w:szCs w:val="18"/>
                <w:color w:val="auto"/>
              </w:rPr>
            </w:pPr>
            <w:hyperlink w:anchor="page118">
              <w:r>
                <w:rPr>
                  <w:rFonts w:ascii="Arial" w:cs="Arial" w:eastAsia="Arial" w:hAnsi="Arial"/>
                  <w:sz w:val="18"/>
                  <w:szCs w:val="18"/>
                  <w:color w:val="auto"/>
                </w:rPr>
                <w:t>Require Independent Chair of the Board</w:t>
              </w:r>
            </w:hyperlink>
          </w:p>
        </w:tc>
        <w:tc>
          <w:tcPr>
            <w:tcW w:w="740" w:type="dxa"/>
            <w:vAlign w:val="bottom"/>
          </w:tcPr>
          <w:p>
            <w:pPr>
              <w:jc w:val="right"/>
              <w:spacing w:after="0"/>
              <w:rPr>
                <w:rFonts w:ascii="Arial" w:cs="Arial" w:eastAsia="Arial" w:hAnsi="Arial"/>
                <w:sz w:val="18"/>
                <w:szCs w:val="18"/>
                <w:color w:val="auto"/>
              </w:rPr>
            </w:pPr>
            <w:hyperlink w:anchor="page118">
              <w:r>
                <w:rPr>
                  <w:rFonts w:ascii="Arial" w:cs="Arial" w:eastAsia="Arial" w:hAnsi="Arial"/>
                  <w:sz w:val="18"/>
                  <w:szCs w:val="18"/>
                  <w:color w:val="auto"/>
                </w:rPr>
                <w:t>114</w:t>
              </w:r>
            </w:hyperlink>
          </w:p>
        </w:tc>
      </w:tr>
      <w:tr>
        <w:trPr>
          <w:trHeight w:val="433"/>
        </w:trPr>
        <w:tc>
          <w:tcPr>
            <w:tcW w:w="10060" w:type="dxa"/>
            <w:vAlign w:val="bottom"/>
          </w:tcPr>
          <w:p>
            <w:pPr>
              <w:spacing w:after="0"/>
              <w:rPr>
                <w:rFonts w:ascii="Arial" w:cs="Arial" w:eastAsia="Arial" w:hAnsi="Arial"/>
                <w:sz w:val="19"/>
                <w:szCs w:val="19"/>
                <w:b w:val="1"/>
                <w:bCs w:val="1"/>
                <w:color w:val="582C83"/>
              </w:rPr>
            </w:pPr>
            <w:hyperlink w:anchor="page120">
              <w:r>
                <w:rPr>
                  <w:rFonts w:ascii="Arial" w:cs="Arial" w:eastAsia="Arial" w:hAnsi="Arial"/>
                  <w:sz w:val="19"/>
                  <w:szCs w:val="19"/>
                  <w:b w:val="1"/>
                  <w:bCs w:val="1"/>
                  <w:color w:val="582C83"/>
                </w:rPr>
                <w:t>OTHER MATTERS THAT MAY BE PRESENTED AT THE ANNUAL MEETING</w:t>
              </w:r>
            </w:hyperlink>
          </w:p>
        </w:tc>
        <w:tc>
          <w:tcPr>
            <w:tcW w:w="740" w:type="dxa"/>
            <w:vAlign w:val="bottom"/>
          </w:tcPr>
          <w:p>
            <w:pPr>
              <w:jc w:val="right"/>
              <w:spacing w:after="0"/>
              <w:rPr>
                <w:rFonts w:ascii="Arial" w:cs="Arial" w:eastAsia="Arial" w:hAnsi="Arial"/>
                <w:sz w:val="19"/>
                <w:szCs w:val="19"/>
                <w:b w:val="1"/>
                <w:bCs w:val="1"/>
                <w:color w:val="582C83"/>
              </w:rPr>
            </w:pPr>
            <w:hyperlink w:anchor="page120">
              <w:r>
                <w:rPr>
                  <w:rFonts w:ascii="Arial" w:cs="Arial" w:eastAsia="Arial" w:hAnsi="Arial"/>
                  <w:sz w:val="19"/>
                  <w:szCs w:val="19"/>
                  <w:b w:val="1"/>
                  <w:bCs w:val="1"/>
                  <w:color w:val="582C83"/>
                </w:rPr>
                <w:t>116</w:t>
              </w:r>
            </w:hyperlink>
          </w:p>
        </w:tc>
      </w:tr>
      <w:tr>
        <w:trPr>
          <w:trHeight w:val="417"/>
        </w:trPr>
        <w:tc>
          <w:tcPr>
            <w:tcW w:w="10060" w:type="dxa"/>
            <w:vAlign w:val="bottom"/>
          </w:tcPr>
          <w:p>
            <w:pPr>
              <w:spacing w:after="0"/>
              <w:rPr>
                <w:rFonts w:ascii="Arial" w:cs="Arial" w:eastAsia="Arial" w:hAnsi="Arial"/>
                <w:sz w:val="19"/>
                <w:szCs w:val="19"/>
                <w:b w:val="1"/>
                <w:bCs w:val="1"/>
                <w:color w:val="582C83"/>
              </w:rPr>
            </w:pPr>
            <w:hyperlink w:anchor="page121">
              <w:r>
                <w:rPr>
                  <w:rFonts w:ascii="Arial" w:cs="Arial" w:eastAsia="Arial" w:hAnsi="Arial"/>
                  <w:sz w:val="19"/>
                  <w:szCs w:val="19"/>
                  <w:b w:val="1"/>
                  <w:bCs w:val="1"/>
                  <w:color w:val="582C83"/>
                </w:rPr>
                <w:t>FREQUENTLY ASKED QUESTIONS ABOUT THE ANNUAL MEETING AND VOTING</w:t>
              </w:r>
            </w:hyperlink>
          </w:p>
        </w:tc>
        <w:tc>
          <w:tcPr>
            <w:tcW w:w="740" w:type="dxa"/>
            <w:vAlign w:val="bottom"/>
          </w:tcPr>
          <w:p>
            <w:pPr>
              <w:jc w:val="right"/>
              <w:spacing w:after="0"/>
              <w:rPr>
                <w:rFonts w:ascii="Arial" w:cs="Arial" w:eastAsia="Arial" w:hAnsi="Arial"/>
                <w:sz w:val="19"/>
                <w:szCs w:val="19"/>
                <w:b w:val="1"/>
                <w:bCs w:val="1"/>
                <w:color w:val="582C83"/>
              </w:rPr>
            </w:pPr>
            <w:hyperlink w:anchor="page121">
              <w:r>
                <w:rPr>
                  <w:rFonts w:ascii="Arial" w:cs="Arial" w:eastAsia="Arial" w:hAnsi="Arial"/>
                  <w:sz w:val="19"/>
                  <w:szCs w:val="19"/>
                  <w:b w:val="1"/>
                  <w:bCs w:val="1"/>
                  <w:color w:val="582C83"/>
                </w:rPr>
                <w:t>117</w:t>
              </w:r>
            </w:hyperlink>
          </w:p>
        </w:tc>
      </w:tr>
      <w:tr>
        <w:trPr>
          <w:trHeight w:val="231"/>
        </w:trPr>
        <w:tc>
          <w:tcPr>
            <w:tcW w:w="10060" w:type="dxa"/>
            <w:vAlign w:val="bottom"/>
          </w:tcPr>
          <w:p>
            <w:pPr>
              <w:spacing w:after="0"/>
              <w:rPr>
                <w:rFonts w:ascii="Arial" w:cs="Arial" w:eastAsia="Arial" w:hAnsi="Arial"/>
                <w:sz w:val="18"/>
                <w:szCs w:val="18"/>
                <w:color w:val="auto"/>
              </w:rPr>
            </w:pPr>
            <w:hyperlink w:anchor="page121">
              <w:r>
                <w:rPr>
                  <w:rFonts w:ascii="Arial" w:cs="Arial" w:eastAsia="Arial" w:hAnsi="Arial"/>
                  <w:sz w:val="18"/>
                  <w:szCs w:val="18"/>
                  <w:color w:val="auto"/>
                </w:rPr>
                <w:t>Voting Instructions to Proxies</w:t>
              </w:r>
            </w:hyperlink>
          </w:p>
        </w:tc>
        <w:tc>
          <w:tcPr>
            <w:tcW w:w="7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117</w:t>
              </w:r>
            </w:hyperlink>
          </w:p>
        </w:tc>
      </w:tr>
      <w:tr>
        <w:trPr>
          <w:trHeight w:val="243"/>
        </w:trPr>
        <w:tc>
          <w:tcPr>
            <w:tcW w:w="10060" w:type="dxa"/>
            <w:vAlign w:val="bottom"/>
          </w:tcPr>
          <w:p>
            <w:pPr>
              <w:spacing w:after="0"/>
              <w:rPr>
                <w:rFonts w:ascii="Arial" w:cs="Arial" w:eastAsia="Arial" w:hAnsi="Arial"/>
                <w:sz w:val="18"/>
                <w:szCs w:val="18"/>
                <w:color w:val="auto"/>
              </w:rPr>
            </w:pPr>
            <w:hyperlink w:anchor="page121">
              <w:r>
                <w:rPr>
                  <w:rFonts w:ascii="Arial" w:cs="Arial" w:eastAsia="Arial" w:hAnsi="Arial"/>
                  <w:sz w:val="18"/>
                  <w:szCs w:val="18"/>
                  <w:color w:val="auto"/>
                </w:rPr>
                <w:t>Attending and Voting at the Annual Meeting</w:t>
              </w:r>
            </w:hyperlink>
          </w:p>
        </w:tc>
        <w:tc>
          <w:tcPr>
            <w:tcW w:w="7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117</w:t>
              </w:r>
            </w:hyperlink>
          </w:p>
        </w:tc>
      </w:tr>
      <w:tr>
        <w:trPr>
          <w:trHeight w:val="243"/>
        </w:trPr>
        <w:tc>
          <w:tcPr>
            <w:tcW w:w="10060" w:type="dxa"/>
            <w:vAlign w:val="bottom"/>
          </w:tcPr>
          <w:p>
            <w:pPr>
              <w:spacing w:after="0"/>
              <w:rPr>
                <w:rFonts w:ascii="Arial" w:cs="Arial" w:eastAsia="Arial" w:hAnsi="Arial"/>
                <w:sz w:val="18"/>
                <w:szCs w:val="18"/>
                <w:color w:val="auto"/>
              </w:rPr>
            </w:pPr>
            <w:hyperlink w:anchor="page121">
              <w:r>
                <w:rPr>
                  <w:rFonts w:ascii="Arial" w:cs="Arial" w:eastAsia="Arial" w:hAnsi="Arial"/>
                  <w:sz w:val="18"/>
                  <w:szCs w:val="18"/>
                  <w:color w:val="auto"/>
                </w:rPr>
                <w:t>Asking Questions During the Annual Meeting</w:t>
              </w:r>
            </w:hyperlink>
          </w:p>
        </w:tc>
        <w:tc>
          <w:tcPr>
            <w:tcW w:w="74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117</w:t>
              </w:r>
            </w:hyperlink>
          </w:p>
        </w:tc>
      </w:tr>
      <w:tr>
        <w:trPr>
          <w:trHeight w:val="243"/>
        </w:trPr>
        <w:tc>
          <w:tcPr>
            <w:tcW w:w="10060" w:type="dxa"/>
            <w:vAlign w:val="bottom"/>
          </w:tcPr>
          <w:p>
            <w:pPr>
              <w:spacing w:after="0"/>
              <w:rPr>
                <w:rFonts w:ascii="Arial" w:cs="Arial" w:eastAsia="Arial" w:hAnsi="Arial"/>
                <w:sz w:val="18"/>
                <w:szCs w:val="18"/>
                <w:color w:val="auto"/>
              </w:rPr>
            </w:pPr>
            <w:hyperlink w:anchor="page122">
              <w:r>
                <w:rPr>
                  <w:rFonts w:ascii="Arial" w:cs="Arial" w:eastAsia="Arial" w:hAnsi="Arial"/>
                  <w:sz w:val="18"/>
                  <w:szCs w:val="18"/>
                  <w:color w:val="auto"/>
                </w:rPr>
                <w:t>Frequently Asked Questions About the Annual Meeting and Voting</w:t>
              </w:r>
            </w:hyperlink>
          </w:p>
        </w:tc>
        <w:tc>
          <w:tcPr>
            <w:tcW w:w="740" w:type="dxa"/>
            <w:vAlign w:val="bottom"/>
          </w:tcPr>
          <w:p>
            <w:pPr>
              <w:jc w:val="right"/>
              <w:spacing w:after="0"/>
              <w:rPr>
                <w:rFonts w:ascii="Arial" w:cs="Arial" w:eastAsia="Arial" w:hAnsi="Arial"/>
                <w:sz w:val="18"/>
                <w:szCs w:val="18"/>
                <w:color w:val="auto"/>
              </w:rPr>
            </w:pPr>
            <w:hyperlink w:anchor="page122">
              <w:r>
                <w:rPr>
                  <w:rFonts w:ascii="Arial" w:cs="Arial" w:eastAsia="Arial" w:hAnsi="Arial"/>
                  <w:sz w:val="18"/>
                  <w:szCs w:val="18"/>
                  <w:color w:val="auto"/>
                </w:rPr>
                <w:t>118</w:t>
              </w:r>
            </w:hyperlink>
          </w:p>
        </w:tc>
      </w:tr>
      <w:tr>
        <w:trPr>
          <w:trHeight w:val="431"/>
        </w:trPr>
        <w:tc>
          <w:tcPr>
            <w:tcW w:w="10060" w:type="dxa"/>
            <w:vAlign w:val="bottom"/>
          </w:tcPr>
          <w:p>
            <w:pPr>
              <w:spacing w:after="0"/>
              <w:rPr>
                <w:rFonts w:ascii="Arial" w:cs="Arial" w:eastAsia="Arial" w:hAnsi="Arial"/>
                <w:sz w:val="19"/>
                <w:szCs w:val="19"/>
                <w:b w:val="1"/>
                <w:bCs w:val="1"/>
                <w:color w:val="582C83"/>
              </w:rPr>
            </w:pPr>
            <w:hyperlink w:anchor="page128">
              <w:r>
                <w:rPr>
                  <w:rFonts w:ascii="Arial" w:cs="Arial" w:eastAsia="Arial" w:hAnsi="Arial"/>
                  <w:sz w:val="19"/>
                  <w:szCs w:val="19"/>
                  <w:b w:val="1"/>
                  <w:bCs w:val="1"/>
                  <w:color w:val="582C83"/>
                </w:rPr>
                <w:t>2023 ANNUAL MEETING OF SHAREHOLDERS</w:t>
              </w:r>
            </w:hyperlink>
          </w:p>
        </w:tc>
        <w:tc>
          <w:tcPr>
            <w:tcW w:w="740" w:type="dxa"/>
            <w:vAlign w:val="bottom"/>
          </w:tcPr>
          <w:p>
            <w:pPr>
              <w:jc w:val="right"/>
              <w:spacing w:after="0"/>
              <w:rPr>
                <w:rFonts w:ascii="Arial" w:cs="Arial" w:eastAsia="Arial" w:hAnsi="Arial"/>
                <w:sz w:val="19"/>
                <w:szCs w:val="19"/>
                <w:b w:val="1"/>
                <w:bCs w:val="1"/>
                <w:color w:val="582C83"/>
              </w:rPr>
            </w:pPr>
            <w:hyperlink w:anchor="page128">
              <w:r>
                <w:rPr>
                  <w:rFonts w:ascii="Arial" w:cs="Arial" w:eastAsia="Arial" w:hAnsi="Arial"/>
                  <w:sz w:val="19"/>
                  <w:szCs w:val="19"/>
                  <w:b w:val="1"/>
                  <w:bCs w:val="1"/>
                  <w:color w:val="582C83"/>
                </w:rPr>
                <w:t>124</w:t>
              </w:r>
            </w:hyperlink>
          </w:p>
        </w:tc>
      </w:tr>
      <w:tr>
        <w:trPr>
          <w:trHeight w:val="231"/>
        </w:trPr>
        <w:tc>
          <w:tcPr>
            <w:tcW w:w="10060" w:type="dxa"/>
            <w:vAlign w:val="bottom"/>
          </w:tcPr>
          <w:p>
            <w:pPr>
              <w:spacing w:after="0"/>
              <w:rPr>
                <w:rFonts w:ascii="Arial" w:cs="Arial" w:eastAsia="Arial" w:hAnsi="Arial"/>
                <w:sz w:val="18"/>
                <w:szCs w:val="18"/>
                <w:color w:val="auto"/>
              </w:rPr>
            </w:pPr>
            <w:hyperlink w:anchor="page128">
              <w:r>
                <w:rPr>
                  <w:rFonts w:ascii="Arial" w:cs="Arial" w:eastAsia="Arial" w:hAnsi="Arial"/>
                  <w:sz w:val="18"/>
                  <w:szCs w:val="18"/>
                  <w:color w:val="auto"/>
                </w:rPr>
                <w:t>Shareholder Nominations and Proposals for the 2023 Annual Meeting</w:t>
              </w:r>
            </w:hyperlink>
          </w:p>
        </w:tc>
        <w:tc>
          <w:tcPr>
            <w:tcW w:w="740" w:type="dxa"/>
            <w:vAlign w:val="bottom"/>
          </w:tcPr>
          <w:p>
            <w:pPr>
              <w:jc w:val="right"/>
              <w:spacing w:after="0"/>
              <w:rPr>
                <w:rFonts w:ascii="Arial" w:cs="Arial" w:eastAsia="Arial" w:hAnsi="Arial"/>
                <w:sz w:val="18"/>
                <w:szCs w:val="18"/>
                <w:color w:val="auto"/>
              </w:rPr>
            </w:pPr>
            <w:hyperlink w:anchor="page128">
              <w:r>
                <w:rPr>
                  <w:rFonts w:ascii="Arial" w:cs="Arial" w:eastAsia="Arial" w:hAnsi="Arial"/>
                  <w:sz w:val="18"/>
                  <w:szCs w:val="18"/>
                  <w:color w:val="auto"/>
                </w:rPr>
                <w:t>124</w:t>
              </w:r>
            </w:hyperlink>
          </w:p>
        </w:tc>
      </w:tr>
      <w:tr>
        <w:trPr>
          <w:trHeight w:val="431"/>
        </w:trPr>
        <w:tc>
          <w:tcPr>
            <w:tcW w:w="10060" w:type="dxa"/>
            <w:vAlign w:val="bottom"/>
          </w:tcPr>
          <w:p>
            <w:pPr>
              <w:spacing w:after="0"/>
              <w:rPr>
                <w:rFonts w:ascii="Arial" w:cs="Arial" w:eastAsia="Arial" w:hAnsi="Arial"/>
                <w:sz w:val="19"/>
                <w:szCs w:val="19"/>
                <w:b w:val="1"/>
                <w:bCs w:val="1"/>
                <w:color w:val="582C83"/>
              </w:rPr>
            </w:pPr>
            <w:hyperlink w:anchor="page130">
              <w:r>
                <w:rPr>
                  <w:rFonts w:ascii="Arial" w:cs="Arial" w:eastAsia="Arial" w:hAnsi="Arial"/>
                  <w:sz w:val="19"/>
                  <w:szCs w:val="19"/>
                  <w:b w:val="1"/>
                  <w:bCs w:val="1"/>
                  <w:color w:val="582C83"/>
                </w:rPr>
                <w:t>ANNEX A: FINANCIAL MEASURES DEFINITIONS</w:t>
              </w:r>
            </w:hyperlink>
          </w:p>
        </w:tc>
        <w:tc>
          <w:tcPr>
            <w:tcW w:w="740" w:type="dxa"/>
            <w:vAlign w:val="bottom"/>
          </w:tcPr>
          <w:p>
            <w:pPr>
              <w:jc w:val="right"/>
              <w:spacing w:after="0"/>
              <w:rPr>
                <w:rFonts w:ascii="Arial" w:cs="Arial" w:eastAsia="Arial" w:hAnsi="Arial"/>
                <w:sz w:val="19"/>
                <w:szCs w:val="19"/>
                <w:b w:val="1"/>
                <w:bCs w:val="1"/>
                <w:color w:val="582C83"/>
              </w:rPr>
            </w:pPr>
            <w:hyperlink w:anchor="page130">
              <w:r>
                <w:rPr>
                  <w:rFonts w:ascii="Arial" w:cs="Arial" w:eastAsia="Arial" w:hAnsi="Arial"/>
                  <w:sz w:val="19"/>
                  <w:szCs w:val="19"/>
                  <w:b w:val="1"/>
                  <w:bCs w:val="1"/>
                  <w:color w:val="582C83"/>
                </w:rPr>
                <w:t>A-1</w:t>
              </w:r>
            </w:hyperlink>
          </w:p>
        </w:tc>
      </w:tr>
      <w:tr>
        <w:trPr>
          <w:trHeight w:val="231"/>
        </w:trPr>
        <w:tc>
          <w:tcPr>
            <w:tcW w:w="10060" w:type="dxa"/>
            <w:vAlign w:val="bottom"/>
          </w:tcPr>
          <w:p>
            <w:pPr>
              <w:spacing w:after="0"/>
              <w:rPr>
                <w:rFonts w:ascii="Arial" w:cs="Arial" w:eastAsia="Arial" w:hAnsi="Arial"/>
                <w:sz w:val="18"/>
                <w:szCs w:val="18"/>
                <w:color w:val="auto"/>
              </w:rPr>
            </w:pPr>
            <w:hyperlink w:anchor="page133">
              <w:r>
                <w:rPr>
                  <w:rFonts w:ascii="Arial" w:cs="Arial" w:eastAsia="Arial" w:hAnsi="Arial"/>
                  <w:sz w:val="18"/>
                  <w:szCs w:val="18"/>
                  <w:color w:val="auto"/>
                </w:rPr>
                <w:t>GAAP to Non-GAAP Reconciliations</w:t>
              </w:r>
            </w:hyperlink>
          </w:p>
        </w:tc>
        <w:tc>
          <w:tcPr>
            <w:tcW w:w="740" w:type="dxa"/>
            <w:vAlign w:val="bottom"/>
          </w:tcPr>
          <w:p>
            <w:pPr>
              <w:jc w:val="right"/>
              <w:spacing w:after="0"/>
              <w:rPr>
                <w:rFonts w:ascii="Arial" w:cs="Arial" w:eastAsia="Arial" w:hAnsi="Arial"/>
                <w:sz w:val="18"/>
                <w:szCs w:val="18"/>
                <w:color w:val="auto"/>
              </w:rPr>
            </w:pPr>
            <w:hyperlink w:anchor="page133">
              <w:r>
                <w:rPr>
                  <w:rFonts w:ascii="Arial" w:cs="Arial" w:eastAsia="Arial" w:hAnsi="Arial"/>
                  <w:sz w:val="18"/>
                  <w:szCs w:val="18"/>
                  <w:color w:val="auto"/>
                </w:rPr>
                <w:t>A-4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200660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-107315</wp:posOffset>
            </wp:positionV>
            <wp:extent cx="98552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020"/>
          </w:cols>
          <w:pgMar w:left="540" w:top="126"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spacing w:after="0"/>
        <w:rPr>
          <w:sz w:val="20"/>
          <w:szCs w:val="20"/>
          <w:color w:val="auto"/>
        </w:rPr>
      </w:pPr>
      <w:r>
        <w:rPr>
          <w:rFonts w:ascii="Arial" w:cs="Arial" w:eastAsia="Arial" w:hAnsi="Arial"/>
          <w:sz w:val="47"/>
          <w:szCs w:val="47"/>
          <w:b w:val="1"/>
          <w:bCs w:val="1"/>
          <w:color w:val="582C83"/>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right="440"/>
        <w:spacing w:after="0" w:line="238" w:lineRule="auto"/>
        <w:rPr>
          <w:sz w:val="20"/>
          <w:szCs w:val="20"/>
          <w:color w:val="auto"/>
        </w:rPr>
      </w:pPr>
      <w:r>
        <w:rPr>
          <w:rFonts w:ascii="Arial" w:cs="Arial" w:eastAsia="Arial" w:hAnsi="Arial"/>
          <w:sz w:val="22"/>
          <w:szCs w:val="22"/>
          <w:i w:val="1"/>
          <w:iCs w:val="1"/>
          <w:color w:val="auto"/>
        </w:rPr>
        <w:t>This summary highlights select information contained elsewhere in this Proxy Statement. You should read the entire Proxy Statement carefully and consider all available information before voting. For more complete information regarding the Company’s 2021 performance, please see our Annual Report on Form 10-K for the year ended December 31, 2021 (the “2021 Form 10-K”). Throughout this Proxy Statement, “we,” “us,” “our,” the “Company” and “Mondelēz International” refer to Mondelēz International, Inc.</w:t>
      </w:r>
    </w:p>
    <w:p>
      <w:pPr>
        <w:spacing w:after="0" w:line="228"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109855</wp:posOffset>
            </wp:positionV>
            <wp:extent cx="17970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109855</wp:posOffset>
            </wp:positionV>
            <wp:extent cx="18034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109855</wp:posOffset>
            </wp:positionV>
            <wp:extent cx="17970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109855</wp:posOffset>
            </wp:positionV>
            <wp:extent cx="17970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109855</wp:posOffset>
            </wp:positionV>
            <wp:extent cx="17970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1540" w:type="dxa"/>
            <w:vAlign w:val="bottom"/>
          </w:tcPr>
          <w:p>
            <w:pPr>
              <w:jc w:val="center"/>
              <w:spacing w:after="0"/>
              <w:rPr>
                <w:sz w:val="20"/>
                <w:szCs w:val="20"/>
                <w:color w:val="auto"/>
              </w:rPr>
            </w:pPr>
            <w:r>
              <w:rPr>
                <w:rFonts w:ascii="Arial" w:cs="Arial" w:eastAsia="Arial" w:hAnsi="Arial"/>
                <w:sz w:val="22"/>
                <w:szCs w:val="22"/>
                <w:color w:val="auto"/>
                <w:w w:val="97"/>
              </w:rPr>
              <w:t>9:00 a.m. CDT</w:t>
            </w:r>
          </w:p>
        </w:tc>
        <w:tc>
          <w:tcPr>
            <w:tcW w:w="2320" w:type="dxa"/>
            <w:vAlign w:val="bottom"/>
          </w:tcPr>
          <w:p>
            <w:pPr>
              <w:jc w:val="center"/>
              <w:spacing w:after="0"/>
              <w:rPr>
                <w:sz w:val="20"/>
                <w:szCs w:val="20"/>
                <w:color w:val="auto"/>
              </w:rPr>
            </w:pPr>
            <w:r>
              <w:rPr>
                <w:rFonts w:ascii="Arial" w:cs="Arial" w:eastAsia="Arial" w:hAnsi="Arial"/>
                <w:sz w:val="22"/>
                <w:szCs w:val="22"/>
                <w:color w:val="auto"/>
                <w:w w:val="97"/>
              </w:rPr>
              <w:t>The 2022 Annual</w:t>
            </w:r>
          </w:p>
        </w:tc>
        <w:tc>
          <w:tcPr>
            <w:tcW w:w="1140" w:type="dxa"/>
            <w:vAlign w:val="bottom"/>
          </w:tcPr>
          <w:p>
            <w:pPr>
              <w:jc w:val="center"/>
              <w:spacing w:after="0"/>
              <w:rPr>
                <w:sz w:val="20"/>
                <w:szCs w:val="20"/>
                <w:color w:val="auto"/>
              </w:rPr>
            </w:pPr>
            <w:r>
              <w:rPr>
                <w:rFonts w:ascii="Arial" w:cs="Arial" w:eastAsia="Arial" w:hAnsi="Arial"/>
                <w:sz w:val="22"/>
                <w:szCs w:val="22"/>
                <w:color w:val="auto"/>
                <w:w w:val="98"/>
              </w:rPr>
              <w:t>Record</w:t>
            </w:r>
          </w:p>
        </w:tc>
        <w:tc>
          <w:tcPr>
            <w:tcW w:w="1800" w:type="dxa"/>
            <w:vAlign w:val="bottom"/>
          </w:tcPr>
          <w:p>
            <w:pPr>
              <w:jc w:val="center"/>
              <w:spacing w:after="0"/>
              <w:rPr>
                <w:sz w:val="20"/>
                <w:szCs w:val="20"/>
                <w:color w:val="auto"/>
              </w:rPr>
            </w:pPr>
            <w:r>
              <w:rPr>
                <w:rFonts w:ascii="Arial" w:cs="Arial" w:eastAsia="Arial" w:hAnsi="Arial"/>
                <w:sz w:val="22"/>
                <w:szCs w:val="22"/>
                <w:color w:val="auto"/>
                <w:w w:val="95"/>
              </w:rPr>
              <w:t>Each</w:t>
            </w:r>
          </w:p>
        </w:tc>
        <w:tc>
          <w:tcPr>
            <w:tcW w:w="3640" w:type="dxa"/>
            <w:vAlign w:val="bottom"/>
          </w:tcPr>
          <w:p>
            <w:pPr>
              <w:jc w:val="center"/>
              <w:spacing w:after="0"/>
              <w:rPr>
                <w:sz w:val="20"/>
                <w:szCs w:val="20"/>
                <w:color w:val="auto"/>
              </w:rPr>
            </w:pPr>
            <w:r>
              <w:rPr>
                <w:rFonts w:ascii="Arial" w:cs="Arial" w:eastAsia="Arial" w:hAnsi="Arial"/>
                <w:sz w:val="22"/>
                <w:szCs w:val="22"/>
                <w:color w:val="auto"/>
                <w:w w:val="98"/>
              </w:rPr>
              <w:t>Shareholders may pre-register to</w:t>
            </w: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6"/>
              </w:rPr>
              <w:t>on Wednesday,</w:t>
            </w: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7"/>
              </w:rPr>
              <w:t>Meeting of</w:t>
            </w:r>
          </w:p>
        </w:tc>
        <w:tc>
          <w:tcPr>
            <w:tcW w:w="1140" w:type="dxa"/>
            <w:vAlign w:val="bottom"/>
          </w:tcPr>
          <w:p>
            <w:pPr>
              <w:jc w:val="center"/>
              <w:spacing w:after="0" w:line="243" w:lineRule="exact"/>
              <w:rPr>
                <w:sz w:val="20"/>
                <w:szCs w:val="20"/>
                <w:color w:val="auto"/>
              </w:rPr>
            </w:pPr>
            <w:r>
              <w:rPr>
                <w:rFonts w:ascii="Arial" w:cs="Arial" w:eastAsia="Arial" w:hAnsi="Arial"/>
                <w:sz w:val="22"/>
                <w:szCs w:val="22"/>
                <w:color w:val="auto"/>
                <w:w w:val="98"/>
              </w:rPr>
              <w:t>Date</w:t>
            </w: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outstanding</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8"/>
              </w:rPr>
              <w:t>attend the meeting, vote and submit</w:t>
            </w: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7"/>
              </w:rPr>
              <w:t>May 18, 2022.</w:t>
            </w: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8"/>
              </w:rPr>
              <w:t>Shareholders (the</w:t>
            </w:r>
          </w:p>
        </w:tc>
        <w:tc>
          <w:tcPr>
            <w:tcW w:w="29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March 14,  share of Class A</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8"/>
              </w:rPr>
              <w:t>questions by visiting</w:t>
            </w:r>
          </w:p>
        </w:tc>
      </w:tr>
      <w:tr>
        <w:trPr>
          <w:trHeight w:val="243"/>
        </w:trPr>
        <w:tc>
          <w:tcPr>
            <w:tcW w:w="154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8"/>
              </w:rPr>
              <w:t>“Annual Meeting”) will</w:t>
            </w:r>
          </w:p>
        </w:tc>
        <w:tc>
          <w:tcPr>
            <w:tcW w:w="1140" w:type="dxa"/>
            <w:vAlign w:val="bottom"/>
          </w:tcPr>
          <w:p>
            <w:pPr>
              <w:jc w:val="center"/>
              <w:spacing w:after="0" w:line="243" w:lineRule="exact"/>
              <w:rPr>
                <w:sz w:val="20"/>
                <w:szCs w:val="20"/>
                <w:color w:val="auto"/>
              </w:rPr>
            </w:pPr>
            <w:r>
              <w:rPr>
                <w:rFonts w:ascii="Arial" w:cs="Arial" w:eastAsia="Arial" w:hAnsi="Arial"/>
                <w:sz w:val="22"/>
                <w:szCs w:val="22"/>
                <w:color w:val="auto"/>
                <w:w w:val="98"/>
              </w:rPr>
              <w:t>2022.</w:t>
            </w: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Common Stock</w:t>
            </w:r>
          </w:p>
        </w:tc>
        <w:tc>
          <w:tcPr>
            <w:tcW w:w="3640" w:type="dxa"/>
            <w:vAlign w:val="bottom"/>
          </w:tcPr>
          <w:p>
            <w:pPr>
              <w:jc w:val="center"/>
              <w:spacing w:after="0" w:line="243" w:lineRule="exact"/>
              <w:rPr>
                <w:sz w:val="20"/>
                <w:szCs w:val="20"/>
                <w:color w:val="auto"/>
              </w:rPr>
            </w:pPr>
            <w:r>
              <w:rPr>
                <w:rFonts w:ascii="Arial" w:cs="Arial" w:eastAsia="Arial" w:hAnsi="Arial"/>
                <w:sz w:val="22"/>
                <w:szCs w:val="22"/>
                <w:i w:val="1"/>
                <w:iCs w:val="1"/>
                <w:color w:val="582C83"/>
                <w:w w:val="98"/>
              </w:rPr>
              <w:t>www.virtualshareholdermeeting.com/</w:t>
            </w:r>
          </w:p>
        </w:tc>
      </w:tr>
      <w:tr>
        <w:trPr>
          <w:trHeight w:val="243"/>
        </w:trPr>
        <w:tc>
          <w:tcPr>
            <w:tcW w:w="154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7"/>
              </w:rPr>
              <w:t>be a virtual meeting of</w:t>
            </w: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(“Common</w:t>
            </w:r>
          </w:p>
        </w:tc>
        <w:tc>
          <w:tcPr>
            <w:tcW w:w="3640" w:type="dxa"/>
            <w:vAlign w:val="bottom"/>
          </w:tcPr>
          <w:p>
            <w:pPr>
              <w:jc w:val="center"/>
              <w:spacing w:after="0" w:line="243" w:lineRule="exact"/>
              <w:rPr>
                <w:sz w:val="20"/>
                <w:szCs w:val="20"/>
                <w:color w:val="auto"/>
              </w:rPr>
            </w:pPr>
            <w:r>
              <w:rPr>
                <w:rFonts w:ascii="Arial" w:cs="Arial" w:eastAsia="Arial" w:hAnsi="Arial"/>
                <w:sz w:val="22"/>
                <w:szCs w:val="22"/>
                <w:i w:val="1"/>
                <w:iCs w:val="1"/>
                <w:color w:val="582C83"/>
                <w:w w:val="98"/>
              </w:rPr>
              <w:t xml:space="preserve">MDLZ2022 </w:t>
            </w:r>
            <w:r>
              <w:rPr>
                <w:rFonts w:ascii="Arial" w:cs="Arial" w:eastAsia="Arial" w:hAnsi="Arial"/>
                <w:sz w:val="22"/>
                <w:szCs w:val="22"/>
                <w:color w:val="000000"/>
                <w:w w:val="98"/>
              </w:rPr>
              <w:t>and using the 16-digit</w:t>
            </w:r>
          </w:p>
        </w:tc>
      </w:tr>
      <w:tr>
        <w:trPr>
          <w:trHeight w:val="243"/>
        </w:trPr>
        <w:tc>
          <w:tcPr>
            <w:tcW w:w="154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7"/>
              </w:rPr>
              <w:t>shareholders</w:t>
            </w: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Stock”) is</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8"/>
              </w:rPr>
              <w:t>control number shown on your Notice</w:t>
            </w:r>
          </w:p>
        </w:tc>
      </w:tr>
      <w:tr>
        <w:trPr>
          <w:trHeight w:val="243"/>
        </w:trPr>
        <w:tc>
          <w:tcPr>
            <w:tcW w:w="154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7"/>
              </w:rPr>
              <w:t>conducted via</w:t>
            </w: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entitled to one</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7"/>
              </w:rPr>
              <w:t>of Internet Availability of Proxy</w:t>
            </w:r>
          </w:p>
        </w:tc>
      </w:tr>
      <w:tr>
        <w:trPr>
          <w:trHeight w:val="243"/>
        </w:trPr>
        <w:tc>
          <w:tcPr>
            <w:tcW w:w="154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22"/>
                <w:szCs w:val="22"/>
                <w:color w:val="auto"/>
                <w:w w:val="96"/>
              </w:rPr>
              <w:t>webcast.</w:t>
            </w: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vote on each</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8"/>
              </w:rPr>
              <w:t>Materials, proxy card or voting</w:t>
            </w:r>
          </w:p>
        </w:tc>
      </w:tr>
      <w:tr>
        <w:trPr>
          <w:trHeight w:val="243"/>
        </w:trPr>
        <w:tc>
          <w:tcPr>
            <w:tcW w:w="1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matter to be</w:t>
            </w:r>
          </w:p>
        </w:tc>
        <w:tc>
          <w:tcPr>
            <w:tcW w:w="3640" w:type="dxa"/>
            <w:vAlign w:val="bottom"/>
          </w:tcPr>
          <w:p>
            <w:pPr>
              <w:jc w:val="center"/>
              <w:spacing w:after="0" w:line="243" w:lineRule="exact"/>
              <w:rPr>
                <w:sz w:val="20"/>
                <w:szCs w:val="20"/>
                <w:color w:val="auto"/>
              </w:rPr>
            </w:pPr>
            <w:r>
              <w:rPr>
                <w:rFonts w:ascii="Arial" w:cs="Arial" w:eastAsia="Arial" w:hAnsi="Arial"/>
                <w:sz w:val="22"/>
                <w:szCs w:val="22"/>
                <w:color w:val="auto"/>
                <w:w w:val="98"/>
              </w:rPr>
              <w:t>instruction form (“VIF”).</w:t>
            </w:r>
          </w:p>
        </w:tc>
      </w:tr>
      <w:tr>
        <w:trPr>
          <w:trHeight w:val="243"/>
        </w:trPr>
        <w:tc>
          <w:tcPr>
            <w:tcW w:w="1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voted upon at</w:t>
            </w:r>
          </w:p>
        </w:tc>
        <w:tc>
          <w:tcPr>
            <w:tcW w:w="3640" w:type="dxa"/>
            <w:vAlign w:val="bottom"/>
          </w:tcPr>
          <w:p>
            <w:pPr>
              <w:spacing w:after="0"/>
              <w:rPr>
                <w:sz w:val="21"/>
                <w:szCs w:val="21"/>
                <w:color w:val="auto"/>
              </w:rPr>
            </w:pPr>
          </w:p>
        </w:tc>
      </w:tr>
      <w:tr>
        <w:trPr>
          <w:trHeight w:val="243"/>
        </w:trPr>
        <w:tc>
          <w:tcPr>
            <w:tcW w:w="1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Pr>
          <w:p>
            <w:pPr>
              <w:jc w:val="center"/>
              <w:spacing w:after="0" w:line="243" w:lineRule="exact"/>
              <w:rPr>
                <w:sz w:val="20"/>
                <w:szCs w:val="20"/>
                <w:color w:val="auto"/>
              </w:rPr>
            </w:pPr>
            <w:r>
              <w:rPr>
                <w:rFonts w:ascii="Arial" w:cs="Arial" w:eastAsia="Arial" w:hAnsi="Arial"/>
                <w:sz w:val="22"/>
                <w:szCs w:val="22"/>
                <w:color w:val="auto"/>
                <w:w w:val="98"/>
              </w:rPr>
              <w:t>the Annual</w:t>
            </w:r>
          </w:p>
        </w:tc>
        <w:tc>
          <w:tcPr>
            <w:tcW w:w="3640" w:type="dxa"/>
            <w:vAlign w:val="bottom"/>
          </w:tcPr>
          <w:p>
            <w:pPr>
              <w:spacing w:after="0"/>
              <w:rPr>
                <w:sz w:val="21"/>
                <w:szCs w:val="21"/>
                <w:color w:val="auto"/>
              </w:rPr>
            </w:pPr>
          </w:p>
        </w:tc>
      </w:tr>
      <w:tr>
        <w:trPr>
          <w:trHeight w:val="283"/>
        </w:trPr>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22"/>
                <w:szCs w:val="22"/>
                <w:color w:val="auto"/>
                <w:w w:val="99"/>
              </w:rPr>
              <w:t>Meeting.</w:t>
            </w:r>
          </w:p>
        </w:tc>
        <w:tc>
          <w:tcPr>
            <w:tcW w:w="3640" w:type="dxa"/>
            <w:vAlign w:val="bottom"/>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How to Vote in Advance of the Meeting</w:t>
      </w:r>
    </w:p>
    <w:p>
      <w:pPr>
        <w:spacing w:after="0" w:line="227" w:lineRule="exact"/>
        <w:rPr>
          <w:sz w:val="20"/>
          <w:szCs w:val="20"/>
          <w:color w:val="auto"/>
        </w:rPr>
      </w:pPr>
    </w:p>
    <w:p>
      <w:pPr>
        <w:ind w:left="360" w:right="620"/>
        <w:spacing w:after="0"/>
        <w:rPr>
          <w:sz w:val="20"/>
          <w:szCs w:val="20"/>
          <w:color w:val="auto"/>
        </w:rPr>
      </w:pPr>
      <w:r>
        <w:rPr>
          <w:rFonts w:ascii="Arial" w:cs="Arial" w:eastAsia="Arial" w:hAnsi="Arial"/>
          <w:sz w:val="22"/>
          <w:szCs w:val="22"/>
          <w:color w:val="auto"/>
        </w:rPr>
        <w:t>Even if you plan to attend the Annual Meeting, please vote in advance of the meeting using one of the following voting methods (see Question 12 on page 121 for additional details). If you are voting via the Internet, with your mobile device or by telephone, be sure to have your proxy card or VIF in hand and follow the instructions. You can vote in advance of the meeting any of four ways: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981"/>
        </w:trPr>
        <w:tc>
          <w:tcPr>
            <w:tcW w:w="380" w:type="dxa"/>
            <w:vAlign w:val="bottom"/>
            <w:tcBorders>
              <w:right w:val="single" w:sz="8" w:color="582C83"/>
            </w:tcBorders>
          </w:tcPr>
          <w:p>
            <w:pPr>
              <w:spacing w:after="0"/>
              <w:rPr>
                <w:sz w:val="24"/>
                <w:szCs w:val="24"/>
                <w:color w:val="auto"/>
              </w:rPr>
            </w:pPr>
          </w:p>
        </w:tc>
        <w:tc>
          <w:tcPr>
            <w:tcW w:w="2640" w:type="dxa"/>
            <w:vAlign w:val="bottom"/>
            <w:tcBorders>
              <w:top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VIA THE INTERNET</w:t>
            </w:r>
          </w:p>
        </w:tc>
        <w:tc>
          <w:tcPr>
            <w:tcW w:w="2600" w:type="dxa"/>
            <w:vAlign w:val="bottom"/>
            <w:tcBorders>
              <w:top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WITH YOUR MOBILE</w:t>
            </w:r>
          </w:p>
        </w:tc>
        <w:tc>
          <w:tcPr>
            <w:tcW w:w="2620" w:type="dxa"/>
            <w:vAlign w:val="bottom"/>
            <w:tcBorders>
              <w:top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BY TELEPHONE</w:t>
            </w:r>
          </w:p>
        </w:tc>
        <w:tc>
          <w:tcPr>
            <w:tcW w:w="264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b w:val="1"/>
                <w:bCs w:val="1"/>
                <w:color w:val="auto"/>
                <w:w w:val="97"/>
              </w:rPr>
              <w:t>BY MAIL</w:t>
            </w:r>
          </w:p>
        </w:tc>
        <w:tc>
          <w:tcPr>
            <w:tcW w:w="360" w:type="dxa"/>
            <w:vAlign w:val="bottom"/>
          </w:tcPr>
          <w:p>
            <w:pPr>
              <w:spacing w:after="0"/>
              <w:rPr>
                <w:sz w:val="24"/>
                <w:szCs w:val="24"/>
                <w:color w:val="auto"/>
              </w:rPr>
            </w:pPr>
          </w:p>
        </w:tc>
      </w:tr>
      <w:tr>
        <w:trPr>
          <w:trHeight w:val="245"/>
        </w:trPr>
        <w:tc>
          <w:tcPr>
            <w:tcW w:w="380" w:type="dxa"/>
            <w:vAlign w:val="bottom"/>
            <w:tcBorders>
              <w:right w:val="single" w:sz="8" w:color="582C83"/>
            </w:tcBorders>
          </w:tcPr>
          <w:p>
            <w:pPr>
              <w:spacing w:after="0"/>
              <w:rPr>
                <w:sz w:val="21"/>
                <w:szCs w:val="21"/>
                <w:color w:val="auto"/>
              </w:rPr>
            </w:pPr>
          </w:p>
        </w:tc>
        <w:tc>
          <w:tcPr>
            <w:tcW w:w="2640" w:type="dxa"/>
            <w:vAlign w:val="bottom"/>
          </w:tcPr>
          <w:p>
            <w:pPr>
              <w:jc w:val="center"/>
              <w:spacing w:after="0" w:line="245" w:lineRule="exact"/>
              <w:rPr>
                <w:sz w:val="20"/>
                <w:szCs w:val="20"/>
                <w:color w:val="auto"/>
              </w:rPr>
            </w:pPr>
            <w:r>
              <w:rPr>
                <w:rFonts w:ascii="Arial" w:cs="Arial" w:eastAsia="Arial" w:hAnsi="Arial"/>
                <w:sz w:val="22"/>
                <w:szCs w:val="22"/>
                <w:color w:val="auto"/>
                <w:w w:val="97"/>
              </w:rPr>
              <w:t>Visit the website listed on</w:t>
            </w:r>
          </w:p>
        </w:tc>
        <w:tc>
          <w:tcPr>
            <w:tcW w:w="2600" w:type="dxa"/>
            <w:vAlign w:val="bottom"/>
          </w:tcPr>
          <w:p>
            <w:pPr>
              <w:jc w:val="center"/>
              <w:spacing w:after="0" w:line="245" w:lineRule="exact"/>
              <w:rPr>
                <w:sz w:val="20"/>
                <w:szCs w:val="20"/>
                <w:color w:val="auto"/>
              </w:rPr>
            </w:pPr>
            <w:r>
              <w:rPr>
                <w:rFonts w:ascii="Arial" w:cs="Arial" w:eastAsia="Arial" w:hAnsi="Arial"/>
                <w:sz w:val="22"/>
                <w:szCs w:val="22"/>
                <w:b w:val="1"/>
                <w:bCs w:val="1"/>
                <w:color w:val="auto"/>
                <w:w w:val="97"/>
              </w:rPr>
              <w:t>DEVICE</w:t>
            </w:r>
          </w:p>
        </w:tc>
        <w:tc>
          <w:tcPr>
            <w:tcW w:w="2620" w:type="dxa"/>
            <w:vAlign w:val="bottom"/>
          </w:tcPr>
          <w:p>
            <w:pPr>
              <w:jc w:val="center"/>
              <w:spacing w:after="0" w:line="245" w:lineRule="exact"/>
              <w:rPr>
                <w:sz w:val="20"/>
                <w:szCs w:val="20"/>
                <w:color w:val="auto"/>
              </w:rPr>
            </w:pPr>
            <w:r>
              <w:rPr>
                <w:rFonts w:ascii="Arial" w:cs="Arial" w:eastAsia="Arial" w:hAnsi="Arial"/>
                <w:sz w:val="22"/>
                <w:szCs w:val="22"/>
                <w:color w:val="auto"/>
                <w:w w:val="98"/>
              </w:rPr>
              <w:t>Call the telephone</w:t>
            </w:r>
          </w:p>
        </w:tc>
        <w:tc>
          <w:tcPr>
            <w:tcW w:w="2640" w:type="dxa"/>
            <w:vAlign w:val="bottom"/>
            <w:tcBorders>
              <w:right w:val="single" w:sz="8" w:color="582C83"/>
            </w:tcBorders>
          </w:tcPr>
          <w:p>
            <w:pPr>
              <w:jc w:val="center"/>
              <w:spacing w:after="0" w:line="245" w:lineRule="exact"/>
              <w:rPr>
                <w:sz w:val="20"/>
                <w:szCs w:val="20"/>
                <w:color w:val="auto"/>
              </w:rPr>
            </w:pPr>
            <w:r>
              <w:rPr>
                <w:rFonts w:ascii="Arial" w:cs="Arial" w:eastAsia="Arial" w:hAnsi="Arial"/>
                <w:sz w:val="22"/>
                <w:szCs w:val="22"/>
                <w:color w:val="auto"/>
                <w:w w:val="98"/>
              </w:rPr>
              <w:t>If you received paper</w:t>
            </w:r>
          </w:p>
        </w:tc>
        <w:tc>
          <w:tcPr>
            <w:tcW w:w="360" w:type="dxa"/>
            <w:vAlign w:val="bottom"/>
          </w:tcPr>
          <w:p>
            <w:pPr>
              <w:spacing w:after="0"/>
              <w:rPr>
                <w:sz w:val="21"/>
                <w:szCs w:val="21"/>
                <w:color w:val="auto"/>
              </w:rPr>
            </w:pPr>
          </w:p>
        </w:tc>
      </w:tr>
      <w:tr>
        <w:trPr>
          <w:trHeight w:val="243"/>
        </w:trPr>
        <w:tc>
          <w:tcPr>
            <w:tcW w:w="380" w:type="dxa"/>
            <w:vAlign w:val="bottom"/>
            <w:tcBorders>
              <w:right w:val="single" w:sz="8" w:color="582C83"/>
            </w:tcBorders>
          </w:tcPr>
          <w:p>
            <w:pPr>
              <w:spacing w:after="0"/>
              <w:rPr>
                <w:sz w:val="21"/>
                <w:szCs w:val="21"/>
                <w:color w:val="auto"/>
              </w:rPr>
            </w:pPr>
          </w:p>
        </w:tc>
        <w:tc>
          <w:tcPr>
            <w:tcW w:w="2640" w:type="dxa"/>
            <w:vAlign w:val="bottom"/>
          </w:tcPr>
          <w:p>
            <w:pPr>
              <w:jc w:val="center"/>
              <w:spacing w:after="0" w:line="243" w:lineRule="exact"/>
              <w:rPr>
                <w:sz w:val="20"/>
                <w:szCs w:val="20"/>
                <w:color w:val="auto"/>
              </w:rPr>
            </w:pPr>
            <w:r>
              <w:rPr>
                <w:rFonts w:ascii="Arial" w:cs="Arial" w:eastAsia="Arial" w:hAnsi="Arial"/>
                <w:sz w:val="22"/>
                <w:szCs w:val="22"/>
                <w:color w:val="auto"/>
                <w:w w:val="97"/>
              </w:rPr>
              <w:t>your Notice of Internet</w:t>
            </w:r>
          </w:p>
        </w:tc>
        <w:tc>
          <w:tcPr>
            <w:tcW w:w="2600" w:type="dxa"/>
            <w:vAlign w:val="bottom"/>
          </w:tcPr>
          <w:p>
            <w:pPr>
              <w:jc w:val="center"/>
              <w:spacing w:after="0" w:line="243" w:lineRule="exact"/>
              <w:rPr>
                <w:sz w:val="20"/>
                <w:szCs w:val="20"/>
                <w:color w:val="auto"/>
              </w:rPr>
            </w:pPr>
            <w:r>
              <w:rPr>
                <w:rFonts w:ascii="Arial" w:cs="Arial" w:eastAsia="Arial" w:hAnsi="Arial"/>
                <w:sz w:val="22"/>
                <w:szCs w:val="22"/>
                <w:color w:val="auto"/>
                <w:w w:val="98"/>
              </w:rPr>
              <w:t>Scan the QR barcode on</w:t>
            </w:r>
          </w:p>
        </w:tc>
        <w:tc>
          <w:tcPr>
            <w:tcW w:w="2620" w:type="dxa"/>
            <w:vAlign w:val="bottom"/>
          </w:tcPr>
          <w:p>
            <w:pPr>
              <w:jc w:val="center"/>
              <w:spacing w:after="0" w:line="243" w:lineRule="exact"/>
              <w:rPr>
                <w:sz w:val="20"/>
                <w:szCs w:val="20"/>
                <w:color w:val="auto"/>
              </w:rPr>
            </w:pPr>
            <w:r>
              <w:rPr>
                <w:rFonts w:ascii="Arial" w:cs="Arial" w:eastAsia="Arial" w:hAnsi="Arial"/>
                <w:sz w:val="22"/>
                <w:szCs w:val="22"/>
                <w:color w:val="auto"/>
                <w:w w:val="97"/>
              </w:rPr>
              <w:t>number on your Notice of</w:t>
            </w:r>
          </w:p>
        </w:tc>
        <w:tc>
          <w:tcPr>
            <w:tcW w:w="2640" w:type="dxa"/>
            <w:vAlign w:val="bottom"/>
            <w:tcBorders>
              <w:right w:val="single" w:sz="8" w:color="582C83"/>
            </w:tcBorders>
          </w:tcPr>
          <w:p>
            <w:pPr>
              <w:jc w:val="center"/>
              <w:spacing w:after="0" w:line="243" w:lineRule="exact"/>
              <w:rPr>
                <w:sz w:val="20"/>
                <w:szCs w:val="20"/>
                <w:color w:val="auto"/>
              </w:rPr>
            </w:pPr>
            <w:r>
              <w:rPr>
                <w:rFonts w:ascii="Arial" w:cs="Arial" w:eastAsia="Arial" w:hAnsi="Arial"/>
                <w:sz w:val="22"/>
                <w:szCs w:val="22"/>
                <w:color w:val="auto"/>
                <w:w w:val="98"/>
              </w:rPr>
              <w:t>copies of your proxy</w:t>
            </w:r>
          </w:p>
        </w:tc>
        <w:tc>
          <w:tcPr>
            <w:tcW w:w="360" w:type="dxa"/>
            <w:vAlign w:val="bottom"/>
          </w:tcPr>
          <w:p>
            <w:pPr>
              <w:spacing w:after="0"/>
              <w:rPr>
                <w:sz w:val="21"/>
                <w:szCs w:val="21"/>
                <w:color w:val="auto"/>
              </w:rPr>
            </w:pPr>
          </w:p>
        </w:tc>
      </w:tr>
      <w:tr>
        <w:trPr>
          <w:trHeight w:val="243"/>
        </w:trPr>
        <w:tc>
          <w:tcPr>
            <w:tcW w:w="380" w:type="dxa"/>
            <w:vAlign w:val="bottom"/>
            <w:tcBorders>
              <w:right w:val="single" w:sz="8" w:color="582C83"/>
            </w:tcBorders>
          </w:tcPr>
          <w:p>
            <w:pPr>
              <w:spacing w:after="0"/>
              <w:rPr>
                <w:sz w:val="21"/>
                <w:szCs w:val="21"/>
                <w:color w:val="auto"/>
              </w:rPr>
            </w:pPr>
          </w:p>
        </w:tc>
        <w:tc>
          <w:tcPr>
            <w:tcW w:w="2640" w:type="dxa"/>
            <w:vAlign w:val="bottom"/>
          </w:tcPr>
          <w:p>
            <w:pPr>
              <w:jc w:val="center"/>
              <w:spacing w:after="0" w:line="243" w:lineRule="exact"/>
              <w:rPr>
                <w:sz w:val="20"/>
                <w:szCs w:val="20"/>
                <w:color w:val="auto"/>
              </w:rPr>
            </w:pPr>
            <w:r>
              <w:rPr>
                <w:rFonts w:ascii="Arial" w:cs="Arial" w:eastAsia="Arial" w:hAnsi="Arial"/>
                <w:sz w:val="22"/>
                <w:szCs w:val="22"/>
                <w:color w:val="auto"/>
                <w:w w:val="97"/>
              </w:rPr>
              <w:t>Availability of Proxy</w:t>
            </w:r>
          </w:p>
        </w:tc>
        <w:tc>
          <w:tcPr>
            <w:tcW w:w="2600" w:type="dxa"/>
            <w:vAlign w:val="bottom"/>
          </w:tcPr>
          <w:p>
            <w:pPr>
              <w:jc w:val="center"/>
              <w:spacing w:after="0" w:line="243" w:lineRule="exact"/>
              <w:rPr>
                <w:sz w:val="20"/>
                <w:szCs w:val="20"/>
                <w:color w:val="auto"/>
              </w:rPr>
            </w:pPr>
            <w:r>
              <w:rPr>
                <w:rFonts w:ascii="Arial" w:cs="Arial" w:eastAsia="Arial" w:hAnsi="Arial"/>
                <w:sz w:val="22"/>
                <w:szCs w:val="22"/>
                <w:color w:val="auto"/>
                <w:w w:val="97"/>
              </w:rPr>
              <w:t>your Notice of Internet</w:t>
            </w:r>
          </w:p>
        </w:tc>
        <w:tc>
          <w:tcPr>
            <w:tcW w:w="2620" w:type="dxa"/>
            <w:vAlign w:val="bottom"/>
          </w:tcPr>
          <w:p>
            <w:pPr>
              <w:jc w:val="center"/>
              <w:spacing w:after="0" w:line="243" w:lineRule="exact"/>
              <w:rPr>
                <w:sz w:val="20"/>
                <w:szCs w:val="20"/>
                <w:color w:val="auto"/>
              </w:rPr>
            </w:pPr>
            <w:r>
              <w:rPr>
                <w:rFonts w:ascii="Arial" w:cs="Arial" w:eastAsia="Arial" w:hAnsi="Arial"/>
                <w:sz w:val="22"/>
                <w:szCs w:val="22"/>
                <w:color w:val="auto"/>
                <w:w w:val="98"/>
              </w:rPr>
              <w:t>Internet Availability of</w:t>
            </w:r>
          </w:p>
        </w:tc>
        <w:tc>
          <w:tcPr>
            <w:tcW w:w="2640" w:type="dxa"/>
            <w:vAlign w:val="bottom"/>
            <w:tcBorders>
              <w:right w:val="single" w:sz="8" w:color="582C83"/>
            </w:tcBorders>
          </w:tcPr>
          <w:p>
            <w:pPr>
              <w:jc w:val="center"/>
              <w:spacing w:after="0" w:line="243" w:lineRule="exact"/>
              <w:rPr>
                <w:sz w:val="20"/>
                <w:szCs w:val="20"/>
                <w:color w:val="auto"/>
              </w:rPr>
            </w:pPr>
            <w:r>
              <w:rPr>
                <w:rFonts w:ascii="Arial" w:cs="Arial" w:eastAsia="Arial" w:hAnsi="Arial"/>
                <w:sz w:val="22"/>
                <w:szCs w:val="22"/>
                <w:color w:val="auto"/>
                <w:w w:val="98"/>
              </w:rPr>
              <w:t>materials, mark, sign,</w:t>
            </w:r>
          </w:p>
        </w:tc>
        <w:tc>
          <w:tcPr>
            <w:tcW w:w="360" w:type="dxa"/>
            <w:vAlign w:val="bottom"/>
          </w:tcPr>
          <w:p>
            <w:pPr>
              <w:spacing w:after="0"/>
              <w:rPr>
                <w:sz w:val="21"/>
                <w:szCs w:val="21"/>
                <w:color w:val="auto"/>
              </w:rPr>
            </w:pPr>
          </w:p>
        </w:tc>
      </w:tr>
      <w:tr>
        <w:trPr>
          <w:trHeight w:val="243"/>
        </w:trPr>
        <w:tc>
          <w:tcPr>
            <w:tcW w:w="380" w:type="dxa"/>
            <w:vAlign w:val="bottom"/>
            <w:tcBorders>
              <w:right w:val="single" w:sz="8" w:color="582C83"/>
            </w:tcBorders>
          </w:tcPr>
          <w:p>
            <w:pPr>
              <w:spacing w:after="0"/>
              <w:rPr>
                <w:sz w:val="21"/>
                <w:szCs w:val="21"/>
                <w:color w:val="auto"/>
              </w:rPr>
            </w:pPr>
          </w:p>
        </w:tc>
        <w:tc>
          <w:tcPr>
            <w:tcW w:w="2640" w:type="dxa"/>
            <w:vAlign w:val="bottom"/>
          </w:tcPr>
          <w:p>
            <w:pPr>
              <w:jc w:val="center"/>
              <w:spacing w:after="0" w:line="243" w:lineRule="exact"/>
              <w:rPr>
                <w:sz w:val="20"/>
                <w:szCs w:val="20"/>
                <w:color w:val="auto"/>
              </w:rPr>
            </w:pPr>
            <w:r>
              <w:rPr>
                <w:rFonts w:ascii="Arial" w:cs="Arial" w:eastAsia="Arial" w:hAnsi="Arial"/>
                <w:sz w:val="22"/>
                <w:szCs w:val="22"/>
                <w:color w:val="auto"/>
                <w:w w:val="98"/>
              </w:rPr>
              <w:t>Materials, proxy card or</w:t>
            </w:r>
          </w:p>
        </w:tc>
        <w:tc>
          <w:tcPr>
            <w:tcW w:w="2600" w:type="dxa"/>
            <w:vAlign w:val="bottom"/>
          </w:tcPr>
          <w:p>
            <w:pPr>
              <w:jc w:val="center"/>
              <w:spacing w:after="0" w:line="243" w:lineRule="exact"/>
              <w:rPr>
                <w:sz w:val="20"/>
                <w:szCs w:val="20"/>
                <w:color w:val="auto"/>
              </w:rPr>
            </w:pPr>
            <w:r>
              <w:rPr>
                <w:rFonts w:ascii="Arial" w:cs="Arial" w:eastAsia="Arial" w:hAnsi="Arial"/>
                <w:sz w:val="22"/>
                <w:szCs w:val="22"/>
                <w:color w:val="auto"/>
                <w:w w:val="97"/>
              </w:rPr>
              <w:t>Availability of Proxy</w:t>
            </w:r>
          </w:p>
        </w:tc>
        <w:tc>
          <w:tcPr>
            <w:tcW w:w="2620" w:type="dxa"/>
            <w:vAlign w:val="bottom"/>
          </w:tcPr>
          <w:p>
            <w:pPr>
              <w:jc w:val="center"/>
              <w:spacing w:after="0" w:line="243" w:lineRule="exact"/>
              <w:rPr>
                <w:sz w:val="20"/>
                <w:szCs w:val="20"/>
                <w:color w:val="auto"/>
              </w:rPr>
            </w:pPr>
            <w:r>
              <w:rPr>
                <w:rFonts w:ascii="Arial" w:cs="Arial" w:eastAsia="Arial" w:hAnsi="Arial"/>
                <w:sz w:val="22"/>
                <w:szCs w:val="22"/>
                <w:color w:val="auto"/>
                <w:w w:val="98"/>
              </w:rPr>
              <w:t>Proxy Materials, proxy</w:t>
            </w:r>
          </w:p>
        </w:tc>
        <w:tc>
          <w:tcPr>
            <w:tcW w:w="2640" w:type="dxa"/>
            <w:vAlign w:val="bottom"/>
            <w:tcBorders>
              <w:right w:val="single" w:sz="8" w:color="582C83"/>
            </w:tcBorders>
          </w:tcPr>
          <w:p>
            <w:pPr>
              <w:jc w:val="center"/>
              <w:spacing w:after="0" w:line="243" w:lineRule="exact"/>
              <w:rPr>
                <w:sz w:val="20"/>
                <w:szCs w:val="20"/>
                <w:color w:val="auto"/>
              </w:rPr>
            </w:pPr>
            <w:r>
              <w:rPr>
                <w:rFonts w:ascii="Arial" w:cs="Arial" w:eastAsia="Arial" w:hAnsi="Arial"/>
                <w:sz w:val="22"/>
                <w:szCs w:val="22"/>
                <w:color w:val="auto"/>
                <w:w w:val="98"/>
              </w:rPr>
              <w:t>date and return the proxy</w:t>
            </w:r>
          </w:p>
        </w:tc>
        <w:tc>
          <w:tcPr>
            <w:tcW w:w="360" w:type="dxa"/>
            <w:vAlign w:val="bottom"/>
          </w:tcPr>
          <w:p>
            <w:pPr>
              <w:spacing w:after="0"/>
              <w:rPr>
                <w:sz w:val="21"/>
                <w:szCs w:val="21"/>
                <w:color w:val="auto"/>
              </w:rPr>
            </w:pPr>
          </w:p>
        </w:tc>
      </w:tr>
      <w:tr>
        <w:trPr>
          <w:trHeight w:val="243"/>
        </w:trPr>
        <w:tc>
          <w:tcPr>
            <w:tcW w:w="380" w:type="dxa"/>
            <w:vAlign w:val="bottom"/>
            <w:tcBorders>
              <w:right w:val="single" w:sz="8" w:color="582C83"/>
            </w:tcBorders>
          </w:tcPr>
          <w:p>
            <w:pPr>
              <w:spacing w:after="0"/>
              <w:rPr>
                <w:sz w:val="21"/>
                <w:szCs w:val="21"/>
                <w:color w:val="auto"/>
              </w:rPr>
            </w:pPr>
          </w:p>
        </w:tc>
        <w:tc>
          <w:tcPr>
            <w:tcW w:w="2640" w:type="dxa"/>
            <w:vAlign w:val="bottom"/>
          </w:tcPr>
          <w:p>
            <w:pPr>
              <w:jc w:val="center"/>
              <w:spacing w:after="0" w:line="243" w:lineRule="exact"/>
              <w:rPr>
                <w:sz w:val="20"/>
                <w:szCs w:val="20"/>
                <w:color w:val="auto"/>
              </w:rPr>
            </w:pPr>
            <w:r>
              <w:rPr>
                <w:rFonts w:ascii="Arial" w:cs="Arial" w:eastAsia="Arial" w:hAnsi="Arial"/>
                <w:sz w:val="22"/>
                <w:szCs w:val="22"/>
                <w:color w:val="auto"/>
                <w:w w:val="97"/>
              </w:rPr>
              <w:t>VIF to vote</w:t>
            </w:r>
          </w:p>
        </w:tc>
        <w:tc>
          <w:tcPr>
            <w:tcW w:w="2600" w:type="dxa"/>
            <w:vAlign w:val="bottom"/>
          </w:tcPr>
          <w:p>
            <w:pPr>
              <w:jc w:val="center"/>
              <w:spacing w:after="0" w:line="243" w:lineRule="exact"/>
              <w:rPr>
                <w:sz w:val="20"/>
                <w:szCs w:val="20"/>
                <w:color w:val="auto"/>
              </w:rPr>
            </w:pPr>
            <w:r>
              <w:rPr>
                <w:rFonts w:ascii="Arial" w:cs="Arial" w:eastAsia="Arial" w:hAnsi="Arial"/>
                <w:sz w:val="22"/>
                <w:szCs w:val="22"/>
                <w:color w:val="auto"/>
                <w:w w:val="98"/>
              </w:rPr>
              <w:t>Materials, proxy card or</w:t>
            </w:r>
          </w:p>
        </w:tc>
        <w:tc>
          <w:tcPr>
            <w:tcW w:w="2620" w:type="dxa"/>
            <w:vAlign w:val="bottom"/>
          </w:tcPr>
          <w:p>
            <w:pPr>
              <w:jc w:val="center"/>
              <w:spacing w:after="0" w:line="243" w:lineRule="exact"/>
              <w:rPr>
                <w:sz w:val="20"/>
                <w:szCs w:val="20"/>
                <w:color w:val="auto"/>
              </w:rPr>
            </w:pPr>
            <w:r>
              <w:rPr>
                <w:rFonts w:ascii="Arial" w:cs="Arial" w:eastAsia="Arial" w:hAnsi="Arial"/>
                <w:sz w:val="22"/>
                <w:szCs w:val="22"/>
                <w:color w:val="auto"/>
                <w:w w:val="98"/>
              </w:rPr>
              <w:t>card or VIF to vote</w:t>
            </w:r>
          </w:p>
        </w:tc>
        <w:tc>
          <w:tcPr>
            <w:tcW w:w="2640" w:type="dxa"/>
            <w:vAlign w:val="bottom"/>
            <w:tcBorders>
              <w:right w:val="single" w:sz="8" w:color="582C83"/>
            </w:tcBorders>
          </w:tcPr>
          <w:p>
            <w:pPr>
              <w:jc w:val="center"/>
              <w:spacing w:after="0" w:line="243" w:lineRule="exact"/>
              <w:rPr>
                <w:sz w:val="20"/>
                <w:szCs w:val="20"/>
                <w:color w:val="auto"/>
              </w:rPr>
            </w:pPr>
            <w:r>
              <w:rPr>
                <w:rFonts w:ascii="Arial" w:cs="Arial" w:eastAsia="Arial" w:hAnsi="Arial"/>
                <w:sz w:val="22"/>
                <w:szCs w:val="22"/>
                <w:color w:val="auto"/>
                <w:w w:val="98"/>
              </w:rPr>
              <w:t>card in the enclosed</w:t>
            </w:r>
          </w:p>
        </w:tc>
        <w:tc>
          <w:tcPr>
            <w:tcW w:w="360" w:type="dxa"/>
            <w:vAlign w:val="bottom"/>
          </w:tcPr>
          <w:p>
            <w:pPr>
              <w:spacing w:after="0"/>
              <w:rPr>
                <w:sz w:val="21"/>
                <w:szCs w:val="21"/>
                <w:color w:val="auto"/>
              </w:rPr>
            </w:pPr>
          </w:p>
        </w:tc>
      </w:tr>
      <w:tr>
        <w:trPr>
          <w:trHeight w:val="283"/>
        </w:trPr>
        <w:tc>
          <w:tcPr>
            <w:tcW w:w="380" w:type="dxa"/>
            <w:vAlign w:val="bottom"/>
            <w:tcBorders>
              <w:right w:val="single" w:sz="8" w:color="582C83"/>
            </w:tcBorders>
          </w:tcPr>
          <w:p>
            <w:pPr>
              <w:spacing w:after="0"/>
              <w:rPr>
                <w:sz w:val="24"/>
                <w:szCs w:val="24"/>
                <w:color w:val="auto"/>
              </w:rPr>
            </w:pPr>
          </w:p>
        </w:tc>
        <w:tc>
          <w:tcPr>
            <w:tcW w:w="264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22"/>
                <w:szCs w:val="22"/>
                <w:color w:val="auto"/>
                <w:w w:val="97"/>
              </w:rPr>
              <w:t>VIF to vote</w:t>
            </w:r>
          </w:p>
        </w:tc>
        <w:tc>
          <w:tcPr>
            <w:tcW w:w="2620" w:type="dxa"/>
            <w:vAlign w:val="bottom"/>
          </w:tcPr>
          <w:p>
            <w:pPr>
              <w:spacing w:after="0"/>
              <w:rPr>
                <w:sz w:val="24"/>
                <w:szCs w:val="24"/>
                <w:color w:val="auto"/>
              </w:rPr>
            </w:pPr>
          </w:p>
        </w:tc>
        <w:tc>
          <w:tcPr>
            <w:tcW w:w="2640" w:type="dxa"/>
            <w:vAlign w:val="bottom"/>
            <w:tcBorders>
              <w:right w:val="single" w:sz="8" w:color="582C83"/>
            </w:tcBorders>
          </w:tcPr>
          <w:p>
            <w:pPr>
              <w:jc w:val="center"/>
              <w:spacing w:after="0"/>
              <w:rPr>
                <w:sz w:val="20"/>
                <w:szCs w:val="20"/>
                <w:color w:val="auto"/>
              </w:rPr>
            </w:pPr>
            <w:r>
              <w:rPr>
                <w:rFonts w:ascii="Arial" w:cs="Arial" w:eastAsia="Arial" w:hAnsi="Arial"/>
                <w:sz w:val="22"/>
                <w:szCs w:val="22"/>
                <w:color w:val="auto"/>
                <w:w w:val="97"/>
              </w:rPr>
              <w:t>envelope to vote</w:t>
            </w:r>
          </w:p>
        </w:tc>
        <w:tc>
          <w:tcPr>
            <w:tcW w:w="360" w:type="dxa"/>
            <w:vAlign w:val="bottom"/>
          </w:tcPr>
          <w:p>
            <w:pPr>
              <w:spacing w:after="0"/>
              <w:rPr>
                <w:sz w:val="24"/>
                <w:szCs w:val="24"/>
                <w:color w:val="auto"/>
              </w:rPr>
            </w:pPr>
          </w:p>
        </w:tc>
      </w:tr>
      <w:tr>
        <w:trPr>
          <w:trHeight w:val="111"/>
        </w:trPr>
        <w:tc>
          <w:tcPr>
            <w:tcW w:w="380" w:type="dxa"/>
            <w:vAlign w:val="bottom"/>
            <w:tcBorders>
              <w:right w:val="single" w:sz="8" w:color="582C83"/>
            </w:tcBorders>
          </w:tcPr>
          <w:p>
            <w:pPr>
              <w:spacing w:after="0"/>
              <w:rPr>
                <w:sz w:val="9"/>
                <w:szCs w:val="9"/>
                <w:color w:val="auto"/>
              </w:rPr>
            </w:pPr>
          </w:p>
        </w:tc>
        <w:tc>
          <w:tcPr>
            <w:tcW w:w="2640" w:type="dxa"/>
            <w:vAlign w:val="bottom"/>
            <w:tcBorders>
              <w:bottom w:val="single" w:sz="8" w:color="582C83"/>
            </w:tcBorders>
          </w:tcPr>
          <w:p>
            <w:pPr>
              <w:spacing w:after="0"/>
              <w:rPr>
                <w:sz w:val="9"/>
                <w:szCs w:val="9"/>
                <w:color w:val="auto"/>
              </w:rPr>
            </w:pPr>
          </w:p>
        </w:tc>
        <w:tc>
          <w:tcPr>
            <w:tcW w:w="2600" w:type="dxa"/>
            <w:vAlign w:val="bottom"/>
            <w:tcBorders>
              <w:bottom w:val="single" w:sz="8" w:color="582C83"/>
            </w:tcBorders>
          </w:tcPr>
          <w:p>
            <w:pPr>
              <w:spacing w:after="0"/>
              <w:rPr>
                <w:sz w:val="9"/>
                <w:szCs w:val="9"/>
                <w:color w:val="auto"/>
              </w:rPr>
            </w:pPr>
          </w:p>
        </w:tc>
        <w:tc>
          <w:tcPr>
            <w:tcW w:w="2620" w:type="dxa"/>
            <w:vAlign w:val="bottom"/>
            <w:tcBorders>
              <w:bottom w:val="single" w:sz="8" w:color="582C83"/>
            </w:tcBorders>
          </w:tcPr>
          <w:p>
            <w:pPr>
              <w:spacing w:after="0"/>
              <w:rPr>
                <w:sz w:val="9"/>
                <w:szCs w:val="9"/>
                <w:color w:val="auto"/>
              </w:rPr>
            </w:pPr>
          </w:p>
        </w:tc>
        <w:tc>
          <w:tcPr>
            <w:tcW w:w="2640" w:type="dxa"/>
            <w:vAlign w:val="bottom"/>
            <w:tcBorders>
              <w:bottom w:val="single" w:sz="8" w:color="582C83"/>
              <w:right w:val="single" w:sz="8" w:color="582C83"/>
            </w:tcBorders>
          </w:tcPr>
          <w:p>
            <w:pPr>
              <w:spacing w:after="0"/>
              <w:rPr>
                <w:sz w:val="9"/>
                <w:szCs w:val="9"/>
                <w:color w:val="auto"/>
              </w:rPr>
            </w:pPr>
          </w:p>
        </w:tc>
        <w:tc>
          <w:tcPr>
            <w:tcW w:w="360" w:type="dxa"/>
            <w:vAlign w:val="bottom"/>
          </w:tcPr>
          <w:p>
            <w:pPr>
              <w:spacing w:after="0"/>
              <w:rPr>
                <w:sz w:val="9"/>
                <w:szCs w:val="9"/>
                <w:color w:val="auto"/>
              </w:rPr>
            </w:pPr>
          </w:p>
        </w:tc>
      </w:tr>
      <w:tr>
        <w:trPr>
          <w:trHeight w:val="328"/>
        </w:trPr>
        <w:tc>
          <w:tcPr>
            <w:tcW w:w="380" w:type="dxa"/>
            <w:vAlign w:val="bottom"/>
            <w:tcBorders>
              <w:bottom w:val="single" w:sz="8" w:color="58358F"/>
            </w:tcBorders>
          </w:tcPr>
          <w:p>
            <w:pPr>
              <w:spacing w:after="0"/>
              <w:rPr>
                <w:sz w:val="24"/>
                <w:szCs w:val="24"/>
                <w:color w:val="auto"/>
              </w:rPr>
            </w:pPr>
          </w:p>
        </w:tc>
        <w:tc>
          <w:tcPr>
            <w:tcW w:w="2640" w:type="dxa"/>
            <w:vAlign w:val="bottom"/>
            <w:tcBorders>
              <w:bottom w:val="single" w:sz="8" w:color="58358F"/>
            </w:tcBorders>
          </w:tcPr>
          <w:p>
            <w:pPr>
              <w:spacing w:after="0"/>
              <w:rPr>
                <w:sz w:val="24"/>
                <w:szCs w:val="24"/>
                <w:color w:val="auto"/>
              </w:rPr>
            </w:pPr>
          </w:p>
        </w:tc>
        <w:tc>
          <w:tcPr>
            <w:tcW w:w="2600" w:type="dxa"/>
            <w:vAlign w:val="bottom"/>
            <w:tcBorders>
              <w:bottom w:val="single" w:sz="8" w:color="58358F"/>
            </w:tcBorders>
          </w:tcPr>
          <w:p>
            <w:pPr>
              <w:spacing w:after="0"/>
              <w:rPr>
                <w:sz w:val="24"/>
                <w:szCs w:val="24"/>
                <w:color w:val="auto"/>
              </w:rPr>
            </w:pPr>
          </w:p>
        </w:tc>
        <w:tc>
          <w:tcPr>
            <w:tcW w:w="2620" w:type="dxa"/>
            <w:vAlign w:val="bottom"/>
            <w:tcBorders>
              <w:bottom w:val="single" w:sz="8" w:color="58358F"/>
            </w:tcBorders>
          </w:tcPr>
          <w:p>
            <w:pPr>
              <w:spacing w:after="0"/>
              <w:rPr>
                <w:sz w:val="24"/>
                <w:szCs w:val="24"/>
                <w:color w:val="auto"/>
              </w:rPr>
            </w:pPr>
          </w:p>
        </w:tc>
        <w:tc>
          <w:tcPr>
            <w:tcW w:w="3000" w:type="dxa"/>
            <w:vAlign w:val="bottom"/>
            <w:tcBorders>
              <w:bottom w:val="single" w:sz="8" w:color="58358F"/>
            </w:tcBorders>
            <w:gridSpan w:val="2"/>
          </w:tcPr>
          <w:p>
            <w:pPr>
              <w:spacing w:after="0"/>
              <w:rPr>
                <w:sz w:val="24"/>
                <w:szCs w:val="24"/>
                <w:color w:val="auto"/>
              </w:rPr>
            </w:pPr>
          </w:p>
        </w:tc>
      </w:tr>
      <w:tr>
        <w:trPr>
          <w:trHeight w:val="283"/>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00" w:type="dxa"/>
            <w:vAlign w:val="bottom"/>
            <w:gridSpan w:val="2"/>
          </w:tcPr>
          <w:p>
            <w:pPr>
              <w:ind w:left="620"/>
              <w:spacing w:after="0"/>
              <w:rPr>
                <w:sz w:val="20"/>
                <w:szCs w:val="20"/>
                <w:color w:val="auto"/>
              </w:rPr>
            </w:pPr>
            <w:r>
              <w:rPr>
                <w:rFonts w:ascii="Arial" w:cs="Arial" w:eastAsia="Arial" w:hAnsi="Arial"/>
                <w:sz w:val="16"/>
                <w:szCs w:val="16"/>
                <w:b w:val="1"/>
                <w:bCs w:val="1"/>
                <w:color w:val="58358F"/>
              </w:rPr>
              <w:t>2022 PROXY STATEMENT | 10</w:t>
            </w:r>
          </w:p>
        </w:tc>
      </w:tr>
      <w:tr>
        <w:trPr>
          <w:trHeight w:val="284"/>
        </w:trPr>
        <w:tc>
          <w:tcPr>
            <w:tcW w:w="38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-2168525</wp:posOffset>
            </wp:positionV>
            <wp:extent cx="360045" cy="3600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-2168525</wp:posOffset>
            </wp:positionV>
            <wp:extent cx="360045" cy="36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-2168525</wp:posOffset>
            </wp:positionV>
            <wp:extent cx="360045" cy="3600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-2168525</wp:posOffset>
            </wp:positionV>
            <wp:extent cx="360045"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985520"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Items of Business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50" w:type="dxa"/>
            <w:vAlign w:val="bottom"/>
          </w:tcPr>
          <w:p>
            <w:pPr>
              <w:spacing w:after="0"/>
              <w:rPr>
                <w:sz w:val="21"/>
                <w:szCs w:val="21"/>
                <w:color w:val="auto"/>
              </w:rPr>
            </w:pPr>
          </w:p>
        </w:tc>
        <w:tc>
          <w:tcPr>
            <w:tcW w:w="2130" w:type="dxa"/>
            <w:vAlign w:val="bottom"/>
          </w:tcPr>
          <w:p>
            <w:pPr>
              <w:spacing w:after="0"/>
              <w:rPr>
                <w:sz w:val="21"/>
                <w:szCs w:val="21"/>
                <w:color w:val="auto"/>
              </w:rPr>
            </w:pPr>
          </w:p>
        </w:tc>
        <w:tc>
          <w:tcPr>
            <w:tcW w:w="2010" w:type="dxa"/>
            <w:vAlign w:val="bottom"/>
          </w:tcPr>
          <w:p>
            <w:pPr>
              <w:ind w:left="60"/>
              <w:spacing w:after="0"/>
              <w:rPr>
                <w:sz w:val="20"/>
                <w:szCs w:val="20"/>
                <w:color w:val="auto"/>
              </w:rPr>
            </w:pPr>
            <w:r>
              <w:rPr>
                <w:rFonts w:ascii="Arial" w:cs="Arial" w:eastAsia="Arial" w:hAnsi="Arial"/>
                <w:sz w:val="22"/>
                <w:szCs w:val="22"/>
                <w:b w:val="1"/>
                <w:bCs w:val="1"/>
                <w:color w:val="auto"/>
              </w:rPr>
              <w:t>Board’s Voting</w:t>
            </w:r>
          </w:p>
        </w:tc>
        <w:tc>
          <w:tcPr>
            <w:tcW w:w="1450" w:type="dxa"/>
            <w:vAlign w:val="bottom"/>
          </w:tcPr>
          <w:p>
            <w:pPr>
              <w:ind w:left="50"/>
              <w:spacing w:after="0"/>
              <w:rPr>
                <w:sz w:val="20"/>
                <w:szCs w:val="20"/>
                <w:color w:val="auto"/>
              </w:rPr>
            </w:pPr>
            <w:r>
              <w:rPr>
                <w:rFonts w:ascii="Arial" w:cs="Arial" w:eastAsia="Arial" w:hAnsi="Arial"/>
                <w:sz w:val="22"/>
                <w:szCs w:val="22"/>
                <w:b w:val="1"/>
                <w:bCs w:val="1"/>
                <w:color w:val="auto"/>
              </w:rPr>
              <w:t>More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565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Item</w:t>
            </w:r>
          </w:p>
        </w:tc>
        <w:tc>
          <w:tcPr>
            <w:tcW w:w="2130" w:type="dxa"/>
            <w:vAlign w:val="bottom"/>
            <w:tcBorders>
              <w:bottom w:val="single" w:sz="8" w:color="582C83"/>
            </w:tcBorders>
          </w:tcPr>
          <w:p>
            <w:pPr>
              <w:ind w:left="50"/>
              <w:spacing w:after="0"/>
              <w:rPr>
                <w:sz w:val="20"/>
                <w:szCs w:val="20"/>
                <w:color w:val="auto"/>
              </w:rPr>
            </w:pPr>
            <w:r>
              <w:rPr>
                <w:rFonts w:ascii="Arial" w:cs="Arial" w:eastAsia="Arial" w:hAnsi="Arial"/>
                <w:sz w:val="22"/>
                <w:szCs w:val="22"/>
                <w:b w:val="1"/>
                <w:bCs w:val="1"/>
                <w:color w:val="auto"/>
              </w:rPr>
              <w:t>Voting Choices</w:t>
            </w:r>
          </w:p>
        </w:tc>
        <w:tc>
          <w:tcPr>
            <w:tcW w:w="201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Recommendation</w:t>
            </w:r>
          </w:p>
        </w:tc>
        <w:tc>
          <w:tcPr>
            <w:tcW w:w="1450" w:type="dxa"/>
            <w:vAlign w:val="bottom"/>
            <w:tcBorders>
              <w:bottom w:val="single" w:sz="8" w:color="582C83"/>
            </w:tcBorders>
          </w:tcPr>
          <w:p>
            <w:pPr>
              <w:ind w:left="50"/>
              <w:spacing w:after="0"/>
              <w:rPr>
                <w:sz w:val="20"/>
                <w:szCs w:val="20"/>
                <w:color w:val="auto"/>
              </w:rPr>
            </w:pPr>
            <w:r>
              <w:rPr>
                <w:rFonts w:ascii="Arial" w:cs="Arial" w:eastAsia="Arial" w:hAnsi="Arial"/>
                <w:sz w:val="22"/>
                <w:szCs w:val="22"/>
                <w:b w:val="1"/>
                <w:bCs w:val="1"/>
                <w:color w:val="auto"/>
              </w:rPr>
              <w:t>Information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650" w:type="dxa"/>
            <w:vAlign w:val="bottom"/>
          </w:tcPr>
          <w:p>
            <w:pPr>
              <w:ind w:left="80"/>
              <w:spacing w:after="0"/>
              <w:rPr>
                <w:sz w:val="20"/>
                <w:szCs w:val="20"/>
                <w:color w:val="auto"/>
              </w:rPr>
            </w:pPr>
            <w:r>
              <w:rPr>
                <w:rFonts w:ascii="Arial" w:cs="Arial" w:eastAsia="Arial" w:hAnsi="Arial"/>
                <w:sz w:val="22"/>
                <w:szCs w:val="22"/>
                <w:b w:val="1"/>
                <w:bCs w:val="1"/>
                <w:color w:val="auto"/>
              </w:rPr>
              <w:t>Company Proposals:</w:t>
            </w:r>
          </w:p>
        </w:tc>
        <w:tc>
          <w:tcPr>
            <w:tcW w:w="2130" w:type="dxa"/>
            <w:vAlign w:val="bottom"/>
          </w:tcPr>
          <w:p>
            <w:pPr>
              <w:spacing w:after="0"/>
              <w:rPr>
                <w:sz w:val="24"/>
                <w:szCs w:val="24"/>
                <w:color w:val="auto"/>
              </w:rPr>
            </w:pPr>
          </w:p>
        </w:tc>
        <w:tc>
          <w:tcPr>
            <w:tcW w:w="201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650" w:type="dxa"/>
            <w:vAlign w:val="bottom"/>
          </w:tcPr>
          <w:p>
            <w:pPr>
              <w:spacing w:after="0"/>
              <w:rPr>
                <w:sz w:val="2"/>
                <w:szCs w:val="2"/>
                <w:color w:val="auto"/>
              </w:rPr>
            </w:pPr>
          </w:p>
        </w:tc>
        <w:tc>
          <w:tcPr>
            <w:tcW w:w="2130" w:type="dxa"/>
            <w:vAlign w:val="bottom"/>
          </w:tcPr>
          <w:p>
            <w:pPr>
              <w:spacing w:after="0"/>
              <w:rPr>
                <w:sz w:val="2"/>
                <w:szCs w:val="2"/>
                <w:color w:val="auto"/>
              </w:rPr>
            </w:pPr>
          </w:p>
        </w:tc>
        <w:tc>
          <w:tcPr>
            <w:tcW w:w="2010" w:type="dxa"/>
            <w:vAlign w:val="bottom"/>
          </w:tcPr>
          <w:p>
            <w:pPr>
              <w:spacing w:after="0"/>
              <w:rPr>
                <w:sz w:val="2"/>
                <w:szCs w:val="2"/>
                <w:color w:val="auto"/>
              </w:rPr>
            </w:pPr>
          </w:p>
        </w:tc>
        <w:tc>
          <w:tcPr>
            <w:tcW w:w="145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50" w:type="dxa"/>
            <w:vAlign w:val="bottom"/>
            <w:shd w:val="clear" w:color="auto" w:fill="EBE6F0"/>
          </w:tcPr>
          <w:p>
            <w:pPr>
              <w:ind w:left="80"/>
              <w:spacing w:after="0"/>
              <w:rPr>
                <w:sz w:val="20"/>
                <w:szCs w:val="20"/>
                <w:color w:val="auto"/>
              </w:rPr>
            </w:pPr>
            <w:r>
              <w:rPr>
                <w:rFonts w:ascii="Arial" w:cs="Arial" w:eastAsia="Arial" w:hAnsi="Arial"/>
                <w:sz w:val="22"/>
                <w:szCs w:val="22"/>
                <w:color w:val="auto"/>
              </w:rPr>
              <w:t>Item 1. Election of ten director nominees named in the</w:t>
            </w: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i w:val="1"/>
                <w:iCs w:val="1"/>
                <w:color w:val="auto"/>
              </w:rPr>
              <w:t>With respect to each</w:t>
            </w:r>
          </w:p>
        </w:tc>
        <w:tc>
          <w:tcPr>
            <w:tcW w:w="201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FOR</w:t>
            </w:r>
          </w:p>
        </w:tc>
        <w:tc>
          <w:tcPr>
            <w:tcW w:w="1450" w:type="dxa"/>
            <w:vAlign w:val="bottom"/>
            <w:shd w:val="clear" w:color="auto" w:fill="EBE6F0"/>
          </w:tcPr>
          <w:p>
            <w:pPr>
              <w:ind w:left="70"/>
              <w:spacing w:after="0"/>
              <w:rPr>
                <w:sz w:val="20"/>
                <w:szCs w:val="20"/>
                <w:color w:val="auto"/>
              </w:rPr>
            </w:pPr>
            <w:r>
              <w:rPr>
                <w:rFonts w:ascii="Arial" w:cs="Arial" w:eastAsia="Arial" w:hAnsi="Arial"/>
                <w:sz w:val="22"/>
                <w:szCs w:val="22"/>
                <w:color w:val="auto"/>
              </w:rPr>
              <w:t>Page 17</w:t>
            </w: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shd w:val="clear" w:color="auto" w:fill="EBE6F0"/>
          </w:tcPr>
          <w:p>
            <w:pPr>
              <w:ind w:left="840"/>
              <w:spacing w:after="0"/>
              <w:rPr>
                <w:sz w:val="20"/>
                <w:szCs w:val="20"/>
                <w:color w:val="auto"/>
              </w:rPr>
            </w:pPr>
            <w:r>
              <w:rPr>
                <w:rFonts w:ascii="Arial" w:cs="Arial" w:eastAsia="Arial" w:hAnsi="Arial"/>
                <w:sz w:val="22"/>
                <w:szCs w:val="22"/>
                <w:color w:val="auto"/>
              </w:rPr>
              <w:t>proxy statement</w:t>
            </w: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i w:val="1"/>
                <w:iCs w:val="1"/>
                <w:color w:val="auto"/>
              </w:rPr>
              <w:t>nominee:</w:t>
            </w:r>
          </w:p>
        </w:tc>
        <w:tc>
          <w:tcPr>
            <w:tcW w:w="201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All Nominees</w:t>
            </w:r>
          </w:p>
        </w:tc>
        <w:tc>
          <w:tcPr>
            <w:tcW w:w="145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shd w:val="clear" w:color="auto" w:fill="EBE6F0"/>
          </w:tcPr>
          <w:p>
            <w:pPr>
              <w:spacing w:after="0"/>
              <w:rPr>
                <w:sz w:val="24"/>
                <w:szCs w:val="24"/>
                <w:color w:val="auto"/>
              </w:rPr>
            </w:pP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For</w:t>
            </w:r>
          </w:p>
        </w:tc>
        <w:tc>
          <w:tcPr>
            <w:tcW w:w="2010" w:type="dxa"/>
            <w:vAlign w:val="bottom"/>
            <w:shd w:val="clear" w:color="auto" w:fill="EBE6F0"/>
          </w:tcPr>
          <w:p>
            <w:pPr>
              <w:spacing w:after="0"/>
              <w:rPr>
                <w:sz w:val="24"/>
                <w:szCs w:val="24"/>
                <w:color w:val="auto"/>
              </w:rPr>
            </w:pPr>
          </w:p>
        </w:tc>
        <w:tc>
          <w:tcPr>
            <w:tcW w:w="145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50" w:type="dxa"/>
            <w:vAlign w:val="bottom"/>
            <w:shd w:val="clear" w:color="auto" w:fill="EBE6F0"/>
          </w:tcPr>
          <w:p>
            <w:pPr>
              <w:spacing w:after="0"/>
              <w:rPr>
                <w:sz w:val="24"/>
                <w:szCs w:val="24"/>
                <w:color w:val="auto"/>
              </w:rPr>
            </w:pP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Against</w:t>
            </w:r>
          </w:p>
        </w:tc>
        <w:tc>
          <w:tcPr>
            <w:tcW w:w="2010" w:type="dxa"/>
            <w:vAlign w:val="bottom"/>
            <w:shd w:val="clear" w:color="auto" w:fill="EBE6F0"/>
          </w:tcPr>
          <w:p>
            <w:pPr>
              <w:spacing w:after="0"/>
              <w:rPr>
                <w:sz w:val="24"/>
                <w:szCs w:val="24"/>
                <w:color w:val="auto"/>
              </w:rPr>
            </w:pPr>
          </w:p>
        </w:tc>
        <w:tc>
          <w:tcPr>
            <w:tcW w:w="145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650" w:type="dxa"/>
            <w:vAlign w:val="bottom"/>
            <w:tcBorders>
              <w:bottom w:val="single" w:sz="8" w:color="EBE6F0"/>
            </w:tcBorders>
            <w:shd w:val="clear" w:color="auto" w:fill="EBE6F0"/>
          </w:tcPr>
          <w:p>
            <w:pPr>
              <w:spacing w:after="0"/>
              <w:rPr>
                <w:sz w:val="24"/>
                <w:szCs w:val="24"/>
                <w:color w:val="auto"/>
              </w:rPr>
            </w:pPr>
          </w:p>
        </w:tc>
        <w:tc>
          <w:tcPr>
            <w:tcW w:w="213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2"/>
                <w:szCs w:val="22"/>
                <w:color w:val="auto"/>
              </w:rPr>
              <w:t>Abstain</w:t>
            </w:r>
          </w:p>
        </w:tc>
        <w:tc>
          <w:tcPr>
            <w:tcW w:w="2010" w:type="dxa"/>
            <w:vAlign w:val="bottom"/>
            <w:tcBorders>
              <w:bottom w:val="single" w:sz="8" w:color="EBE6F0"/>
            </w:tcBorders>
            <w:shd w:val="clear" w:color="auto" w:fill="EBE6F0"/>
          </w:tcPr>
          <w:p>
            <w:pPr>
              <w:spacing w:after="0"/>
              <w:rPr>
                <w:sz w:val="24"/>
                <w:szCs w:val="24"/>
                <w:color w:val="auto"/>
              </w:rPr>
            </w:pPr>
          </w:p>
        </w:tc>
        <w:tc>
          <w:tcPr>
            <w:tcW w:w="145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50" w:type="dxa"/>
            <w:vAlign w:val="bottom"/>
            <w:tcBorders>
              <w:top w:val="single" w:sz="8" w:color="582C83"/>
            </w:tcBorders>
          </w:tcPr>
          <w:p>
            <w:pPr>
              <w:ind w:left="80"/>
              <w:spacing w:after="0"/>
              <w:rPr>
                <w:sz w:val="20"/>
                <w:szCs w:val="20"/>
                <w:color w:val="auto"/>
              </w:rPr>
            </w:pPr>
            <w:r>
              <w:rPr>
                <w:rFonts w:ascii="Arial" w:cs="Arial" w:eastAsia="Arial" w:hAnsi="Arial"/>
                <w:sz w:val="22"/>
                <w:szCs w:val="22"/>
                <w:color w:val="auto"/>
              </w:rPr>
              <w:t>Item 2. Advisory vote to approve executive</w:t>
            </w:r>
          </w:p>
        </w:tc>
        <w:tc>
          <w:tcPr>
            <w:tcW w:w="2130" w:type="dxa"/>
            <w:vAlign w:val="bottom"/>
            <w:tcBorders>
              <w:top w:val="single" w:sz="8" w:color="582C83"/>
            </w:tcBorders>
          </w:tcPr>
          <w:p>
            <w:pPr>
              <w:ind w:left="50"/>
              <w:spacing w:after="0"/>
              <w:rPr>
                <w:sz w:val="20"/>
                <w:szCs w:val="20"/>
                <w:color w:val="auto"/>
              </w:rPr>
            </w:pPr>
            <w:r>
              <w:rPr>
                <w:rFonts w:ascii="Arial" w:cs="Arial" w:eastAsia="Arial" w:hAnsi="Arial"/>
                <w:sz w:val="22"/>
                <w:szCs w:val="22"/>
                <w:color w:val="auto"/>
              </w:rPr>
              <w:t>For</w:t>
            </w:r>
          </w:p>
        </w:tc>
        <w:tc>
          <w:tcPr>
            <w:tcW w:w="2010" w:type="dxa"/>
            <w:vAlign w:val="bottom"/>
            <w:tcBorders>
              <w:top w:val="single" w:sz="8" w:color="582C83"/>
            </w:tcBorders>
          </w:tcPr>
          <w:p>
            <w:pPr>
              <w:ind w:left="60"/>
              <w:spacing w:after="0"/>
              <w:rPr>
                <w:sz w:val="20"/>
                <w:szCs w:val="20"/>
                <w:color w:val="auto"/>
              </w:rPr>
            </w:pPr>
            <w:r>
              <w:rPr>
                <w:rFonts w:ascii="Arial" w:cs="Arial" w:eastAsia="Arial" w:hAnsi="Arial"/>
                <w:sz w:val="22"/>
                <w:szCs w:val="22"/>
                <w:b w:val="1"/>
                <w:bCs w:val="1"/>
                <w:color w:val="582C83"/>
              </w:rPr>
              <w:t>FOR</w:t>
            </w:r>
          </w:p>
        </w:tc>
        <w:tc>
          <w:tcPr>
            <w:tcW w:w="1450" w:type="dxa"/>
            <w:vAlign w:val="bottom"/>
            <w:tcBorders>
              <w:top w:val="single" w:sz="8" w:color="582C83"/>
            </w:tcBorders>
          </w:tcPr>
          <w:p>
            <w:pPr>
              <w:ind w:left="50"/>
              <w:spacing w:after="0"/>
              <w:rPr>
                <w:sz w:val="20"/>
                <w:szCs w:val="20"/>
                <w:color w:val="auto"/>
              </w:rPr>
            </w:pPr>
            <w:r>
              <w:rPr>
                <w:rFonts w:ascii="Arial" w:cs="Arial" w:eastAsia="Arial" w:hAnsi="Arial"/>
                <w:sz w:val="22"/>
                <w:szCs w:val="22"/>
                <w:color w:val="auto"/>
              </w:rPr>
              <w:t>Page 106</w:t>
            </w:r>
          </w:p>
        </w:tc>
        <w:tc>
          <w:tcPr>
            <w:tcW w:w="20" w:type="dxa"/>
            <w:vAlign w:val="bottom"/>
            <w:tcBorders>
              <w:top w:val="single" w:sz="8" w:color="582C83"/>
            </w:tcBorders>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650" w:type="dxa"/>
            <w:vAlign w:val="bottom"/>
          </w:tcPr>
          <w:p>
            <w:pPr>
              <w:ind w:left="840"/>
              <w:spacing w:after="0"/>
              <w:rPr>
                <w:sz w:val="20"/>
                <w:szCs w:val="20"/>
                <w:color w:val="auto"/>
              </w:rPr>
            </w:pPr>
            <w:r>
              <w:rPr>
                <w:rFonts w:ascii="Arial" w:cs="Arial" w:eastAsia="Arial" w:hAnsi="Arial"/>
                <w:sz w:val="22"/>
                <w:szCs w:val="22"/>
                <w:color w:val="auto"/>
              </w:rPr>
              <w:t>compensation</w:t>
            </w:r>
          </w:p>
        </w:tc>
        <w:tc>
          <w:tcPr>
            <w:tcW w:w="2130" w:type="dxa"/>
            <w:vAlign w:val="bottom"/>
          </w:tcPr>
          <w:p>
            <w:pPr>
              <w:ind w:left="50"/>
              <w:spacing w:after="0"/>
              <w:rPr>
                <w:sz w:val="20"/>
                <w:szCs w:val="20"/>
                <w:color w:val="auto"/>
              </w:rPr>
            </w:pPr>
            <w:r>
              <w:rPr>
                <w:rFonts w:ascii="Arial" w:cs="Arial" w:eastAsia="Arial" w:hAnsi="Arial"/>
                <w:sz w:val="22"/>
                <w:szCs w:val="22"/>
                <w:color w:val="auto"/>
              </w:rPr>
              <w:t>Against</w:t>
            </w:r>
          </w:p>
        </w:tc>
        <w:tc>
          <w:tcPr>
            <w:tcW w:w="201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tcPr>
          <w:p>
            <w:pPr>
              <w:spacing w:after="0"/>
              <w:rPr>
                <w:sz w:val="24"/>
                <w:szCs w:val="24"/>
                <w:color w:val="auto"/>
              </w:rPr>
            </w:pPr>
          </w:p>
        </w:tc>
        <w:tc>
          <w:tcPr>
            <w:tcW w:w="2130" w:type="dxa"/>
            <w:vAlign w:val="bottom"/>
          </w:tcPr>
          <w:p>
            <w:pPr>
              <w:ind w:left="50"/>
              <w:spacing w:after="0"/>
              <w:rPr>
                <w:sz w:val="20"/>
                <w:szCs w:val="20"/>
                <w:color w:val="auto"/>
              </w:rPr>
            </w:pPr>
            <w:r>
              <w:rPr>
                <w:rFonts w:ascii="Arial" w:cs="Arial" w:eastAsia="Arial" w:hAnsi="Arial"/>
                <w:sz w:val="22"/>
                <w:szCs w:val="22"/>
                <w:color w:val="auto"/>
              </w:rPr>
              <w:t>Abstain</w:t>
            </w:r>
          </w:p>
        </w:tc>
        <w:tc>
          <w:tcPr>
            <w:tcW w:w="201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50" w:type="dxa"/>
            <w:vAlign w:val="bottom"/>
            <w:tcBorders>
              <w:bottom w:val="single" w:sz="8" w:color="582C83"/>
            </w:tcBorders>
          </w:tcPr>
          <w:p>
            <w:pPr>
              <w:spacing w:after="0"/>
              <w:rPr>
                <w:sz w:val="4"/>
                <w:szCs w:val="4"/>
                <w:color w:val="auto"/>
              </w:rPr>
            </w:pPr>
          </w:p>
        </w:tc>
        <w:tc>
          <w:tcPr>
            <w:tcW w:w="2130" w:type="dxa"/>
            <w:vAlign w:val="bottom"/>
            <w:tcBorders>
              <w:bottom w:val="single" w:sz="8" w:color="582C83"/>
            </w:tcBorders>
          </w:tcPr>
          <w:p>
            <w:pPr>
              <w:spacing w:after="0"/>
              <w:rPr>
                <w:sz w:val="4"/>
                <w:szCs w:val="4"/>
                <w:color w:val="auto"/>
              </w:rPr>
            </w:pPr>
          </w:p>
        </w:tc>
        <w:tc>
          <w:tcPr>
            <w:tcW w:w="2010" w:type="dxa"/>
            <w:vAlign w:val="bottom"/>
            <w:tcBorders>
              <w:bottom w:val="single" w:sz="8" w:color="582C83"/>
            </w:tcBorders>
          </w:tcPr>
          <w:p>
            <w:pPr>
              <w:spacing w:after="0"/>
              <w:rPr>
                <w:sz w:val="4"/>
                <w:szCs w:val="4"/>
                <w:color w:val="auto"/>
              </w:rPr>
            </w:pPr>
          </w:p>
        </w:tc>
        <w:tc>
          <w:tcPr>
            <w:tcW w:w="1450" w:type="dxa"/>
            <w:vAlign w:val="bottom"/>
            <w:tcBorders>
              <w:bottom w:val="single" w:sz="8" w:color="582C83"/>
            </w:tcBorders>
          </w:tcPr>
          <w:p>
            <w:pPr>
              <w:spacing w:after="0"/>
              <w:rPr>
                <w:sz w:val="4"/>
                <w:szCs w:val="4"/>
                <w:color w:val="auto"/>
              </w:rPr>
            </w:pPr>
          </w:p>
        </w:tc>
        <w:tc>
          <w:tcPr>
            <w:tcW w:w="20" w:type="dxa"/>
            <w:vAlign w:val="bottom"/>
            <w:tcBorders>
              <w:bottom w:val="single" w:sz="8" w:color="582C83"/>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5650" w:type="dxa"/>
            <w:vAlign w:val="bottom"/>
            <w:shd w:val="clear" w:color="auto" w:fill="EBE6F0"/>
          </w:tcPr>
          <w:p>
            <w:pPr>
              <w:ind w:left="80"/>
              <w:spacing w:after="0"/>
              <w:rPr>
                <w:sz w:val="20"/>
                <w:szCs w:val="20"/>
                <w:color w:val="auto"/>
              </w:rPr>
            </w:pPr>
            <w:r>
              <w:rPr>
                <w:rFonts w:ascii="Arial" w:cs="Arial" w:eastAsia="Arial" w:hAnsi="Arial"/>
                <w:sz w:val="22"/>
                <w:szCs w:val="22"/>
                <w:color w:val="auto"/>
              </w:rPr>
              <w:t>Item 3. Ratification of the selection of</w:t>
            </w: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For</w:t>
            </w:r>
          </w:p>
        </w:tc>
        <w:tc>
          <w:tcPr>
            <w:tcW w:w="201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FOR</w:t>
            </w:r>
          </w:p>
        </w:tc>
        <w:tc>
          <w:tcPr>
            <w:tcW w:w="1450" w:type="dxa"/>
            <w:vAlign w:val="bottom"/>
            <w:shd w:val="clear" w:color="auto" w:fill="EBE6F0"/>
          </w:tcPr>
          <w:p>
            <w:pPr>
              <w:ind w:left="70"/>
              <w:spacing w:after="0"/>
              <w:rPr>
                <w:sz w:val="20"/>
                <w:szCs w:val="20"/>
                <w:color w:val="auto"/>
              </w:rPr>
            </w:pPr>
            <w:r>
              <w:rPr>
                <w:rFonts w:ascii="Arial" w:cs="Arial" w:eastAsia="Arial" w:hAnsi="Arial"/>
                <w:sz w:val="22"/>
                <w:szCs w:val="22"/>
                <w:color w:val="auto"/>
              </w:rPr>
              <w:t>Page 107</w:t>
            </w:r>
          </w:p>
        </w:tc>
        <w:tc>
          <w:tcPr>
            <w:tcW w:w="20" w:type="dxa"/>
            <w:vAlign w:val="bottom"/>
            <w:shd w:val="clear" w:color="auto" w:fill="EBE6F0"/>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50" w:type="dxa"/>
            <w:vAlign w:val="bottom"/>
            <w:shd w:val="clear" w:color="auto" w:fill="EBE6F0"/>
          </w:tcPr>
          <w:p>
            <w:pPr>
              <w:ind w:left="840"/>
              <w:spacing w:after="0"/>
              <w:rPr>
                <w:sz w:val="20"/>
                <w:szCs w:val="20"/>
                <w:color w:val="auto"/>
              </w:rPr>
            </w:pPr>
            <w:r>
              <w:rPr>
                <w:rFonts w:ascii="Arial" w:cs="Arial" w:eastAsia="Arial" w:hAnsi="Arial"/>
                <w:sz w:val="22"/>
                <w:szCs w:val="22"/>
                <w:color w:val="auto"/>
              </w:rPr>
              <w:t>PricewaterhouseCoopers LLP as independent</w:t>
            </w: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Against</w:t>
            </w:r>
          </w:p>
        </w:tc>
        <w:tc>
          <w:tcPr>
            <w:tcW w:w="2010" w:type="dxa"/>
            <w:vAlign w:val="bottom"/>
            <w:shd w:val="clear" w:color="auto" w:fill="EBE6F0"/>
          </w:tcPr>
          <w:p>
            <w:pPr>
              <w:spacing w:after="0"/>
              <w:rPr>
                <w:sz w:val="22"/>
                <w:szCs w:val="22"/>
                <w:color w:val="auto"/>
              </w:rPr>
            </w:pPr>
          </w:p>
        </w:tc>
        <w:tc>
          <w:tcPr>
            <w:tcW w:w="1450" w:type="dxa"/>
            <w:vAlign w:val="bottom"/>
            <w:shd w:val="clear" w:color="auto" w:fill="EBE6F0"/>
          </w:tcPr>
          <w:p>
            <w:pPr>
              <w:spacing w:after="0"/>
              <w:rPr>
                <w:sz w:val="22"/>
                <w:szCs w:val="22"/>
                <w:color w:val="auto"/>
              </w:rPr>
            </w:pPr>
          </w:p>
        </w:tc>
        <w:tc>
          <w:tcPr>
            <w:tcW w:w="2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50" w:type="dxa"/>
            <w:vAlign w:val="bottom"/>
            <w:shd w:val="clear" w:color="auto" w:fill="EBE6F0"/>
          </w:tcPr>
          <w:p>
            <w:pPr>
              <w:ind w:left="840"/>
              <w:spacing w:after="0" w:line="230" w:lineRule="exact"/>
              <w:rPr>
                <w:sz w:val="20"/>
                <w:szCs w:val="20"/>
                <w:color w:val="auto"/>
              </w:rPr>
            </w:pPr>
            <w:r>
              <w:rPr>
                <w:rFonts w:ascii="Arial" w:cs="Arial" w:eastAsia="Arial" w:hAnsi="Arial"/>
                <w:sz w:val="22"/>
                <w:szCs w:val="22"/>
                <w:color w:val="auto"/>
              </w:rPr>
              <w:t>registered public accountants for the fiscal year</w:t>
            </w:r>
          </w:p>
        </w:tc>
        <w:tc>
          <w:tcPr>
            <w:tcW w:w="2130" w:type="dxa"/>
            <w:vAlign w:val="bottom"/>
            <w:vMerge w:val="restart"/>
            <w:shd w:val="clear" w:color="auto" w:fill="EBE6F0"/>
          </w:tcPr>
          <w:p>
            <w:pPr>
              <w:ind w:left="70"/>
              <w:spacing w:after="0"/>
              <w:rPr>
                <w:sz w:val="20"/>
                <w:szCs w:val="20"/>
                <w:color w:val="auto"/>
              </w:rPr>
            </w:pPr>
            <w:r>
              <w:rPr>
                <w:rFonts w:ascii="Arial" w:cs="Arial" w:eastAsia="Arial" w:hAnsi="Arial"/>
                <w:sz w:val="22"/>
                <w:szCs w:val="22"/>
                <w:color w:val="auto"/>
              </w:rPr>
              <w:t>Abstain</w:t>
            </w:r>
          </w:p>
        </w:tc>
        <w:tc>
          <w:tcPr>
            <w:tcW w:w="2010" w:type="dxa"/>
            <w:vAlign w:val="bottom"/>
            <w:shd w:val="clear" w:color="auto" w:fill="EBE6F0"/>
          </w:tcPr>
          <w:p>
            <w:pPr>
              <w:spacing w:after="0"/>
              <w:rPr>
                <w:sz w:val="20"/>
                <w:szCs w:val="20"/>
                <w:color w:val="auto"/>
              </w:rPr>
            </w:pPr>
          </w:p>
        </w:tc>
        <w:tc>
          <w:tcPr>
            <w:tcW w:w="1450" w:type="dxa"/>
            <w:vAlign w:val="bottom"/>
            <w:shd w:val="clear" w:color="auto" w:fill="EBE6F0"/>
          </w:tcPr>
          <w:p>
            <w:pPr>
              <w:spacing w:after="0"/>
              <w:rPr>
                <w:sz w:val="20"/>
                <w:szCs w:val="20"/>
                <w:color w:val="auto"/>
              </w:rPr>
            </w:pPr>
          </w:p>
        </w:tc>
        <w:tc>
          <w:tcPr>
            <w:tcW w:w="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5650" w:type="dxa"/>
            <w:vAlign w:val="bottom"/>
            <w:vMerge w:val="restart"/>
            <w:shd w:val="clear" w:color="auto" w:fill="EBE6F0"/>
          </w:tcPr>
          <w:p>
            <w:pPr>
              <w:ind w:left="840"/>
              <w:spacing w:after="0"/>
              <w:rPr>
                <w:sz w:val="20"/>
                <w:szCs w:val="20"/>
                <w:color w:val="auto"/>
              </w:rPr>
            </w:pPr>
            <w:r>
              <w:rPr>
                <w:rFonts w:ascii="Arial" w:cs="Arial" w:eastAsia="Arial" w:hAnsi="Arial"/>
                <w:sz w:val="22"/>
                <w:szCs w:val="22"/>
                <w:color w:val="auto"/>
              </w:rPr>
              <w:t>ending December 31, 2022</w:t>
            </w:r>
          </w:p>
        </w:tc>
        <w:tc>
          <w:tcPr>
            <w:tcW w:w="2130" w:type="dxa"/>
            <w:vAlign w:val="bottom"/>
            <w:vMerge w:val="continue"/>
            <w:shd w:val="clear" w:color="auto" w:fill="EBE6F0"/>
          </w:tcPr>
          <w:p>
            <w:pPr>
              <w:spacing w:after="0"/>
              <w:rPr>
                <w:sz w:val="10"/>
                <w:szCs w:val="10"/>
                <w:color w:val="auto"/>
              </w:rPr>
            </w:pPr>
          </w:p>
        </w:tc>
        <w:tc>
          <w:tcPr>
            <w:tcW w:w="2010" w:type="dxa"/>
            <w:vAlign w:val="bottom"/>
            <w:shd w:val="clear" w:color="auto" w:fill="EBE6F0"/>
          </w:tcPr>
          <w:p>
            <w:pPr>
              <w:spacing w:after="0"/>
              <w:rPr>
                <w:sz w:val="10"/>
                <w:szCs w:val="10"/>
                <w:color w:val="auto"/>
              </w:rPr>
            </w:pPr>
          </w:p>
        </w:tc>
        <w:tc>
          <w:tcPr>
            <w:tcW w:w="1450" w:type="dxa"/>
            <w:vAlign w:val="bottom"/>
            <w:shd w:val="clear" w:color="auto" w:fill="EBE6F0"/>
          </w:tcPr>
          <w:p>
            <w:pPr>
              <w:spacing w:after="0"/>
              <w:rPr>
                <w:sz w:val="10"/>
                <w:szCs w:val="10"/>
                <w:color w:val="auto"/>
              </w:rPr>
            </w:pPr>
          </w:p>
        </w:tc>
        <w:tc>
          <w:tcPr>
            <w:tcW w:w="2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5650" w:type="dxa"/>
            <w:vAlign w:val="bottom"/>
            <w:tcBorders>
              <w:bottom w:val="single" w:sz="8" w:color="EBE6F0"/>
            </w:tcBorders>
            <w:vMerge w:val="continue"/>
            <w:shd w:val="clear" w:color="auto" w:fill="EBE6F0"/>
          </w:tcPr>
          <w:p>
            <w:pPr>
              <w:spacing w:after="0"/>
              <w:rPr>
                <w:sz w:val="18"/>
                <w:szCs w:val="18"/>
                <w:color w:val="auto"/>
              </w:rPr>
            </w:pPr>
          </w:p>
        </w:tc>
        <w:tc>
          <w:tcPr>
            <w:tcW w:w="2130" w:type="dxa"/>
            <w:vAlign w:val="bottom"/>
            <w:tcBorders>
              <w:bottom w:val="single" w:sz="8" w:color="EBE6F0"/>
            </w:tcBorders>
            <w:shd w:val="clear" w:color="auto" w:fill="EBE6F0"/>
          </w:tcPr>
          <w:p>
            <w:pPr>
              <w:spacing w:after="0"/>
              <w:rPr>
                <w:sz w:val="18"/>
                <w:szCs w:val="18"/>
                <w:color w:val="auto"/>
              </w:rPr>
            </w:pPr>
          </w:p>
        </w:tc>
        <w:tc>
          <w:tcPr>
            <w:tcW w:w="2010" w:type="dxa"/>
            <w:vAlign w:val="bottom"/>
            <w:tcBorders>
              <w:bottom w:val="single" w:sz="8" w:color="EBE6F0"/>
            </w:tcBorders>
            <w:shd w:val="clear" w:color="auto" w:fill="EBE6F0"/>
          </w:tcPr>
          <w:p>
            <w:pPr>
              <w:spacing w:after="0"/>
              <w:rPr>
                <w:sz w:val="18"/>
                <w:szCs w:val="18"/>
                <w:color w:val="auto"/>
              </w:rPr>
            </w:pPr>
          </w:p>
        </w:tc>
        <w:tc>
          <w:tcPr>
            <w:tcW w:w="1450" w:type="dxa"/>
            <w:vAlign w:val="bottom"/>
            <w:tcBorders>
              <w:bottom w:val="single" w:sz="8" w:color="EBE6F0"/>
            </w:tcBorders>
            <w:shd w:val="clear" w:color="auto" w:fill="EBE6F0"/>
          </w:tcPr>
          <w:p>
            <w:pPr>
              <w:spacing w:after="0"/>
              <w:rPr>
                <w:sz w:val="18"/>
                <w:szCs w:val="18"/>
                <w:color w:val="auto"/>
              </w:rPr>
            </w:pPr>
          </w:p>
        </w:tc>
        <w:tc>
          <w:tcPr>
            <w:tcW w:w="20" w:type="dxa"/>
            <w:vAlign w:val="bottom"/>
            <w:tcBorders>
              <w:bottom w:val="single" w:sz="8" w:color="EBE6F0"/>
            </w:tcBorders>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50" w:type="dxa"/>
            <w:vAlign w:val="bottom"/>
            <w:tcBorders>
              <w:top w:val="single" w:sz="8" w:color="582C83"/>
            </w:tcBorders>
          </w:tcPr>
          <w:p>
            <w:pPr>
              <w:ind w:left="80"/>
              <w:spacing w:after="0"/>
              <w:rPr>
                <w:sz w:val="20"/>
                <w:szCs w:val="20"/>
                <w:color w:val="auto"/>
              </w:rPr>
            </w:pPr>
            <w:r>
              <w:rPr>
                <w:rFonts w:ascii="Arial" w:cs="Arial" w:eastAsia="Arial" w:hAnsi="Arial"/>
                <w:sz w:val="22"/>
                <w:szCs w:val="22"/>
                <w:b w:val="1"/>
                <w:bCs w:val="1"/>
                <w:color w:val="auto"/>
              </w:rPr>
              <w:t>Shareholder Proposals:</w:t>
            </w:r>
          </w:p>
        </w:tc>
        <w:tc>
          <w:tcPr>
            <w:tcW w:w="2130" w:type="dxa"/>
            <w:vAlign w:val="bottom"/>
            <w:tcBorders>
              <w:top w:val="single" w:sz="8" w:color="582C83"/>
            </w:tcBorders>
          </w:tcPr>
          <w:p>
            <w:pPr>
              <w:spacing w:after="0"/>
              <w:rPr>
                <w:sz w:val="24"/>
                <w:szCs w:val="24"/>
                <w:color w:val="auto"/>
              </w:rPr>
            </w:pPr>
          </w:p>
        </w:tc>
        <w:tc>
          <w:tcPr>
            <w:tcW w:w="2010" w:type="dxa"/>
            <w:vAlign w:val="bottom"/>
            <w:tcBorders>
              <w:top w:val="single" w:sz="8" w:color="582C83"/>
            </w:tcBorders>
          </w:tcPr>
          <w:p>
            <w:pPr>
              <w:spacing w:after="0"/>
              <w:rPr>
                <w:sz w:val="24"/>
                <w:szCs w:val="24"/>
                <w:color w:val="auto"/>
              </w:rPr>
            </w:pPr>
          </w:p>
        </w:tc>
        <w:tc>
          <w:tcPr>
            <w:tcW w:w="1450" w:type="dxa"/>
            <w:vAlign w:val="bottom"/>
            <w:tcBorders>
              <w:top w:val="single" w:sz="8" w:color="582C83"/>
            </w:tcBorders>
          </w:tcPr>
          <w:p>
            <w:pPr>
              <w:spacing w:after="0"/>
              <w:rPr>
                <w:sz w:val="24"/>
                <w:szCs w:val="24"/>
                <w:color w:val="auto"/>
              </w:rPr>
            </w:pPr>
          </w:p>
        </w:tc>
        <w:tc>
          <w:tcPr>
            <w:tcW w:w="20" w:type="dxa"/>
            <w:vAlign w:val="bottom"/>
            <w:tcBorders>
              <w:top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650" w:type="dxa"/>
            <w:vAlign w:val="bottom"/>
          </w:tcPr>
          <w:p>
            <w:pPr>
              <w:spacing w:after="0"/>
              <w:rPr>
                <w:sz w:val="2"/>
                <w:szCs w:val="2"/>
                <w:color w:val="auto"/>
              </w:rPr>
            </w:pPr>
          </w:p>
        </w:tc>
        <w:tc>
          <w:tcPr>
            <w:tcW w:w="2130" w:type="dxa"/>
            <w:vAlign w:val="bottom"/>
          </w:tcPr>
          <w:p>
            <w:pPr>
              <w:spacing w:after="0"/>
              <w:rPr>
                <w:sz w:val="2"/>
                <w:szCs w:val="2"/>
                <w:color w:val="auto"/>
              </w:rPr>
            </w:pPr>
          </w:p>
        </w:tc>
        <w:tc>
          <w:tcPr>
            <w:tcW w:w="2010" w:type="dxa"/>
            <w:vAlign w:val="bottom"/>
          </w:tcPr>
          <w:p>
            <w:pPr>
              <w:spacing w:after="0"/>
              <w:rPr>
                <w:sz w:val="2"/>
                <w:szCs w:val="2"/>
                <w:color w:val="auto"/>
              </w:rPr>
            </w:pPr>
          </w:p>
        </w:tc>
        <w:tc>
          <w:tcPr>
            <w:tcW w:w="145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5650" w:type="dxa"/>
            <w:vAlign w:val="bottom"/>
            <w:shd w:val="clear" w:color="auto" w:fill="EBE6F0"/>
          </w:tcPr>
          <w:p>
            <w:pPr>
              <w:ind w:left="80"/>
              <w:spacing w:after="0"/>
              <w:rPr>
                <w:sz w:val="20"/>
                <w:szCs w:val="20"/>
                <w:color w:val="auto"/>
              </w:rPr>
            </w:pPr>
            <w:r>
              <w:rPr>
                <w:rFonts w:ascii="Arial" w:cs="Arial" w:eastAsia="Arial" w:hAnsi="Arial"/>
                <w:sz w:val="22"/>
                <w:szCs w:val="22"/>
                <w:color w:val="auto"/>
              </w:rPr>
              <w:t>Item 4. Conduct and Publish Racial Equity Audit</w:t>
            </w: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For</w:t>
            </w:r>
          </w:p>
        </w:tc>
        <w:tc>
          <w:tcPr>
            <w:tcW w:w="201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AGAINST</w:t>
            </w:r>
          </w:p>
        </w:tc>
        <w:tc>
          <w:tcPr>
            <w:tcW w:w="1450" w:type="dxa"/>
            <w:vAlign w:val="bottom"/>
            <w:shd w:val="clear" w:color="auto" w:fill="EBE6F0"/>
          </w:tcPr>
          <w:p>
            <w:pPr>
              <w:ind w:left="70"/>
              <w:spacing w:after="0"/>
              <w:rPr>
                <w:sz w:val="20"/>
                <w:szCs w:val="20"/>
                <w:color w:val="auto"/>
              </w:rPr>
            </w:pPr>
            <w:r>
              <w:rPr>
                <w:rFonts w:ascii="Arial" w:cs="Arial" w:eastAsia="Arial" w:hAnsi="Arial"/>
                <w:sz w:val="22"/>
                <w:szCs w:val="22"/>
                <w:color w:val="auto"/>
              </w:rPr>
              <w:t>Page 110</w:t>
            </w: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shd w:val="clear" w:color="auto" w:fill="EBE6F0"/>
          </w:tcPr>
          <w:p>
            <w:pPr>
              <w:spacing w:after="0"/>
              <w:rPr>
                <w:sz w:val="24"/>
                <w:szCs w:val="24"/>
                <w:color w:val="auto"/>
              </w:rPr>
            </w:pPr>
          </w:p>
        </w:tc>
        <w:tc>
          <w:tcPr>
            <w:tcW w:w="2130" w:type="dxa"/>
            <w:vAlign w:val="bottom"/>
            <w:shd w:val="clear" w:color="auto" w:fill="EBE6F0"/>
          </w:tcPr>
          <w:p>
            <w:pPr>
              <w:ind w:left="70"/>
              <w:spacing w:after="0"/>
              <w:rPr>
                <w:sz w:val="20"/>
                <w:szCs w:val="20"/>
                <w:color w:val="auto"/>
              </w:rPr>
            </w:pPr>
            <w:r>
              <w:rPr>
                <w:rFonts w:ascii="Arial" w:cs="Arial" w:eastAsia="Arial" w:hAnsi="Arial"/>
                <w:sz w:val="22"/>
                <w:szCs w:val="22"/>
                <w:color w:val="auto"/>
              </w:rPr>
              <w:t>Against</w:t>
            </w:r>
          </w:p>
        </w:tc>
        <w:tc>
          <w:tcPr>
            <w:tcW w:w="2010" w:type="dxa"/>
            <w:vAlign w:val="bottom"/>
            <w:shd w:val="clear" w:color="auto" w:fill="EBE6F0"/>
          </w:tcPr>
          <w:p>
            <w:pPr>
              <w:spacing w:after="0"/>
              <w:rPr>
                <w:sz w:val="24"/>
                <w:szCs w:val="24"/>
                <w:color w:val="auto"/>
              </w:rPr>
            </w:pPr>
          </w:p>
        </w:tc>
        <w:tc>
          <w:tcPr>
            <w:tcW w:w="1450" w:type="dxa"/>
            <w:vAlign w:val="bottom"/>
            <w:shd w:val="clear" w:color="auto" w:fill="EBE6F0"/>
          </w:tcPr>
          <w:p>
            <w:pPr>
              <w:spacing w:after="0"/>
              <w:rPr>
                <w:sz w:val="24"/>
                <w:szCs w:val="24"/>
                <w:color w:val="auto"/>
              </w:rPr>
            </w:pPr>
          </w:p>
        </w:tc>
        <w:tc>
          <w:tcPr>
            <w:tcW w:w="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650" w:type="dxa"/>
            <w:vAlign w:val="bottom"/>
            <w:tcBorders>
              <w:bottom w:val="single" w:sz="8" w:color="EBE6F0"/>
            </w:tcBorders>
            <w:shd w:val="clear" w:color="auto" w:fill="EBE6F0"/>
          </w:tcPr>
          <w:p>
            <w:pPr>
              <w:spacing w:after="0"/>
              <w:rPr>
                <w:sz w:val="24"/>
                <w:szCs w:val="24"/>
                <w:color w:val="auto"/>
              </w:rPr>
            </w:pPr>
          </w:p>
        </w:tc>
        <w:tc>
          <w:tcPr>
            <w:tcW w:w="213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2"/>
                <w:szCs w:val="22"/>
                <w:color w:val="auto"/>
              </w:rPr>
              <w:t>Abstain</w:t>
            </w:r>
          </w:p>
        </w:tc>
        <w:tc>
          <w:tcPr>
            <w:tcW w:w="2010" w:type="dxa"/>
            <w:vAlign w:val="bottom"/>
            <w:tcBorders>
              <w:bottom w:val="single" w:sz="8" w:color="EBE6F0"/>
            </w:tcBorders>
            <w:shd w:val="clear" w:color="auto" w:fill="EBE6F0"/>
          </w:tcPr>
          <w:p>
            <w:pPr>
              <w:spacing w:after="0"/>
              <w:rPr>
                <w:sz w:val="24"/>
                <w:szCs w:val="24"/>
                <w:color w:val="auto"/>
              </w:rPr>
            </w:pPr>
          </w:p>
        </w:tc>
        <w:tc>
          <w:tcPr>
            <w:tcW w:w="145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50" w:type="dxa"/>
            <w:vAlign w:val="bottom"/>
            <w:tcBorders>
              <w:top w:val="single" w:sz="8" w:color="582C83"/>
            </w:tcBorders>
          </w:tcPr>
          <w:p>
            <w:pPr>
              <w:ind w:left="80"/>
              <w:spacing w:after="0"/>
              <w:rPr>
                <w:sz w:val="20"/>
                <w:szCs w:val="20"/>
                <w:color w:val="auto"/>
              </w:rPr>
            </w:pPr>
            <w:r>
              <w:rPr>
                <w:rFonts w:ascii="Arial" w:cs="Arial" w:eastAsia="Arial" w:hAnsi="Arial"/>
                <w:sz w:val="22"/>
                <w:szCs w:val="22"/>
                <w:color w:val="auto"/>
              </w:rPr>
              <w:t>Item 5. Require Independent Chair of the Board</w:t>
            </w:r>
          </w:p>
        </w:tc>
        <w:tc>
          <w:tcPr>
            <w:tcW w:w="2130" w:type="dxa"/>
            <w:vAlign w:val="bottom"/>
            <w:tcBorders>
              <w:top w:val="single" w:sz="8" w:color="582C83"/>
            </w:tcBorders>
          </w:tcPr>
          <w:p>
            <w:pPr>
              <w:ind w:left="50"/>
              <w:spacing w:after="0"/>
              <w:rPr>
                <w:sz w:val="20"/>
                <w:szCs w:val="20"/>
                <w:color w:val="auto"/>
              </w:rPr>
            </w:pPr>
            <w:r>
              <w:rPr>
                <w:rFonts w:ascii="Arial" w:cs="Arial" w:eastAsia="Arial" w:hAnsi="Arial"/>
                <w:sz w:val="22"/>
                <w:szCs w:val="22"/>
                <w:color w:val="auto"/>
              </w:rPr>
              <w:t>For</w:t>
            </w:r>
          </w:p>
        </w:tc>
        <w:tc>
          <w:tcPr>
            <w:tcW w:w="2010" w:type="dxa"/>
            <w:vAlign w:val="bottom"/>
            <w:tcBorders>
              <w:top w:val="single" w:sz="8" w:color="582C83"/>
            </w:tcBorders>
          </w:tcPr>
          <w:p>
            <w:pPr>
              <w:ind w:left="60"/>
              <w:spacing w:after="0"/>
              <w:rPr>
                <w:sz w:val="20"/>
                <w:szCs w:val="20"/>
                <w:color w:val="auto"/>
              </w:rPr>
            </w:pPr>
            <w:r>
              <w:rPr>
                <w:rFonts w:ascii="Arial" w:cs="Arial" w:eastAsia="Arial" w:hAnsi="Arial"/>
                <w:sz w:val="22"/>
                <w:szCs w:val="22"/>
                <w:b w:val="1"/>
                <w:bCs w:val="1"/>
                <w:color w:val="582C83"/>
              </w:rPr>
              <w:t>AGAINST</w:t>
            </w:r>
          </w:p>
        </w:tc>
        <w:tc>
          <w:tcPr>
            <w:tcW w:w="1450" w:type="dxa"/>
            <w:vAlign w:val="bottom"/>
            <w:tcBorders>
              <w:top w:val="single" w:sz="8" w:color="582C83"/>
            </w:tcBorders>
          </w:tcPr>
          <w:p>
            <w:pPr>
              <w:ind w:left="50"/>
              <w:spacing w:after="0"/>
              <w:rPr>
                <w:sz w:val="20"/>
                <w:szCs w:val="20"/>
                <w:color w:val="auto"/>
              </w:rPr>
            </w:pPr>
            <w:r>
              <w:rPr>
                <w:rFonts w:ascii="Arial" w:cs="Arial" w:eastAsia="Arial" w:hAnsi="Arial"/>
                <w:sz w:val="22"/>
                <w:szCs w:val="22"/>
                <w:color w:val="auto"/>
              </w:rPr>
              <w:t>Page 114</w:t>
            </w:r>
          </w:p>
        </w:tc>
        <w:tc>
          <w:tcPr>
            <w:tcW w:w="20" w:type="dxa"/>
            <w:vAlign w:val="bottom"/>
            <w:tcBorders>
              <w:top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tcPr>
          <w:p>
            <w:pPr>
              <w:spacing w:after="0"/>
              <w:rPr>
                <w:sz w:val="24"/>
                <w:szCs w:val="24"/>
                <w:color w:val="auto"/>
              </w:rPr>
            </w:pPr>
          </w:p>
        </w:tc>
        <w:tc>
          <w:tcPr>
            <w:tcW w:w="2130" w:type="dxa"/>
            <w:vAlign w:val="bottom"/>
          </w:tcPr>
          <w:p>
            <w:pPr>
              <w:ind w:left="50"/>
              <w:spacing w:after="0"/>
              <w:rPr>
                <w:sz w:val="20"/>
                <w:szCs w:val="20"/>
                <w:color w:val="auto"/>
              </w:rPr>
            </w:pPr>
            <w:r>
              <w:rPr>
                <w:rFonts w:ascii="Arial" w:cs="Arial" w:eastAsia="Arial" w:hAnsi="Arial"/>
                <w:sz w:val="22"/>
                <w:szCs w:val="22"/>
                <w:color w:val="auto"/>
              </w:rPr>
              <w:t>Against</w:t>
            </w:r>
          </w:p>
        </w:tc>
        <w:tc>
          <w:tcPr>
            <w:tcW w:w="201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50" w:type="dxa"/>
            <w:vAlign w:val="bottom"/>
          </w:tcPr>
          <w:p>
            <w:pPr>
              <w:spacing w:after="0"/>
              <w:rPr>
                <w:sz w:val="24"/>
                <w:szCs w:val="24"/>
                <w:color w:val="auto"/>
              </w:rPr>
            </w:pPr>
          </w:p>
        </w:tc>
        <w:tc>
          <w:tcPr>
            <w:tcW w:w="2130" w:type="dxa"/>
            <w:vAlign w:val="bottom"/>
          </w:tcPr>
          <w:p>
            <w:pPr>
              <w:ind w:left="50"/>
              <w:spacing w:after="0"/>
              <w:rPr>
                <w:sz w:val="20"/>
                <w:szCs w:val="20"/>
                <w:color w:val="auto"/>
              </w:rPr>
            </w:pPr>
            <w:r>
              <w:rPr>
                <w:rFonts w:ascii="Arial" w:cs="Arial" w:eastAsia="Arial" w:hAnsi="Arial"/>
                <w:sz w:val="22"/>
                <w:szCs w:val="22"/>
                <w:color w:val="auto"/>
              </w:rPr>
              <w:t>Abstain</w:t>
            </w:r>
          </w:p>
        </w:tc>
        <w:tc>
          <w:tcPr>
            <w:tcW w:w="2010" w:type="dxa"/>
            <w:vAlign w:val="bottom"/>
          </w:tcPr>
          <w:p>
            <w:pPr>
              <w:spacing w:after="0"/>
              <w:rPr>
                <w:sz w:val="24"/>
                <w:szCs w:val="24"/>
                <w:color w:val="auto"/>
              </w:rPr>
            </w:pPr>
          </w:p>
        </w:tc>
        <w:tc>
          <w:tcPr>
            <w:tcW w:w="14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4057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25717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-3231515</wp:posOffset>
            </wp:positionV>
            <wp:extent cx="17970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-2477135</wp:posOffset>
            </wp:positionV>
            <wp:extent cx="18034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-1877060</wp:posOffset>
            </wp:positionV>
            <wp:extent cx="17970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9705" cy="18859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-942975</wp:posOffset>
            </wp:positionV>
            <wp:extent cx="17970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-342900</wp:posOffset>
            </wp:positionV>
            <wp:extent cx="18034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Transact any other business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About Mondelēz International</w:t>
      </w:r>
    </w:p>
    <w:p>
      <w:pPr>
        <w:spacing w:after="0" w:line="22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Mondelēz International empowers people to snack right around the world. With global net revenues of $28.7 billion in 2021, we are leading the future of snacking with iconic global and local brands such as </w:t>
      </w:r>
      <w:r>
        <w:rPr>
          <w:rFonts w:ascii="Arial" w:cs="Arial" w:eastAsia="Arial" w:hAnsi="Arial"/>
          <w:sz w:val="22"/>
          <w:szCs w:val="22"/>
          <w:i w:val="1"/>
          <w:iCs w:val="1"/>
          <w:color w:val="auto"/>
        </w:rPr>
        <w:t>Cadbury</w:t>
      </w:r>
      <w:r>
        <w:rPr>
          <w:rFonts w:ascii="Arial" w:cs="Arial" w:eastAsia="Arial" w:hAnsi="Arial"/>
          <w:sz w:val="22"/>
          <w:szCs w:val="22"/>
          <w:color w:val="auto"/>
        </w:rPr>
        <w:t xml:space="preserve">, </w:t>
      </w:r>
      <w:r>
        <w:rPr>
          <w:rFonts w:ascii="Arial" w:cs="Arial" w:eastAsia="Arial" w:hAnsi="Arial"/>
          <w:sz w:val="22"/>
          <w:szCs w:val="22"/>
          <w:i w:val="1"/>
          <w:iCs w:val="1"/>
          <w:color w:val="auto"/>
        </w:rPr>
        <w:t>Milka</w:t>
      </w:r>
      <w:r>
        <w:rPr>
          <w:rFonts w:ascii="Arial" w:cs="Arial" w:eastAsia="Arial" w:hAnsi="Arial"/>
          <w:sz w:val="22"/>
          <w:szCs w:val="22"/>
          <w:color w:val="auto"/>
        </w:rPr>
        <w:t xml:space="preserve"> and </w:t>
      </w:r>
      <w:r>
        <w:rPr>
          <w:rFonts w:ascii="Arial" w:cs="Arial" w:eastAsia="Arial" w:hAnsi="Arial"/>
          <w:sz w:val="22"/>
          <w:szCs w:val="22"/>
          <w:i w:val="1"/>
          <w:iCs w:val="1"/>
          <w:color w:val="auto"/>
        </w:rPr>
        <w:t>Toblerone</w:t>
      </w:r>
      <w:r>
        <w:rPr>
          <w:rFonts w:ascii="Arial" w:cs="Arial" w:eastAsia="Arial" w:hAnsi="Arial"/>
          <w:sz w:val="22"/>
          <w:szCs w:val="22"/>
          <w:color w:val="auto"/>
        </w:rPr>
        <w:t xml:space="preserve"> chocolate; </w:t>
      </w:r>
      <w:r>
        <w:rPr>
          <w:rFonts w:ascii="Arial" w:cs="Arial" w:eastAsia="Arial" w:hAnsi="Arial"/>
          <w:sz w:val="22"/>
          <w:szCs w:val="22"/>
          <w:i w:val="1"/>
          <w:iCs w:val="1"/>
          <w:color w:val="auto"/>
        </w:rPr>
        <w:t>Oreo</w:t>
      </w:r>
      <w:r>
        <w:rPr>
          <w:rFonts w:ascii="Arial" w:cs="Arial" w:eastAsia="Arial" w:hAnsi="Arial"/>
          <w:sz w:val="22"/>
          <w:szCs w:val="22"/>
          <w:color w:val="auto"/>
        </w:rPr>
        <w:t xml:space="preserve">, </w:t>
      </w:r>
      <w:r>
        <w:rPr>
          <w:rFonts w:ascii="Arial" w:cs="Arial" w:eastAsia="Arial" w:hAnsi="Arial"/>
          <w:sz w:val="22"/>
          <w:szCs w:val="22"/>
          <w:i w:val="1"/>
          <w:iCs w:val="1"/>
          <w:color w:val="auto"/>
        </w:rPr>
        <w:t>belVita</w:t>
      </w:r>
      <w:r>
        <w:rPr>
          <w:rFonts w:ascii="Arial" w:cs="Arial" w:eastAsia="Arial" w:hAnsi="Arial"/>
          <w:sz w:val="22"/>
          <w:szCs w:val="22"/>
          <w:color w:val="auto"/>
        </w:rPr>
        <w:t xml:space="preserve"> and </w:t>
      </w:r>
      <w:r>
        <w:rPr>
          <w:rFonts w:ascii="Arial" w:cs="Arial" w:eastAsia="Arial" w:hAnsi="Arial"/>
          <w:sz w:val="22"/>
          <w:szCs w:val="22"/>
          <w:i w:val="1"/>
          <w:iCs w:val="1"/>
          <w:color w:val="auto"/>
        </w:rPr>
        <w:t>LU</w:t>
      </w:r>
      <w:r>
        <w:rPr>
          <w:rFonts w:ascii="Arial" w:cs="Arial" w:eastAsia="Arial" w:hAnsi="Arial"/>
          <w:sz w:val="22"/>
          <w:szCs w:val="22"/>
          <w:color w:val="auto"/>
        </w:rPr>
        <w:t xml:space="preserve"> biscuits; </w:t>
      </w:r>
      <w:r>
        <w:rPr>
          <w:rFonts w:ascii="Arial" w:cs="Arial" w:eastAsia="Arial" w:hAnsi="Arial"/>
          <w:sz w:val="22"/>
          <w:szCs w:val="22"/>
          <w:i w:val="1"/>
          <w:iCs w:val="1"/>
          <w:color w:val="auto"/>
        </w:rPr>
        <w:t>Halls</w:t>
      </w:r>
      <w:r>
        <w:rPr>
          <w:rFonts w:ascii="Arial" w:cs="Arial" w:eastAsia="Arial" w:hAnsi="Arial"/>
          <w:sz w:val="22"/>
          <w:szCs w:val="22"/>
          <w:color w:val="auto"/>
        </w:rPr>
        <w:t xml:space="preserve"> candy; </w:t>
      </w:r>
      <w:r>
        <w:rPr>
          <w:rFonts w:ascii="Arial" w:cs="Arial" w:eastAsia="Arial" w:hAnsi="Arial"/>
          <w:sz w:val="22"/>
          <w:szCs w:val="22"/>
          <w:i w:val="1"/>
          <w:iCs w:val="1"/>
          <w:color w:val="auto"/>
        </w:rPr>
        <w:t>Trident</w:t>
      </w:r>
      <w:r>
        <w:rPr>
          <w:rFonts w:ascii="Arial" w:cs="Arial" w:eastAsia="Arial" w:hAnsi="Arial"/>
          <w:sz w:val="22"/>
          <w:szCs w:val="22"/>
          <w:color w:val="auto"/>
        </w:rPr>
        <w:t xml:space="preserve"> gum and </w:t>
      </w:r>
      <w:r>
        <w:rPr>
          <w:rFonts w:ascii="Arial" w:cs="Arial" w:eastAsia="Arial" w:hAnsi="Arial"/>
          <w:sz w:val="22"/>
          <w:szCs w:val="22"/>
          <w:i w:val="1"/>
          <w:iCs w:val="1"/>
          <w:color w:val="auto"/>
        </w:rPr>
        <w:t>Tang</w:t>
      </w:r>
      <w:r>
        <w:rPr>
          <w:rFonts w:ascii="Arial" w:cs="Arial" w:eastAsia="Arial" w:hAnsi="Arial"/>
          <w:sz w:val="22"/>
          <w:szCs w:val="22"/>
          <w:color w:val="auto"/>
        </w:rPr>
        <w:t xml:space="preserve"> powdered beverages. Our mission is to provide the right snack, for the right moment, made the right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111760</wp:posOffset>
            </wp:positionV>
            <wp:extent cx="6026150" cy="3334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2615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Director Nominees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ELECTION OF DIRECTORS – NOMINEES</w:t>
      </w:r>
    </w:p>
    <w:p>
      <w:pPr>
        <w:spacing w:after="0" w:line="130"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The Governance, Membership and Sustainability Committee (the “Governance Committee”) recommended and the Board of Directors (the “Board”) nominated each of the ten incumbent directors listed here. The terms of all director nominees elected at the Annual Meeting will end at the 2023 Annual Meeting of Shareholders or when a director’s successor has been duly elected and qualified. Additional information about the director nominees is provided under “Director Nominees for Election at the Annual Meeting”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Nominees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54610</wp:posOffset>
            </wp:positionV>
            <wp:extent cx="668655" cy="668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54610</wp:posOffset>
            </wp:positionV>
            <wp:extent cx="668655" cy="668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54610</wp:posOffset>
            </wp:positionV>
            <wp:extent cx="668655" cy="6686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54610</wp:posOffset>
            </wp:positionV>
            <wp:extent cx="668655" cy="6686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2680" w:type="dxa"/>
            <w:vAlign w:val="bottom"/>
          </w:tcPr>
          <w:p>
            <w:pPr>
              <w:jc w:val="center"/>
              <w:spacing w:after="0"/>
              <w:rPr>
                <w:sz w:val="20"/>
                <w:szCs w:val="20"/>
                <w:color w:val="auto"/>
              </w:rPr>
            </w:pPr>
            <w:r>
              <w:rPr>
                <w:rFonts w:ascii="Arial" w:cs="Arial" w:eastAsia="Arial" w:hAnsi="Arial"/>
                <w:sz w:val="22"/>
                <w:szCs w:val="22"/>
                <w:b w:val="1"/>
                <w:bCs w:val="1"/>
                <w:color w:val="582C83"/>
                <w:w w:val="97"/>
              </w:rPr>
              <w:t>Lewis W.K. Booth</w:t>
            </w:r>
          </w:p>
        </w:tc>
        <w:tc>
          <w:tcPr>
            <w:tcW w:w="2980" w:type="dxa"/>
            <w:vAlign w:val="bottom"/>
          </w:tcPr>
          <w:p>
            <w:pPr>
              <w:jc w:val="center"/>
              <w:spacing w:after="0"/>
              <w:rPr>
                <w:sz w:val="20"/>
                <w:szCs w:val="20"/>
                <w:color w:val="auto"/>
              </w:rPr>
            </w:pPr>
            <w:r>
              <w:rPr>
                <w:rFonts w:ascii="Arial" w:cs="Arial" w:eastAsia="Arial" w:hAnsi="Arial"/>
                <w:sz w:val="22"/>
                <w:szCs w:val="22"/>
                <w:b w:val="1"/>
                <w:bCs w:val="1"/>
                <w:color w:val="582C83"/>
                <w:w w:val="98"/>
              </w:rPr>
              <w:t>Charles E. Bunch</w:t>
            </w:r>
          </w:p>
        </w:tc>
        <w:tc>
          <w:tcPr>
            <w:tcW w:w="2560" w:type="dxa"/>
            <w:vAlign w:val="bottom"/>
          </w:tcPr>
          <w:p>
            <w:pPr>
              <w:jc w:val="center"/>
              <w:spacing w:after="0"/>
              <w:rPr>
                <w:sz w:val="20"/>
                <w:szCs w:val="20"/>
                <w:color w:val="auto"/>
              </w:rPr>
            </w:pPr>
            <w:r>
              <w:rPr>
                <w:rFonts w:ascii="Arial" w:cs="Arial" w:eastAsia="Arial" w:hAnsi="Arial"/>
                <w:sz w:val="22"/>
                <w:szCs w:val="22"/>
                <w:b w:val="1"/>
                <w:bCs w:val="1"/>
                <w:color w:val="582C83"/>
                <w:w w:val="98"/>
              </w:rPr>
              <w:t>Ertharin Cousin</w:t>
            </w:r>
          </w:p>
        </w:tc>
        <w:tc>
          <w:tcPr>
            <w:tcW w:w="2900" w:type="dxa"/>
            <w:vAlign w:val="bottom"/>
          </w:tcPr>
          <w:p>
            <w:pPr>
              <w:jc w:val="center"/>
              <w:ind w:left="76"/>
              <w:spacing w:after="0"/>
              <w:rPr>
                <w:sz w:val="20"/>
                <w:szCs w:val="20"/>
                <w:color w:val="auto"/>
              </w:rPr>
            </w:pPr>
            <w:r>
              <w:rPr>
                <w:rFonts w:ascii="Arial" w:cs="Arial" w:eastAsia="Arial" w:hAnsi="Arial"/>
                <w:sz w:val="22"/>
                <w:szCs w:val="22"/>
                <w:b w:val="1"/>
                <w:bCs w:val="1"/>
                <w:color w:val="582C83"/>
                <w:w w:val="97"/>
              </w:rPr>
              <w:t>Lois D. Juliber</w:t>
            </w:r>
          </w:p>
        </w:tc>
      </w:tr>
      <w:tr>
        <w:trPr>
          <w:trHeight w:val="243"/>
        </w:trPr>
        <w:tc>
          <w:tcPr>
            <w:tcW w:w="268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8"/>
              </w:rPr>
              <w:t>Former Executive Vice</w:t>
            </w:r>
          </w:p>
        </w:tc>
        <w:tc>
          <w:tcPr>
            <w:tcW w:w="298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8"/>
              </w:rPr>
              <w:t>Retired Executive Chairman,</w:t>
            </w:r>
          </w:p>
        </w:tc>
        <w:tc>
          <w:tcPr>
            <w:tcW w:w="256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7"/>
              </w:rPr>
              <w:t>Founder, President and</w:t>
            </w:r>
          </w:p>
        </w:tc>
        <w:tc>
          <w:tcPr>
            <w:tcW w:w="2900" w:type="dxa"/>
            <w:vAlign w:val="bottom"/>
          </w:tcPr>
          <w:p>
            <w:pPr>
              <w:jc w:val="center"/>
              <w:ind w:left="16"/>
              <w:spacing w:after="0" w:line="243" w:lineRule="exact"/>
              <w:rPr>
                <w:sz w:val="20"/>
                <w:szCs w:val="20"/>
                <w:color w:val="auto"/>
              </w:rPr>
            </w:pPr>
            <w:r>
              <w:rPr>
                <w:rFonts w:ascii="Arial" w:cs="Arial" w:eastAsia="Arial" w:hAnsi="Arial"/>
                <w:sz w:val="22"/>
                <w:szCs w:val="22"/>
                <w:i w:val="1"/>
                <w:iCs w:val="1"/>
                <w:color w:val="auto"/>
                <w:w w:val="98"/>
              </w:rPr>
              <w:t>Former Vice Chairman</w:t>
            </w:r>
          </w:p>
        </w:tc>
      </w:tr>
      <w:tr>
        <w:trPr>
          <w:trHeight w:val="243"/>
        </w:trPr>
        <w:tc>
          <w:tcPr>
            <w:tcW w:w="2680" w:type="dxa"/>
            <w:vAlign w:val="bottom"/>
          </w:tcPr>
          <w:p>
            <w:pPr>
              <w:ind w:left="840"/>
              <w:spacing w:after="0" w:line="243" w:lineRule="exact"/>
              <w:rPr>
                <w:sz w:val="20"/>
                <w:szCs w:val="20"/>
                <w:color w:val="auto"/>
              </w:rPr>
            </w:pPr>
            <w:r>
              <w:rPr>
                <w:rFonts w:ascii="Arial" w:cs="Arial" w:eastAsia="Arial" w:hAnsi="Arial"/>
                <w:sz w:val="22"/>
                <w:szCs w:val="22"/>
                <w:i w:val="1"/>
                <w:iCs w:val="1"/>
                <w:color w:val="auto"/>
              </w:rPr>
              <w:t>President</w:t>
            </w:r>
          </w:p>
        </w:tc>
        <w:tc>
          <w:tcPr>
            <w:tcW w:w="298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8"/>
              </w:rPr>
              <w:t>PPG Industries, Inc.</w:t>
            </w:r>
          </w:p>
        </w:tc>
        <w:tc>
          <w:tcPr>
            <w:tcW w:w="256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7"/>
              </w:rPr>
              <w:t>Chief Executive Officer,</w:t>
            </w:r>
          </w:p>
        </w:tc>
        <w:tc>
          <w:tcPr>
            <w:tcW w:w="2900" w:type="dxa"/>
            <w:vAlign w:val="bottom"/>
          </w:tcPr>
          <w:p>
            <w:pPr>
              <w:jc w:val="center"/>
              <w:spacing w:after="0" w:line="243" w:lineRule="exact"/>
              <w:rPr>
                <w:sz w:val="20"/>
                <w:szCs w:val="20"/>
                <w:color w:val="auto"/>
              </w:rPr>
            </w:pPr>
            <w:r>
              <w:rPr>
                <w:rFonts w:ascii="Arial" w:cs="Arial" w:eastAsia="Arial" w:hAnsi="Arial"/>
                <w:sz w:val="22"/>
                <w:szCs w:val="22"/>
                <w:i w:val="1"/>
                <w:iCs w:val="1"/>
                <w:color w:val="auto"/>
                <w:w w:val="97"/>
              </w:rPr>
              <w:t>and Chief Operating Officer,</w:t>
            </w:r>
          </w:p>
        </w:tc>
      </w:tr>
      <w:tr>
        <w:trPr>
          <w:trHeight w:val="256"/>
        </w:trPr>
        <w:tc>
          <w:tcPr>
            <w:tcW w:w="2680" w:type="dxa"/>
            <w:vAlign w:val="bottom"/>
          </w:tcPr>
          <w:p>
            <w:pPr>
              <w:jc w:val="center"/>
              <w:spacing w:after="0"/>
              <w:rPr>
                <w:sz w:val="20"/>
                <w:szCs w:val="20"/>
                <w:color w:val="auto"/>
              </w:rPr>
            </w:pPr>
            <w:r>
              <w:rPr>
                <w:rFonts w:ascii="Arial" w:cs="Arial" w:eastAsia="Arial" w:hAnsi="Arial"/>
                <w:sz w:val="22"/>
                <w:szCs w:val="22"/>
                <w:i w:val="1"/>
                <w:iCs w:val="1"/>
                <w:color w:val="auto"/>
                <w:w w:val="97"/>
              </w:rPr>
              <w:t>and Chief Financial Officer,</w:t>
            </w:r>
          </w:p>
        </w:tc>
        <w:tc>
          <w:tcPr>
            <w:tcW w:w="2980" w:type="dxa"/>
            <w:vAlign w:val="bottom"/>
          </w:tcPr>
          <w:p>
            <w:pPr>
              <w:jc w:val="center"/>
              <w:spacing w:after="0"/>
              <w:rPr>
                <w:sz w:val="20"/>
                <w:szCs w:val="20"/>
                <w:color w:val="auto"/>
              </w:rPr>
            </w:pPr>
            <w:r>
              <w:rPr>
                <w:rFonts w:ascii="Arial" w:cs="Arial" w:eastAsia="Arial" w:hAnsi="Arial"/>
                <w:sz w:val="22"/>
                <w:szCs w:val="22"/>
                <w:color w:val="auto"/>
              </w:rPr>
              <w:t>Age: 72</w:t>
            </w:r>
          </w:p>
        </w:tc>
        <w:tc>
          <w:tcPr>
            <w:tcW w:w="2560" w:type="dxa"/>
            <w:vAlign w:val="bottom"/>
          </w:tcPr>
          <w:p>
            <w:pPr>
              <w:jc w:val="center"/>
              <w:spacing w:after="0"/>
              <w:rPr>
                <w:sz w:val="20"/>
                <w:szCs w:val="20"/>
                <w:color w:val="auto"/>
              </w:rPr>
            </w:pPr>
            <w:r>
              <w:rPr>
                <w:rFonts w:ascii="Arial" w:cs="Arial" w:eastAsia="Arial" w:hAnsi="Arial"/>
                <w:sz w:val="22"/>
                <w:szCs w:val="22"/>
                <w:i w:val="1"/>
                <w:iCs w:val="1"/>
                <w:color w:val="auto"/>
                <w:w w:val="97"/>
              </w:rPr>
              <w:t>Food Systems For</w:t>
            </w:r>
          </w:p>
        </w:tc>
        <w:tc>
          <w:tcPr>
            <w:tcW w:w="2900" w:type="dxa"/>
            <w:vAlign w:val="bottom"/>
          </w:tcPr>
          <w:p>
            <w:pPr>
              <w:jc w:val="center"/>
              <w:ind w:left="56"/>
              <w:spacing w:after="0"/>
              <w:rPr>
                <w:sz w:val="20"/>
                <w:szCs w:val="20"/>
                <w:color w:val="auto"/>
              </w:rPr>
            </w:pPr>
            <w:r>
              <w:rPr>
                <w:rFonts w:ascii="Arial" w:cs="Arial" w:eastAsia="Arial" w:hAnsi="Arial"/>
                <w:sz w:val="22"/>
                <w:szCs w:val="22"/>
                <w:i w:val="1"/>
                <w:iCs w:val="1"/>
                <w:color w:val="auto"/>
                <w:w w:val="98"/>
              </w:rPr>
              <w:t>Colgate-Palmolive Company</w:t>
            </w:r>
          </w:p>
        </w:tc>
      </w:tr>
      <w:tr>
        <w:trPr>
          <w:trHeight w:val="284"/>
        </w:trPr>
        <w:tc>
          <w:tcPr>
            <w:tcW w:w="2680" w:type="dxa"/>
            <w:vAlign w:val="bottom"/>
          </w:tcPr>
          <w:p>
            <w:pPr>
              <w:jc w:val="center"/>
              <w:spacing w:after="0"/>
              <w:rPr>
                <w:sz w:val="20"/>
                <w:szCs w:val="20"/>
                <w:color w:val="auto"/>
              </w:rPr>
            </w:pPr>
            <w:r>
              <w:rPr>
                <w:rFonts w:ascii="Arial" w:cs="Arial" w:eastAsia="Arial" w:hAnsi="Arial"/>
                <w:sz w:val="22"/>
                <w:szCs w:val="22"/>
                <w:i w:val="1"/>
                <w:iCs w:val="1"/>
                <w:color w:val="auto"/>
                <w:w w:val="98"/>
              </w:rPr>
              <w:t>Ford Motor Company</w:t>
            </w:r>
          </w:p>
        </w:tc>
        <w:tc>
          <w:tcPr>
            <w:tcW w:w="2980" w:type="dxa"/>
            <w:vAlign w:val="bottom"/>
          </w:tcPr>
          <w:p>
            <w:pPr>
              <w:jc w:val="center"/>
              <w:spacing w:after="0"/>
              <w:rPr>
                <w:sz w:val="20"/>
                <w:szCs w:val="20"/>
                <w:color w:val="auto"/>
              </w:rPr>
            </w:pPr>
            <w:r>
              <w:rPr>
                <w:rFonts w:ascii="Arial" w:cs="Arial" w:eastAsia="Arial" w:hAnsi="Arial"/>
                <w:sz w:val="22"/>
                <w:szCs w:val="22"/>
                <w:color w:val="auto"/>
                <w:w w:val="99"/>
              </w:rPr>
              <w:t>Director since 2016</w:t>
            </w:r>
          </w:p>
        </w:tc>
        <w:tc>
          <w:tcPr>
            <w:tcW w:w="2560" w:type="dxa"/>
            <w:vAlign w:val="bottom"/>
          </w:tcPr>
          <w:p>
            <w:pPr>
              <w:jc w:val="center"/>
              <w:spacing w:after="0"/>
              <w:rPr>
                <w:sz w:val="20"/>
                <w:szCs w:val="20"/>
                <w:color w:val="auto"/>
              </w:rPr>
            </w:pPr>
            <w:r>
              <w:rPr>
                <w:rFonts w:ascii="Arial" w:cs="Arial" w:eastAsia="Arial" w:hAnsi="Arial"/>
                <w:sz w:val="22"/>
                <w:szCs w:val="22"/>
                <w:i w:val="1"/>
                <w:iCs w:val="1"/>
                <w:color w:val="auto"/>
                <w:w w:val="97"/>
              </w:rPr>
              <w:t>The Future Institute</w:t>
            </w:r>
          </w:p>
        </w:tc>
        <w:tc>
          <w:tcPr>
            <w:tcW w:w="2900" w:type="dxa"/>
            <w:vAlign w:val="bottom"/>
          </w:tcPr>
          <w:p>
            <w:pPr>
              <w:jc w:val="center"/>
              <w:ind w:left="56"/>
              <w:spacing w:after="0"/>
              <w:rPr>
                <w:sz w:val="20"/>
                <w:szCs w:val="20"/>
                <w:color w:val="auto"/>
              </w:rPr>
            </w:pPr>
            <w:r>
              <w:rPr>
                <w:rFonts w:ascii="Arial" w:cs="Arial" w:eastAsia="Arial" w:hAnsi="Arial"/>
                <w:sz w:val="22"/>
                <w:szCs w:val="22"/>
                <w:color w:val="auto"/>
                <w:w w:val="97"/>
              </w:rPr>
              <w:t>Age: 73</w:t>
            </w:r>
          </w:p>
        </w:tc>
      </w:tr>
      <w:tr>
        <w:trPr>
          <w:trHeight w:val="283"/>
        </w:trPr>
        <w:tc>
          <w:tcPr>
            <w:tcW w:w="2680" w:type="dxa"/>
            <w:vAlign w:val="bottom"/>
          </w:tcPr>
          <w:p>
            <w:pPr>
              <w:jc w:val="center"/>
              <w:spacing w:after="0"/>
              <w:rPr>
                <w:sz w:val="20"/>
                <w:szCs w:val="20"/>
                <w:color w:val="auto"/>
              </w:rPr>
            </w:pPr>
            <w:r>
              <w:rPr>
                <w:rFonts w:ascii="Arial" w:cs="Arial" w:eastAsia="Arial" w:hAnsi="Arial"/>
                <w:sz w:val="22"/>
                <w:szCs w:val="22"/>
                <w:color w:val="auto"/>
                <w:w w:val="97"/>
              </w:rPr>
              <w:t>Age: 73</w:t>
            </w:r>
          </w:p>
        </w:tc>
        <w:tc>
          <w:tcPr>
            <w:tcW w:w="2980" w:type="dxa"/>
            <w:vAlign w:val="bottom"/>
          </w:tcPr>
          <w:p>
            <w:pPr>
              <w:jc w:val="center"/>
              <w:spacing w:after="0"/>
              <w:rPr>
                <w:sz w:val="20"/>
                <w:szCs w:val="20"/>
                <w:color w:val="auto"/>
              </w:rPr>
            </w:pPr>
            <w:r>
              <w:rPr>
                <w:rFonts w:ascii="Arial" w:cs="Arial" w:eastAsia="Arial" w:hAnsi="Arial"/>
                <w:sz w:val="22"/>
                <w:szCs w:val="22"/>
                <w:color w:val="auto"/>
                <w:w w:val="98"/>
              </w:rPr>
              <w:t>White/Male</w:t>
            </w:r>
          </w:p>
        </w:tc>
        <w:tc>
          <w:tcPr>
            <w:tcW w:w="2560" w:type="dxa"/>
            <w:vAlign w:val="bottom"/>
          </w:tcPr>
          <w:p>
            <w:pPr>
              <w:jc w:val="center"/>
              <w:spacing w:after="0"/>
              <w:rPr>
                <w:sz w:val="20"/>
                <w:szCs w:val="20"/>
                <w:color w:val="auto"/>
              </w:rPr>
            </w:pPr>
            <w:r>
              <w:rPr>
                <w:rFonts w:ascii="Arial" w:cs="Arial" w:eastAsia="Arial" w:hAnsi="Arial"/>
                <w:sz w:val="22"/>
                <w:szCs w:val="22"/>
                <w:color w:val="auto"/>
                <w:w w:val="97"/>
              </w:rPr>
              <w:t>Age: 64</w:t>
            </w:r>
          </w:p>
        </w:tc>
        <w:tc>
          <w:tcPr>
            <w:tcW w:w="2900" w:type="dxa"/>
            <w:vAlign w:val="bottom"/>
          </w:tcPr>
          <w:p>
            <w:pPr>
              <w:jc w:val="center"/>
              <w:ind w:left="56"/>
              <w:spacing w:after="0"/>
              <w:rPr>
                <w:sz w:val="20"/>
                <w:szCs w:val="20"/>
                <w:color w:val="auto"/>
              </w:rPr>
            </w:pPr>
            <w:r>
              <w:rPr>
                <w:rFonts w:ascii="Arial" w:cs="Arial" w:eastAsia="Arial" w:hAnsi="Arial"/>
                <w:sz w:val="22"/>
                <w:szCs w:val="22"/>
                <w:color w:val="auto"/>
                <w:w w:val="98"/>
              </w:rPr>
              <w:t>Director since 2007</w:t>
            </w:r>
          </w:p>
        </w:tc>
      </w:tr>
      <w:tr>
        <w:trPr>
          <w:trHeight w:val="271"/>
        </w:trPr>
        <w:tc>
          <w:tcPr>
            <w:tcW w:w="2680" w:type="dxa"/>
            <w:vAlign w:val="bottom"/>
          </w:tcPr>
          <w:p>
            <w:pPr>
              <w:jc w:val="center"/>
              <w:spacing w:after="0"/>
              <w:rPr>
                <w:sz w:val="20"/>
                <w:szCs w:val="20"/>
                <w:color w:val="auto"/>
              </w:rPr>
            </w:pPr>
            <w:r>
              <w:rPr>
                <w:rFonts w:ascii="Arial" w:cs="Arial" w:eastAsia="Arial" w:hAnsi="Arial"/>
                <w:sz w:val="22"/>
                <w:szCs w:val="22"/>
                <w:color w:val="auto"/>
                <w:w w:val="98"/>
              </w:rPr>
              <w:t>Director since 2012</w:t>
            </w:r>
          </w:p>
        </w:tc>
        <w:tc>
          <w:tcPr>
            <w:tcW w:w="2980" w:type="dxa"/>
            <w:vAlign w:val="bottom"/>
          </w:tcPr>
          <w:p>
            <w:pPr>
              <w:jc w:val="center"/>
              <w:spacing w:after="0"/>
              <w:rPr>
                <w:sz w:val="20"/>
                <w:szCs w:val="20"/>
                <w:color w:val="auto"/>
              </w:rPr>
            </w:pPr>
            <w:r>
              <w:rPr>
                <w:rFonts w:ascii="Arial" w:cs="Arial" w:eastAsia="Arial" w:hAnsi="Arial"/>
                <w:sz w:val="15"/>
                <w:szCs w:val="15"/>
                <w:b w:val="1"/>
                <w:bCs w:val="1"/>
                <w:color w:val="582C83"/>
              </w:rPr>
              <w:t>INDEPENDENT</w:t>
            </w:r>
          </w:p>
        </w:tc>
        <w:tc>
          <w:tcPr>
            <w:tcW w:w="2560" w:type="dxa"/>
            <w:vAlign w:val="bottom"/>
          </w:tcPr>
          <w:p>
            <w:pPr>
              <w:jc w:val="center"/>
              <w:spacing w:after="0"/>
              <w:rPr>
                <w:sz w:val="20"/>
                <w:szCs w:val="20"/>
                <w:color w:val="auto"/>
              </w:rPr>
            </w:pPr>
            <w:r>
              <w:rPr>
                <w:rFonts w:ascii="Arial" w:cs="Arial" w:eastAsia="Arial" w:hAnsi="Arial"/>
                <w:sz w:val="22"/>
                <w:szCs w:val="22"/>
                <w:color w:val="auto"/>
                <w:w w:val="98"/>
              </w:rPr>
              <w:t>Director since 2022</w:t>
            </w:r>
          </w:p>
        </w:tc>
        <w:tc>
          <w:tcPr>
            <w:tcW w:w="2900" w:type="dxa"/>
            <w:vAlign w:val="bottom"/>
          </w:tcPr>
          <w:p>
            <w:pPr>
              <w:jc w:val="center"/>
              <w:ind w:left="56"/>
              <w:spacing w:after="0"/>
              <w:rPr>
                <w:sz w:val="20"/>
                <w:szCs w:val="20"/>
                <w:color w:val="auto"/>
              </w:rPr>
            </w:pPr>
            <w:r>
              <w:rPr>
                <w:rFonts w:ascii="Arial" w:cs="Arial" w:eastAsia="Arial" w:hAnsi="Arial"/>
                <w:sz w:val="22"/>
                <w:szCs w:val="22"/>
                <w:color w:val="auto"/>
                <w:w w:val="98"/>
              </w:rPr>
              <w:t>White/Female</w:t>
            </w:r>
          </w:p>
        </w:tc>
      </w:tr>
      <w:tr>
        <w:trPr>
          <w:trHeight w:val="283"/>
        </w:trPr>
        <w:tc>
          <w:tcPr>
            <w:tcW w:w="2680" w:type="dxa"/>
            <w:vAlign w:val="bottom"/>
          </w:tcPr>
          <w:p>
            <w:pPr>
              <w:jc w:val="center"/>
              <w:spacing w:after="0"/>
              <w:rPr>
                <w:sz w:val="20"/>
                <w:szCs w:val="20"/>
                <w:color w:val="auto"/>
              </w:rPr>
            </w:pPr>
            <w:r>
              <w:rPr>
                <w:rFonts w:ascii="Arial" w:cs="Arial" w:eastAsia="Arial" w:hAnsi="Arial"/>
                <w:sz w:val="22"/>
                <w:szCs w:val="22"/>
                <w:color w:val="auto"/>
                <w:w w:val="98"/>
              </w:rPr>
              <w:t>White/Male</w:t>
            </w:r>
          </w:p>
        </w:tc>
        <w:tc>
          <w:tcPr>
            <w:tcW w:w="298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Arial" w:cs="Arial" w:eastAsia="Arial" w:hAnsi="Arial"/>
                <w:sz w:val="22"/>
                <w:szCs w:val="22"/>
                <w:color w:val="auto"/>
                <w:w w:val="97"/>
              </w:rPr>
              <w:t>Black/Female</w:t>
            </w:r>
          </w:p>
        </w:tc>
        <w:tc>
          <w:tcPr>
            <w:tcW w:w="2900" w:type="dxa"/>
            <w:vAlign w:val="bottom"/>
          </w:tcPr>
          <w:p>
            <w:pPr>
              <w:jc w:val="center"/>
              <w:ind w:left="56"/>
              <w:spacing w:after="0"/>
              <w:rPr>
                <w:sz w:val="20"/>
                <w:szCs w:val="20"/>
                <w:color w:val="auto"/>
              </w:rPr>
            </w:pPr>
            <w:r>
              <w:rPr>
                <w:rFonts w:ascii="Arial" w:cs="Arial" w:eastAsia="Arial" w:hAnsi="Arial"/>
                <w:sz w:val="15"/>
                <w:szCs w:val="15"/>
                <w:b w:val="1"/>
                <w:bCs w:val="1"/>
                <w:color w:val="582C83"/>
                <w:w w:val="98"/>
              </w:rPr>
              <w:t>INDEPENDENT</w:t>
            </w:r>
          </w:p>
        </w:tc>
      </w:tr>
      <w:tr>
        <w:trPr>
          <w:trHeight w:val="215"/>
        </w:trPr>
        <w:tc>
          <w:tcPr>
            <w:tcW w:w="2680" w:type="dxa"/>
            <w:vAlign w:val="bottom"/>
          </w:tcPr>
          <w:p>
            <w:pPr>
              <w:jc w:val="center"/>
              <w:spacing w:after="0"/>
              <w:rPr>
                <w:sz w:val="20"/>
                <w:szCs w:val="20"/>
                <w:color w:val="auto"/>
              </w:rPr>
            </w:pPr>
            <w:r>
              <w:rPr>
                <w:rFonts w:ascii="Arial" w:cs="Arial" w:eastAsia="Arial" w:hAnsi="Arial"/>
                <w:sz w:val="15"/>
                <w:szCs w:val="15"/>
                <w:b w:val="1"/>
                <w:bCs w:val="1"/>
                <w:color w:val="582C83"/>
                <w:w w:val="98"/>
              </w:rPr>
              <w:t>INDEPENDENT</w:t>
            </w:r>
          </w:p>
        </w:tc>
        <w:tc>
          <w:tcPr>
            <w:tcW w:w="298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5"/>
                <w:szCs w:val="15"/>
                <w:b w:val="1"/>
                <w:bCs w:val="1"/>
                <w:color w:val="582C83"/>
                <w:w w:val="98"/>
              </w:rPr>
              <w:t>INDEPENDENT</w:t>
            </w:r>
          </w:p>
        </w:tc>
        <w:tc>
          <w:tcPr>
            <w:tcW w:w="2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197485</wp:posOffset>
            </wp:positionV>
            <wp:extent cx="668655" cy="668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197485</wp:posOffset>
            </wp:positionV>
            <wp:extent cx="668655" cy="6686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197485</wp:posOffset>
            </wp:positionV>
            <wp:extent cx="668655" cy="668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60" w:type="dxa"/>
        <w:tblCellMar>
          <w:top w:w="0" w:type="dxa"/>
          <w:left w:w="0" w:type="dxa"/>
          <w:bottom w:w="0" w:type="dxa"/>
          <w:right w:w="0" w:type="dxa"/>
        </w:tblCellMar>
      </w:tblPr>
      <w:tr>
        <w:trPr>
          <w:trHeight w:val="285"/>
        </w:trPr>
        <w:tc>
          <w:tcPr>
            <w:tcW w:w="3440" w:type="dxa"/>
            <w:vAlign w:val="bottom"/>
          </w:tcPr>
          <w:p>
            <w:pPr>
              <w:jc w:val="center"/>
              <w:ind w:right="337"/>
              <w:spacing w:after="0"/>
              <w:rPr>
                <w:sz w:val="20"/>
                <w:szCs w:val="20"/>
                <w:color w:val="auto"/>
              </w:rPr>
            </w:pPr>
            <w:r>
              <w:rPr>
                <w:rFonts w:ascii="Arial" w:cs="Arial" w:eastAsia="Arial" w:hAnsi="Arial"/>
                <w:sz w:val="22"/>
                <w:szCs w:val="22"/>
                <w:b w:val="1"/>
                <w:bCs w:val="1"/>
                <w:color w:val="582C83"/>
                <w:w w:val="97"/>
              </w:rPr>
              <w:t>Jorge S. Mesquita</w:t>
            </w:r>
          </w:p>
        </w:tc>
        <w:tc>
          <w:tcPr>
            <w:tcW w:w="3340" w:type="dxa"/>
            <w:vAlign w:val="bottom"/>
          </w:tcPr>
          <w:p>
            <w:pPr>
              <w:jc w:val="center"/>
              <w:ind w:left="96"/>
              <w:spacing w:after="0"/>
              <w:rPr>
                <w:sz w:val="20"/>
                <w:szCs w:val="20"/>
                <w:color w:val="auto"/>
              </w:rPr>
            </w:pPr>
            <w:r>
              <w:rPr>
                <w:rFonts w:ascii="Arial" w:cs="Arial" w:eastAsia="Arial" w:hAnsi="Arial"/>
                <w:sz w:val="22"/>
                <w:szCs w:val="22"/>
                <w:b w:val="1"/>
                <w:bCs w:val="1"/>
                <w:color w:val="582C83"/>
                <w:w w:val="97"/>
              </w:rPr>
              <w:t>Jane Hamilton Nielsen</w:t>
            </w:r>
          </w:p>
        </w:tc>
        <w:tc>
          <w:tcPr>
            <w:tcW w:w="4020" w:type="dxa"/>
            <w:vAlign w:val="bottom"/>
          </w:tcPr>
          <w:p>
            <w:pPr>
              <w:jc w:val="center"/>
              <w:ind w:left="257"/>
              <w:spacing w:after="0"/>
              <w:rPr>
                <w:sz w:val="20"/>
                <w:szCs w:val="20"/>
                <w:color w:val="auto"/>
              </w:rPr>
            </w:pPr>
            <w:r>
              <w:rPr>
                <w:rFonts w:ascii="Arial" w:cs="Arial" w:eastAsia="Arial" w:hAnsi="Arial"/>
                <w:sz w:val="22"/>
                <w:szCs w:val="22"/>
                <w:b w:val="1"/>
                <w:bCs w:val="1"/>
                <w:color w:val="582C83"/>
                <w:w w:val="97"/>
              </w:rPr>
              <w:t>Christiana S. Shi</w:t>
            </w:r>
          </w:p>
        </w:tc>
      </w:tr>
      <w:tr>
        <w:trPr>
          <w:trHeight w:val="243"/>
        </w:trPr>
        <w:tc>
          <w:tcPr>
            <w:tcW w:w="3440" w:type="dxa"/>
            <w:vAlign w:val="bottom"/>
          </w:tcPr>
          <w:p>
            <w:pPr>
              <w:jc w:val="center"/>
              <w:ind w:right="337"/>
              <w:spacing w:after="0" w:line="243" w:lineRule="exact"/>
              <w:rPr>
                <w:sz w:val="20"/>
                <w:szCs w:val="20"/>
                <w:color w:val="auto"/>
              </w:rPr>
            </w:pPr>
            <w:r>
              <w:rPr>
                <w:rFonts w:ascii="Arial" w:cs="Arial" w:eastAsia="Arial" w:hAnsi="Arial"/>
                <w:sz w:val="22"/>
                <w:szCs w:val="22"/>
                <w:i w:val="1"/>
                <w:iCs w:val="1"/>
                <w:color w:val="auto"/>
                <w:w w:val="97"/>
              </w:rPr>
              <w:t xml:space="preserve">Former Chief Executive </w:t>
            </w:r>
            <w:r>
              <w:rPr>
                <w:rFonts w:ascii="Arial" w:cs="Arial" w:eastAsia="Arial" w:hAnsi="Arial"/>
                <w:sz w:val="22"/>
                <w:szCs w:val="22"/>
                <w:color w:val="auto"/>
                <w:w w:val="97"/>
              </w:rPr>
              <w:t>Officer,</w:t>
            </w:r>
          </w:p>
        </w:tc>
        <w:tc>
          <w:tcPr>
            <w:tcW w:w="3340" w:type="dxa"/>
            <w:vAlign w:val="bottom"/>
          </w:tcPr>
          <w:p>
            <w:pPr>
              <w:jc w:val="center"/>
              <w:ind w:left="36"/>
              <w:spacing w:after="0" w:line="243" w:lineRule="exact"/>
              <w:rPr>
                <w:sz w:val="20"/>
                <w:szCs w:val="20"/>
                <w:color w:val="auto"/>
              </w:rPr>
            </w:pPr>
            <w:r>
              <w:rPr>
                <w:rFonts w:ascii="Arial" w:cs="Arial" w:eastAsia="Arial" w:hAnsi="Arial"/>
                <w:sz w:val="22"/>
                <w:szCs w:val="22"/>
                <w:i w:val="1"/>
                <w:iCs w:val="1"/>
                <w:color w:val="auto"/>
                <w:w w:val="98"/>
              </w:rPr>
              <w:t>Chief Operating Officer and</w:t>
            </w:r>
          </w:p>
        </w:tc>
        <w:tc>
          <w:tcPr>
            <w:tcW w:w="4020" w:type="dxa"/>
            <w:vAlign w:val="bottom"/>
          </w:tcPr>
          <w:p>
            <w:pPr>
              <w:ind w:left="300"/>
              <w:spacing w:after="0" w:line="243" w:lineRule="exact"/>
              <w:rPr>
                <w:sz w:val="20"/>
                <w:szCs w:val="20"/>
                <w:color w:val="auto"/>
              </w:rPr>
            </w:pPr>
            <w:r>
              <w:rPr>
                <w:rFonts w:ascii="Arial" w:cs="Arial" w:eastAsia="Arial" w:hAnsi="Arial"/>
                <w:sz w:val="22"/>
                <w:szCs w:val="22"/>
                <w:i w:val="1"/>
                <w:iCs w:val="1"/>
                <w:color w:val="auto"/>
                <w:w w:val="97"/>
              </w:rPr>
              <w:t>Former President, Direct-to-Consumer,</w:t>
            </w:r>
          </w:p>
        </w:tc>
      </w:tr>
      <w:tr>
        <w:trPr>
          <w:trHeight w:val="256"/>
        </w:trPr>
        <w:tc>
          <w:tcPr>
            <w:tcW w:w="3440" w:type="dxa"/>
            <w:vAlign w:val="bottom"/>
          </w:tcPr>
          <w:p>
            <w:pPr>
              <w:jc w:val="center"/>
              <w:ind w:right="317"/>
              <w:spacing w:after="0"/>
              <w:rPr>
                <w:sz w:val="20"/>
                <w:szCs w:val="20"/>
                <w:color w:val="auto"/>
              </w:rPr>
            </w:pPr>
            <w:r>
              <w:rPr>
                <w:rFonts w:ascii="Arial" w:cs="Arial" w:eastAsia="Arial" w:hAnsi="Arial"/>
                <w:sz w:val="22"/>
                <w:szCs w:val="22"/>
                <w:i w:val="1"/>
                <w:iCs w:val="1"/>
                <w:color w:val="auto"/>
                <w:w w:val="97"/>
              </w:rPr>
              <w:t>BlueTriton Brands, Inc.</w:t>
            </w:r>
          </w:p>
        </w:tc>
        <w:tc>
          <w:tcPr>
            <w:tcW w:w="3340" w:type="dxa"/>
            <w:vAlign w:val="bottom"/>
          </w:tcPr>
          <w:p>
            <w:pPr>
              <w:jc w:val="center"/>
              <w:ind w:left="36"/>
              <w:spacing w:after="0"/>
              <w:rPr>
                <w:sz w:val="20"/>
                <w:szCs w:val="20"/>
                <w:color w:val="auto"/>
              </w:rPr>
            </w:pPr>
            <w:r>
              <w:rPr>
                <w:rFonts w:ascii="Arial" w:cs="Arial" w:eastAsia="Arial" w:hAnsi="Arial"/>
                <w:sz w:val="22"/>
                <w:szCs w:val="22"/>
                <w:i w:val="1"/>
                <w:iCs w:val="1"/>
                <w:color w:val="auto"/>
                <w:w w:val="97"/>
              </w:rPr>
              <w:t>Chief Financial Officer,</w:t>
            </w:r>
          </w:p>
        </w:tc>
        <w:tc>
          <w:tcPr>
            <w:tcW w:w="4020" w:type="dxa"/>
            <w:vAlign w:val="bottom"/>
          </w:tcPr>
          <w:p>
            <w:pPr>
              <w:jc w:val="center"/>
              <w:ind w:left="257"/>
              <w:spacing w:after="0"/>
              <w:rPr>
                <w:sz w:val="20"/>
                <w:szCs w:val="20"/>
                <w:color w:val="auto"/>
              </w:rPr>
            </w:pPr>
            <w:r>
              <w:rPr>
                <w:rFonts w:ascii="Arial" w:cs="Arial" w:eastAsia="Arial" w:hAnsi="Arial"/>
                <w:sz w:val="22"/>
                <w:szCs w:val="22"/>
                <w:i w:val="1"/>
                <w:iCs w:val="1"/>
                <w:color w:val="auto"/>
                <w:w w:val="98"/>
              </w:rPr>
              <w:t>Nike, Inc.</w:t>
            </w:r>
          </w:p>
        </w:tc>
      </w:tr>
      <w:tr>
        <w:trPr>
          <w:trHeight w:val="283"/>
        </w:trPr>
        <w:tc>
          <w:tcPr>
            <w:tcW w:w="3440" w:type="dxa"/>
            <w:vAlign w:val="bottom"/>
          </w:tcPr>
          <w:p>
            <w:pPr>
              <w:jc w:val="center"/>
              <w:ind w:right="317"/>
              <w:spacing w:after="0"/>
              <w:rPr>
                <w:sz w:val="20"/>
                <w:szCs w:val="20"/>
                <w:color w:val="auto"/>
              </w:rPr>
            </w:pPr>
            <w:r>
              <w:rPr>
                <w:rFonts w:ascii="Arial" w:cs="Arial" w:eastAsia="Arial" w:hAnsi="Arial"/>
                <w:sz w:val="22"/>
                <w:szCs w:val="22"/>
                <w:color w:val="auto"/>
                <w:w w:val="97"/>
              </w:rPr>
              <w:t>Age: 60</w:t>
            </w:r>
          </w:p>
        </w:tc>
        <w:tc>
          <w:tcPr>
            <w:tcW w:w="3340" w:type="dxa"/>
            <w:vAlign w:val="bottom"/>
          </w:tcPr>
          <w:p>
            <w:pPr>
              <w:jc w:val="center"/>
              <w:ind w:left="96"/>
              <w:spacing w:after="0"/>
              <w:rPr>
                <w:sz w:val="20"/>
                <w:szCs w:val="20"/>
                <w:color w:val="auto"/>
              </w:rPr>
            </w:pPr>
            <w:r>
              <w:rPr>
                <w:rFonts w:ascii="Arial" w:cs="Arial" w:eastAsia="Arial" w:hAnsi="Arial"/>
                <w:sz w:val="22"/>
                <w:szCs w:val="22"/>
                <w:i w:val="1"/>
                <w:iCs w:val="1"/>
                <w:color w:val="auto"/>
                <w:w w:val="98"/>
              </w:rPr>
              <w:t>Ralph Lauren Corporation</w:t>
            </w:r>
          </w:p>
        </w:tc>
        <w:tc>
          <w:tcPr>
            <w:tcW w:w="4020" w:type="dxa"/>
            <w:vAlign w:val="bottom"/>
          </w:tcPr>
          <w:p>
            <w:pPr>
              <w:jc w:val="center"/>
              <w:ind w:left="257"/>
              <w:spacing w:after="0"/>
              <w:rPr>
                <w:sz w:val="20"/>
                <w:szCs w:val="20"/>
                <w:color w:val="auto"/>
              </w:rPr>
            </w:pPr>
            <w:r>
              <w:rPr>
                <w:rFonts w:ascii="Arial" w:cs="Arial" w:eastAsia="Arial" w:hAnsi="Arial"/>
                <w:sz w:val="22"/>
                <w:szCs w:val="22"/>
                <w:color w:val="auto"/>
                <w:w w:val="97"/>
              </w:rPr>
              <w:t>Age: 62</w:t>
            </w:r>
          </w:p>
        </w:tc>
      </w:tr>
      <w:tr>
        <w:trPr>
          <w:trHeight w:val="284"/>
        </w:trPr>
        <w:tc>
          <w:tcPr>
            <w:tcW w:w="3440" w:type="dxa"/>
            <w:vAlign w:val="bottom"/>
          </w:tcPr>
          <w:p>
            <w:pPr>
              <w:jc w:val="center"/>
              <w:ind w:right="317"/>
              <w:spacing w:after="0"/>
              <w:rPr>
                <w:sz w:val="20"/>
                <w:szCs w:val="20"/>
                <w:color w:val="auto"/>
              </w:rPr>
            </w:pPr>
            <w:r>
              <w:rPr>
                <w:rFonts w:ascii="Arial" w:cs="Arial" w:eastAsia="Arial" w:hAnsi="Arial"/>
                <w:sz w:val="22"/>
                <w:szCs w:val="22"/>
                <w:color w:val="auto"/>
                <w:w w:val="98"/>
              </w:rPr>
              <w:t>Director since 2012</w:t>
            </w:r>
          </w:p>
        </w:tc>
        <w:tc>
          <w:tcPr>
            <w:tcW w:w="3340" w:type="dxa"/>
            <w:vAlign w:val="bottom"/>
          </w:tcPr>
          <w:p>
            <w:pPr>
              <w:jc w:val="center"/>
              <w:ind w:left="96"/>
              <w:spacing w:after="0"/>
              <w:rPr>
                <w:sz w:val="20"/>
                <w:szCs w:val="20"/>
                <w:color w:val="auto"/>
              </w:rPr>
            </w:pPr>
            <w:r>
              <w:rPr>
                <w:rFonts w:ascii="Arial" w:cs="Arial" w:eastAsia="Arial" w:hAnsi="Arial"/>
                <w:sz w:val="22"/>
                <w:szCs w:val="22"/>
                <w:color w:val="auto"/>
                <w:w w:val="97"/>
              </w:rPr>
              <w:t>Age: 57</w:t>
            </w:r>
          </w:p>
        </w:tc>
        <w:tc>
          <w:tcPr>
            <w:tcW w:w="4020" w:type="dxa"/>
            <w:vAlign w:val="bottom"/>
          </w:tcPr>
          <w:p>
            <w:pPr>
              <w:jc w:val="center"/>
              <w:ind w:left="257"/>
              <w:spacing w:after="0"/>
              <w:rPr>
                <w:sz w:val="20"/>
                <w:szCs w:val="20"/>
                <w:color w:val="auto"/>
              </w:rPr>
            </w:pPr>
            <w:r>
              <w:rPr>
                <w:rFonts w:ascii="Arial" w:cs="Arial" w:eastAsia="Arial" w:hAnsi="Arial"/>
                <w:sz w:val="22"/>
                <w:szCs w:val="22"/>
                <w:color w:val="auto"/>
                <w:w w:val="98"/>
              </w:rPr>
              <w:t>Director since 2016</w:t>
            </w:r>
          </w:p>
        </w:tc>
      </w:tr>
      <w:tr>
        <w:trPr>
          <w:trHeight w:val="283"/>
        </w:trPr>
        <w:tc>
          <w:tcPr>
            <w:tcW w:w="3440" w:type="dxa"/>
            <w:vAlign w:val="bottom"/>
          </w:tcPr>
          <w:p>
            <w:pPr>
              <w:jc w:val="center"/>
              <w:ind w:right="337"/>
              <w:spacing w:after="0"/>
              <w:rPr>
                <w:sz w:val="20"/>
                <w:szCs w:val="20"/>
                <w:color w:val="auto"/>
              </w:rPr>
            </w:pPr>
            <w:r>
              <w:rPr>
                <w:rFonts w:ascii="Arial" w:cs="Arial" w:eastAsia="Arial" w:hAnsi="Arial"/>
                <w:sz w:val="22"/>
                <w:szCs w:val="22"/>
                <w:color w:val="auto"/>
                <w:w w:val="98"/>
              </w:rPr>
              <w:t>White/Male</w:t>
            </w:r>
          </w:p>
        </w:tc>
        <w:tc>
          <w:tcPr>
            <w:tcW w:w="3340" w:type="dxa"/>
            <w:vAlign w:val="bottom"/>
          </w:tcPr>
          <w:p>
            <w:pPr>
              <w:jc w:val="center"/>
              <w:ind w:left="96"/>
              <w:spacing w:after="0"/>
              <w:rPr>
                <w:sz w:val="20"/>
                <w:szCs w:val="20"/>
                <w:color w:val="auto"/>
              </w:rPr>
            </w:pPr>
            <w:r>
              <w:rPr>
                <w:rFonts w:ascii="Arial" w:cs="Arial" w:eastAsia="Arial" w:hAnsi="Arial"/>
                <w:sz w:val="22"/>
                <w:szCs w:val="22"/>
                <w:color w:val="auto"/>
                <w:w w:val="98"/>
              </w:rPr>
              <w:t>Director Since 2021</w:t>
            </w:r>
          </w:p>
        </w:tc>
        <w:tc>
          <w:tcPr>
            <w:tcW w:w="4020" w:type="dxa"/>
            <w:vAlign w:val="bottom"/>
          </w:tcPr>
          <w:p>
            <w:pPr>
              <w:jc w:val="center"/>
              <w:ind w:left="257"/>
              <w:spacing w:after="0"/>
              <w:rPr>
                <w:sz w:val="20"/>
                <w:szCs w:val="20"/>
                <w:color w:val="auto"/>
              </w:rPr>
            </w:pPr>
            <w:r>
              <w:rPr>
                <w:rFonts w:ascii="Arial" w:cs="Arial" w:eastAsia="Arial" w:hAnsi="Arial"/>
                <w:sz w:val="22"/>
                <w:szCs w:val="22"/>
                <w:color w:val="auto"/>
                <w:w w:val="98"/>
              </w:rPr>
              <w:t>White/Female</w:t>
            </w:r>
          </w:p>
        </w:tc>
      </w:tr>
      <w:tr>
        <w:trPr>
          <w:trHeight w:val="284"/>
        </w:trPr>
        <w:tc>
          <w:tcPr>
            <w:tcW w:w="3440" w:type="dxa"/>
            <w:vAlign w:val="bottom"/>
          </w:tcPr>
          <w:p>
            <w:pPr>
              <w:jc w:val="center"/>
              <w:ind w:right="317"/>
              <w:spacing w:after="0"/>
              <w:rPr>
                <w:sz w:val="20"/>
                <w:szCs w:val="20"/>
                <w:color w:val="auto"/>
              </w:rPr>
            </w:pPr>
            <w:r>
              <w:rPr>
                <w:rFonts w:ascii="Arial" w:cs="Arial" w:eastAsia="Arial" w:hAnsi="Arial"/>
                <w:sz w:val="15"/>
                <w:szCs w:val="15"/>
                <w:b w:val="1"/>
                <w:bCs w:val="1"/>
                <w:color w:val="582C83"/>
                <w:w w:val="98"/>
              </w:rPr>
              <w:t>INDEPENDENT</w:t>
            </w:r>
          </w:p>
        </w:tc>
        <w:tc>
          <w:tcPr>
            <w:tcW w:w="3340" w:type="dxa"/>
            <w:vAlign w:val="bottom"/>
          </w:tcPr>
          <w:p>
            <w:pPr>
              <w:jc w:val="center"/>
              <w:ind w:left="96"/>
              <w:spacing w:after="0"/>
              <w:rPr>
                <w:sz w:val="20"/>
                <w:szCs w:val="20"/>
                <w:color w:val="auto"/>
              </w:rPr>
            </w:pPr>
            <w:r>
              <w:rPr>
                <w:rFonts w:ascii="Arial" w:cs="Arial" w:eastAsia="Arial" w:hAnsi="Arial"/>
                <w:sz w:val="22"/>
                <w:szCs w:val="22"/>
                <w:color w:val="auto"/>
                <w:w w:val="98"/>
              </w:rPr>
              <w:t>White/Female</w:t>
            </w:r>
          </w:p>
        </w:tc>
        <w:tc>
          <w:tcPr>
            <w:tcW w:w="4020" w:type="dxa"/>
            <w:vAlign w:val="bottom"/>
          </w:tcPr>
          <w:p>
            <w:pPr>
              <w:jc w:val="center"/>
              <w:ind w:left="257"/>
              <w:spacing w:after="0"/>
              <w:rPr>
                <w:sz w:val="20"/>
                <w:szCs w:val="20"/>
                <w:color w:val="auto"/>
              </w:rPr>
            </w:pPr>
            <w:r>
              <w:rPr>
                <w:rFonts w:ascii="Arial" w:cs="Arial" w:eastAsia="Arial" w:hAnsi="Arial"/>
                <w:sz w:val="15"/>
                <w:szCs w:val="15"/>
                <w:b w:val="1"/>
                <w:bCs w:val="1"/>
                <w:color w:val="582C83"/>
                <w:w w:val="98"/>
              </w:rPr>
              <w:t>INDEPENDENT</w:t>
            </w:r>
          </w:p>
        </w:tc>
      </w:tr>
      <w:tr>
        <w:trPr>
          <w:trHeight w:val="203"/>
        </w:trPr>
        <w:tc>
          <w:tcPr>
            <w:tcW w:w="3440" w:type="dxa"/>
            <w:vAlign w:val="bottom"/>
          </w:tcPr>
          <w:p>
            <w:pPr>
              <w:spacing w:after="0"/>
              <w:rPr>
                <w:sz w:val="17"/>
                <w:szCs w:val="17"/>
                <w:color w:val="auto"/>
              </w:rPr>
            </w:pPr>
          </w:p>
        </w:tc>
        <w:tc>
          <w:tcPr>
            <w:tcW w:w="3340" w:type="dxa"/>
            <w:vAlign w:val="bottom"/>
          </w:tcPr>
          <w:p>
            <w:pPr>
              <w:jc w:val="center"/>
              <w:ind w:left="96"/>
              <w:spacing w:after="0"/>
              <w:rPr>
                <w:sz w:val="20"/>
                <w:szCs w:val="20"/>
                <w:color w:val="auto"/>
              </w:rPr>
            </w:pPr>
            <w:r>
              <w:rPr>
                <w:rFonts w:ascii="Arial" w:cs="Arial" w:eastAsia="Arial" w:hAnsi="Arial"/>
                <w:sz w:val="15"/>
                <w:szCs w:val="15"/>
                <w:b w:val="1"/>
                <w:bCs w:val="1"/>
                <w:color w:val="582C83"/>
                <w:w w:val="98"/>
              </w:rPr>
              <w:t>INDEPENDENT</w:t>
            </w:r>
          </w:p>
        </w:tc>
        <w:tc>
          <w:tcPr>
            <w:tcW w:w="4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163195</wp:posOffset>
            </wp:positionV>
            <wp:extent cx="668655" cy="668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163195</wp:posOffset>
            </wp:positionV>
            <wp:extent cx="668655" cy="6686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8655" cy="6686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163195</wp:posOffset>
            </wp:positionV>
            <wp:extent cx="668655" cy="668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380" w:type="dxa"/>
            <w:vAlign w:val="bottom"/>
          </w:tcPr>
          <w:p>
            <w:pPr>
              <w:jc w:val="center"/>
              <w:ind w:right="538"/>
              <w:spacing w:after="0"/>
              <w:rPr>
                <w:sz w:val="20"/>
                <w:szCs w:val="20"/>
                <w:color w:val="auto"/>
              </w:rPr>
            </w:pPr>
            <w:r>
              <w:rPr>
                <w:rFonts w:ascii="Arial" w:cs="Arial" w:eastAsia="Arial" w:hAnsi="Arial"/>
                <w:sz w:val="22"/>
                <w:szCs w:val="22"/>
                <w:b w:val="1"/>
                <w:bCs w:val="1"/>
                <w:color w:val="582C83"/>
                <w:w w:val="97"/>
              </w:rPr>
              <w:t>Patrick T. Siewert</w:t>
            </w:r>
          </w:p>
        </w:tc>
        <w:tc>
          <w:tcPr>
            <w:tcW w:w="2940" w:type="dxa"/>
            <w:vAlign w:val="bottom"/>
          </w:tcPr>
          <w:p>
            <w:pPr>
              <w:jc w:val="center"/>
              <w:ind w:right="457"/>
              <w:spacing w:after="0"/>
              <w:rPr>
                <w:sz w:val="20"/>
                <w:szCs w:val="20"/>
                <w:color w:val="auto"/>
              </w:rPr>
            </w:pPr>
            <w:r>
              <w:rPr>
                <w:rFonts w:ascii="Arial" w:cs="Arial" w:eastAsia="Arial" w:hAnsi="Arial"/>
                <w:sz w:val="22"/>
                <w:szCs w:val="22"/>
                <w:b w:val="1"/>
                <w:bCs w:val="1"/>
                <w:color w:val="582C83"/>
                <w:w w:val="96"/>
              </w:rPr>
              <w:t>Michael A. Todman</w:t>
            </w:r>
          </w:p>
        </w:tc>
        <w:tc>
          <w:tcPr>
            <w:tcW w:w="3340" w:type="dxa"/>
            <w:vAlign w:val="bottom"/>
          </w:tcPr>
          <w:p>
            <w:pPr>
              <w:jc w:val="center"/>
              <w:ind w:left="572"/>
              <w:spacing w:after="0"/>
              <w:rPr>
                <w:sz w:val="20"/>
                <w:szCs w:val="20"/>
                <w:color w:val="auto"/>
              </w:rPr>
            </w:pPr>
            <w:r>
              <w:rPr>
                <w:rFonts w:ascii="Arial" w:cs="Arial" w:eastAsia="Arial" w:hAnsi="Arial"/>
                <w:sz w:val="22"/>
                <w:szCs w:val="22"/>
                <w:b w:val="1"/>
                <w:bCs w:val="1"/>
                <w:color w:val="582C83"/>
                <w:w w:val="97"/>
              </w:rPr>
              <w:t>Dirk Van de Put</w:t>
            </w:r>
          </w:p>
        </w:tc>
      </w:tr>
      <w:tr>
        <w:trPr>
          <w:trHeight w:val="243"/>
        </w:trPr>
        <w:tc>
          <w:tcPr>
            <w:tcW w:w="4380" w:type="dxa"/>
            <w:vAlign w:val="bottom"/>
          </w:tcPr>
          <w:p>
            <w:pPr>
              <w:jc w:val="center"/>
              <w:ind w:right="598"/>
              <w:spacing w:after="0" w:line="243" w:lineRule="exact"/>
              <w:rPr>
                <w:sz w:val="20"/>
                <w:szCs w:val="20"/>
                <w:color w:val="auto"/>
              </w:rPr>
            </w:pPr>
            <w:r>
              <w:rPr>
                <w:rFonts w:ascii="Arial" w:cs="Arial" w:eastAsia="Arial" w:hAnsi="Arial"/>
                <w:sz w:val="22"/>
                <w:szCs w:val="22"/>
                <w:i w:val="1"/>
                <w:iCs w:val="1"/>
                <w:color w:val="auto"/>
                <w:w w:val="97"/>
              </w:rPr>
              <w:t>Managing Director and Partner,</w:t>
            </w:r>
          </w:p>
        </w:tc>
        <w:tc>
          <w:tcPr>
            <w:tcW w:w="2940" w:type="dxa"/>
            <w:vAlign w:val="bottom"/>
          </w:tcPr>
          <w:p>
            <w:pPr>
              <w:jc w:val="center"/>
              <w:ind w:right="517"/>
              <w:spacing w:after="0" w:line="243" w:lineRule="exact"/>
              <w:rPr>
                <w:sz w:val="20"/>
                <w:szCs w:val="20"/>
                <w:color w:val="auto"/>
              </w:rPr>
            </w:pPr>
            <w:r>
              <w:rPr>
                <w:rFonts w:ascii="Arial" w:cs="Arial" w:eastAsia="Arial" w:hAnsi="Arial"/>
                <w:sz w:val="22"/>
                <w:szCs w:val="22"/>
                <w:i w:val="1"/>
                <w:iCs w:val="1"/>
                <w:color w:val="auto"/>
                <w:w w:val="98"/>
              </w:rPr>
              <w:t>Former Vice Chairman,</w:t>
            </w:r>
          </w:p>
        </w:tc>
        <w:tc>
          <w:tcPr>
            <w:tcW w:w="3340" w:type="dxa"/>
            <w:vAlign w:val="bottom"/>
          </w:tcPr>
          <w:p>
            <w:pPr>
              <w:jc w:val="center"/>
              <w:ind w:left="512"/>
              <w:spacing w:after="0" w:line="243" w:lineRule="exact"/>
              <w:rPr>
                <w:sz w:val="20"/>
                <w:szCs w:val="20"/>
                <w:color w:val="auto"/>
              </w:rPr>
            </w:pPr>
            <w:r>
              <w:rPr>
                <w:rFonts w:ascii="Arial" w:cs="Arial" w:eastAsia="Arial" w:hAnsi="Arial"/>
                <w:sz w:val="22"/>
                <w:szCs w:val="22"/>
                <w:i w:val="1"/>
                <w:iCs w:val="1"/>
                <w:color w:val="auto"/>
                <w:w w:val="98"/>
              </w:rPr>
              <w:t>Chairman and</w:t>
            </w:r>
          </w:p>
        </w:tc>
      </w:tr>
      <w:tr>
        <w:trPr>
          <w:trHeight w:val="243"/>
        </w:trPr>
        <w:tc>
          <w:tcPr>
            <w:tcW w:w="4380" w:type="dxa"/>
            <w:vAlign w:val="bottom"/>
          </w:tcPr>
          <w:p>
            <w:pPr>
              <w:jc w:val="center"/>
              <w:ind w:right="558"/>
              <w:spacing w:after="0" w:line="243" w:lineRule="exact"/>
              <w:rPr>
                <w:sz w:val="20"/>
                <w:szCs w:val="20"/>
                <w:color w:val="auto"/>
              </w:rPr>
            </w:pPr>
            <w:r>
              <w:rPr>
                <w:rFonts w:ascii="Arial" w:cs="Arial" w:eastAsia="Arial" w:hAnsi="Arial"/>
                <w:sz w:val="22"/>
                <w:szCs w:val="22"/>
                <w:i w:val="1"/>
                <w:iCs w:val="1"/>
                <w:color w:val="auto"/>
                <w:w w:val="96"/>
              </w:rPr>
              <w:t>The Carlyle Group, L.P.</w:t>
            </w:r>
          </w:p>
        </w:tc>
        <w:tc>
          <w:tcPr>
            <w:tcW w:w="2940" w:type="dxa"/>
            <w:vAlign w:val="bottom"/>
          </w:tcPr>
          <w:p>
            <w:pPr>
              <w:jc w:val="center"/>
              <w:ind w:right="457"/>
              <w:spacing w:after="0" w:line="243" w:lineRule="exact"/>
              <w:rPr>
                <w:sz w:val="20"/>
                <w:szCs w:val="20"/>
                <w:color w:val="auto"/>
              </w:rPr>
            </w:pPr>
            <w:r>
              <w:rPr>
                <w:rFonts w:ascii="Arial" w:cs="Arial" w:eastAsia="Arial" w:hAnsi="Arial"/>
                <w:sz w:val="22"/>
                <w:szCs w:val="22"/>
                <w:i w:val="1"/>
                <w:iCs w:val="1"/>
                <w:color w:val="auto"/>
                <w:w w:val="98"/>
              </w:rPr>
              <w:t>Whirlpool Corporation</w:t>
            </w:r>
          </w:p>
        </w:tc>
        <w:tc>
          <w:tcPr>
            <w:tcW w:w="3340" w:type="dxa"/>
            <w:vAlign w:val="bottom"/>
          </w:tcPr>
          <w:p>
            <w:pPr>
              <w:jc w:val="center"/>
              <w:ind w:left="512"/>
              <w:spacing w:after="0" w:line="243" w:lineRule="exact"/>
              <w:rPr>
                <w:sz w:val="20"/>
                <w:szCs w:val="20"/>
                <w:color w:val="auto"/>
              </w:rPr>
            </w:pPr>
            <w:r>
              <w:rPr>
                <w:rFonts w:ascii="Arial" w:cs="Arial" w:eastAsia="Arial" w:hAnsi="Arial"/>
                <w:sz w:val="22"/>
                <w:szCs w:val="22"/>
                <w:i w:val="1"/>
                <w:iCs w:val="1"/>
                <w:color w:val="auto"/>
                <w:w w:val="97"/>
              </w:rPr>
              <w:t>Chief Executive Officer,</w:t>
            </w:r>
          </w:p>
        </w:tc>
      </w:tr>
      <w:tr>
        <w:trPr>
          <w:trHeight w:val="284"/>
        </w:trPr>
        <w:tc>
          <w:tcPr>
            <w:tcW w:w="4380" w:type="dxa"/>
            <w:vAlign w:val="bottom"/>
          </w:tcPr>
          <w:p>
            <w:pPr>
              <w:jc w:val="center"/>
              <w:ind w:right="538"/>
              <w:spacing w:after="0"/>
              <w:rPr>
                <w:sz w:val="20"/>
                <w:szCs w:val="20"/>
                <w:color w:val="auto"/>
              </w:rPr>
            </w:pPr>
            <w:r>
              <w:rPr>
                <w:rFonts w:ascii="Arial" w:cs="Arial" w:eastAsia="Arial" w:hAnsi="Arial"/>
                <w:sz w:val="22"/>
                <w:szCs w:val="22"/>
                <w:color w:val="auto"/>
                <w:w w:val="97"/>
              </w:rPr>
              <w:t>Age: 66</w:t>
            </w:r>
          </w:p>
        </w:tc>
        <w:tc>
          <w:tcPr>
            <w:tcW w:w="2940" w:type="dxa"/>
            <w:vAlign w:val="bottom"/>
          </w:tcPr>
          <w:p>
            <w:pPr>
              <w:jc w:val="center"/>
              <w:ind w:right="457"/>
              <w:spacing w:after="0"/>
              <w:rPr>
                <w:sz w:val="20"/>
                <w:szCs w:val="20"/>
                <w:color w:val="auto"/>
              </w:rPr>
            </w:pPr>
            <w:r>
              <w:rPr>
                <w:rFonts w:ascii="Arial" w:cs="Arial" w:eastAsia="Arial" w:hAnsi="Arial"/>
                <w:sz w:val="22"/>
                <w:szCs w:val="22"/>
                <w:color w:val="auto"/>
                <w:w w:val="97"/>
              </w:rPr>
              <w:t>Age: 64</w:t>
            </w:r>
          </w:p>
        </w:tc>
        <w:tc>
          <w:tcPr>
            <w:tcW w:w="3340" w:type="dxa"/>
            <w:vAlign w:val="bottom"/>
          </w:tcPr>
          <w:p>
            <w:pPr>
              <w:jc w:val="center"/>
              <w:ind w:left="572"/>
              <w:spacing w:after="0"/>
              <w:rPr>
                <w:sz w:val="20"/>
                <w:szCs w:val="20"/>
                <w:color w:val="auto"/>
              </w:rPr>
            </w:pPr>
            <w:r>
              <w:rPr>
                <w:rFonts w:ascii="Arial" w:cs="Arial" w:eastAsia="Arial" w:hAnsi="Arial"/>
                <w:sz w:val="22"/>
                <w:szCs w:val="22"/>
                <w:i w:val="1"/>
                <w:iCs w:val="1"/>
                <w:color w:val="auto"/>
                <w:w w:val="98"/>
              </w:rPr>
              <w:t>Mondelēz International, Inc.</w:t>
            </w:r>
          </w:p>
        </w:tc>
      </w:tr>
      <w:tr>
        <w:trPr>
          <w:trHeight w:val="283"/>
        </w:trPr>
        <w:tc>
          <w:tcPr>
            <w:tcW w:w="4380" w:type="dxa"/>
            <w:vAlign w:val="bottom"/>
          </w:tcPr>
          <w:p>
            <w:pPr>
              <w:jc w:val="center"/>
              <w:ind w:right="538"/>
              <w:spacing w:after="0"/>
              <w:rPr>
                <w:sz w:val="20"/>
                <w:szCs w:val="20"/>
                <w:color w:val="auto"/>
              </w:rPr>
            </w:pPr>
            <w:r>
              <w:rPr>
                <w:rFonts w:ascii="Arial" w:cs="Arial" w:eastAsia="Arial" w:hAnsi="Arial"/>
                <w:sz w:val="22"/>
                <w:szCs w:val="22"/>
                <w:color w:val="auto"/>
                <w:w w:val="98"/>
              </w:rPr>
              <w:t>Director since 2012</w:t>
            </w:r>
          </w:p>
        </w:tc>
        <w:tc>
          <w:tcPr>
            <w:tcW w:w="2940" w:type="dxa"/>
            <w:vAlign w:val="bottom"/>
          </w:tcPr>
          <w:p>
            <w:pPr>
              <w:jc w:val="center"/>
              <w:ind w:right="457"/>
              <w:spacing w:after="0"/>
              <w:rPr>
                <w:sz w:val="20"/>
                <w:szCs w:val="20"/>
                <w:color w:val="auto"/>
              </w:rPr>
            </w:pPr>
            <w:r>
              <w:rPr>
                <w:rFonts w:ascii="Arial" w:cs="Arial" w:eastAsia="Arial" w:hAnsi="Arial"/>
                <w:sz w:val="22"/>
                <w:szCs w:val="22"/>
                <w:color w:val="auto"/>
                <w:w w:val="98"/>
              </w:rPr>
              <w:t>Director since 2020</w:t>
            </w:r>
          </w:p>
        </w:tc>
        <w:tc>
          <w:tcPr>
            <w:tcW w:w="3340" w:type="dxa"/>
            <w:vAlign w:val="bottom"/>
          </w:tcPr>
          <w:p>
            <w:pPr>
              <w:jc w:val="center"/>
              <w:ind w:left="572"/>
              <w:spacing w:after="0"/>
              <w:rPr>
                <w:sz w:val="20"/>
                <w:szCs w:val="20"/>
                <w:color w:val="auto"/>
              </w:rPr>
            </w:pPr>
            <w:r>
              <w:rPr>
                <w:rFonts w:ascii="Arial" w:cs="Arial" w:eastAsia="Arial" w:hAnsi="Arial"/>
                <w:sz w:val="22"/>
                <w:szCs w:val="22"/>
                <w:color w:val="auto"/>
                <w:w w:val="97"/>
              </w:rPr>
              <w:t>Age: 61</w:t>
            </w:r>
          </w:p>
        </w:tc>
      </w:tr>
      <w:tr>
        <w:trPr>
          <w:trHeight w:val="283"/>
        </w:trPr>
        <w:tc>
          <w:tcPr>
            <w:tcW w:w="4380" w:type="dxa"/>
            <w:vAlign w:val="bottom"/>
          </w:tcPr>
          <w:p>
            <w:pPr>
              <w:jc w:val="center"/>
              <w:ind w:right="558"/>
              <w:spacing w:after="0"/>
              <w:rPr>
                <w:sz w:val="20"/>
                <w:szCs w:val="20"/>
                <w:color w:val="auto"/>
              </w:rPr>
            </w:pPr>
            <w:r>
              <w:rPr>
                <w:rFonts w:ascii="Arial" w:cs="Arial" w:eastAsia="Arial" w:hAnsi="Arial"/>
                <w:sz w:val="22"/>
                <w:szCs w:val="22"/>
                <w:color w:val="auto"/>
                <w:w w:val="98"/>
              </w:rPr>
              <w:t>White/Male</w:t>
            </w:r>
          </w:p>
        </w:tc>
        <w:tc>
          <w:tcPr>
            <w:tcW w:w="2940" w:type="dxa"/>
            <w:vAlign w:val="bottom"/>
          </w:tcPr>
          <w:p>
            <w:pPr>
              <w:jc w:val="center"/>
              <w:ind w:right="457"/>
              <w:spacing w:after="0"/>
              <w:rPr>
                <w:sz w:val="20"/>
                <w:szCs w:val="20"/>
                <w:color w:val="auto"/>
              </w:rPr>
            </w:pPr>
            <w:r>
              <w:rPr>
                <w:rFonts w:ascii="Arial" w:cs="Arial" w:eastAsia="Arial" w:hAnsi="Arial"/>
                <w:sz w:val="22"/>
                <w:szCs w:val="22"/>
                <w:color w:val="auto"/>
                <w:w w:val="98"/>
              </w:rPr>
              <w:t>Black/Male</w:t>
            </w:r>
          </w:p>
        </w:tc>
        <w:tc>
          <w:tcPr>
            <w:tcW w:w="3340" w:type="dxa"/>
            <w:vAlign w:val="bottom"/>
          </w:tcPr>
          <w:p>
            <w:pPr>
              <w:jc w:val="center"/>
              <w:ind w:left="572"/>
              <w:spacing w:after="0"/>
              <w:rPr>
                <w:sz w:val="20"/>
                <w:szCs w:val="20"/>
                <w:color w:val="auto"/>
              </w:rPr>
            </w:pPr>
            <w:r>
              <w:rPr>
                <w:rFonts w:ascii="Arial" w:cs="Arial" w:eastAsia="Arial" w:hAnsi="Arial"/>
                <w:sz w:val="22"/>
                <w:szCs w:val="22"/>
                <w:color w:val="auto"/>
                <w:w w:val="98"/>
              </w:rPr>
              <w:t>Director since 2017</w:t>
            </w:r>
          </w:p>
        </w:tc>
      </w:tr>
      <w:tr>
        <w:trPr>
          <w:trHeight w:val="283"/>
        </w:trPr>
        <w:tc>
          <w:tcPr>
            <w:tcW w:w="4380" w:type="dxa"/>
            <w:vAlign w:val="bottom"/>
          </w:tcPr>
          <w:p>
            <w:pPr>
              <w:jc w:val="center"/>
              <w:ind w:right="538"/>
              <w:spacing w:after="0"/>
              <w:rPr>
                <w:sz w:val="20"/>
                <w:szCs w:val="20"/>
                <w:color w:val="auto"/>
              </w:rPr>
            </w:pPr>
            <w:r>
              <w:rPr>
                <w:rFonts w:ascii="Arial" w:cs="Arial" w:eastAsia="Arial" w:hAnsi="Arial"/>
                <w:sz w:val="15"/>
                <w:szCs w:val="15"/>
                <w:b w:val="1"/>
                <w:bCs w:val="1"/>
                <w:color w:val="582C83"/>
                <w:w w:val="98"/>
              </w:rPr>
              <w:t>INDEPENDENT</w:t>
            </w:r>
          </w:p>
        </w:tc>
        <w:tc>
          <w:tcPr>
            <w:tcW w:w="2940" w:type="dxa"/>
            <w:vAlign w:val="bottom"/>
          </w:tcPr>
          <w:p>
            <w:pPr>
              <w:jc w:val="center"/>
              <w:ind w:right="457"/>
              <w:spacing w:after="0"/>
              <w:rPr>
                <w:sz w:val="20"/>
                <w:szCs w:val="20"/>
                <w:color w:val="auto"/>
              </w:rPr>
            </w:pPr>
            <w:r>
              <w:rPr>
                <w:rFonts w:ascii="Arial" w:cs="Arial" w:eastAsia="Arial" w:hAnsi="Arial"/>
                <w:sz w:val="15"/>
                <w:szCs w:val="15"/>
                <w:b w:val="1"/>
                <w:bCs w:val="1"/>
                <w:color w:val="582C83"/>
                <w:w w:val="98"/>
              </w:rPr>
              <w:t>INDEPENDENT</w:t>
            </w:r>
          </w:p>
        </w:tc>
        <w:tc>
          <w:tcPr>
            <w:tcW w:w="3340" w:type="dxa"/>
            <w:vAlign w:val="bottom"/>
          </w:tcPr>
          <w:p>
            <w:pPr>
              <w:jc w:val="center"/>
              <w:ind w:left="552"/>
              <w:spacing w:after="0"/>
              <w:rPr>
                <w:sz w:val="20"/>
                <w:szCs w:val="20"/>
                <w:color w:val="auto"/>
              </w:rPr>
            </w:pPr>
            <w:r>
              <w:rPr>
                <w:rFonts w:ascii="Arial" w:cs="Arial" w:eastAsia="Arial" w:hAnsi="Arial"/>
                <w:sz w:val="22"/>
                <w:szCs w:val="22"/>
                <w:color w:val="auto"/>
                <w:w w:val="98"/>
              </w:rPr>
              <w:t>White/Male</w:t>
            </w:r>
          </w:p>
        </w:tc>
      </w:tr>
      <w:tr>
        <w:trPr>
          <w:trHeight w:val="542"/>
        </w:trPr>
        <w:tc>
          <w:tcPr>
            <w:tcW w:w="4380" w:type="dxa"/>
            <w:vAlign w:val="bottom"/>
          </w:tcPr>
          <w:p>
            <w:pPr>
              <w:spacing w:after="0"/>
              <w:rPr>
                <w:sz w:val="20"/>
                <w:szCs w:val="20"/>
                <w:color w:val="auto"/>
              </w:rPr>
            </w:pPr>
            <w:r>
              <w:rPr>
                <w:rFonts w:ascii="Arial" w:cs="Arial" w:eastAsia="Arial" w:hAnsi="Arial"/>
                <w:sz w:val="19"/>
                <w:szCs w:val="19"/>
                <w:b w:val="1"/>
                <w:bCs w:val="1"/>
                <w:color w:val="582C83"/>
                <w:w w:val="99"/>
              </w:rPr>
              <w:t>We Value the Diversity of our Director Nominees</w:t>
            </w:r>
          </w:p>
        </w:tc>
        <w:tc>
          <w:tcPr>
            <w:tcW w:w="294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619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Our Governance Framework</w:t>
      </w:r>
    </w:p>
    <w:p>
      <w:pPr>
        <w:spacing w:after="0" w:line="104" w:lineRule="exact"/>
        <w:rPr>
          <w:sz w:val="20"/>
          <w:szCs w:val="20"/>
          <w:color w:val="auto"/>
        </w:rPr>
      </w:pPr>
    </w:p>
    <w:p>
      <w:pPr>
        <w:ind w:right="940"/>
        <w:spacing w:after="0" w:line="288" w:lineRule="auto"/>
        <w:rPr>
          <w:sz w:val="20"/>
          <w:szCs w:val="20"/>
          <w:color w:val="auto"/>
        </w:rPr>
      </w:pPr>
      <w:r>
        <w:rPr>
          <w:rFonts w:ascii="Arial" w:cs="Arial" w:eastAsia="Arial" w:hAnsi="Arial"/>
          <w:sz w:val="24"/>
          <w:szCs w:val="24"/>
          <w:b w:val="1"/>
          <w:bCs w:val="1"/>
          <w:color w:val="582C83"/>
        </w:rPr>
        <w:t>OUR STRONG CORPORATE GOVERNANCE FRAMEWORK PROMOTES THE LONG-TERM INTERESTS OF SHAREHOLDERS AND ACCOUNTABILITY AND TRUST IN THE COMPANY</w:t>
      </w:r>
    </w:p>
    <w:p>
      <w:pPr>
        <w:spacing w:after="0" w:line="1"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Our governance practices and policies enhance the effectiveness and accountability of our Board and promote the Company’s long-term success. Key aspects of our corporate governance framework are highlighted below. You can find additional detail under “Corporate Governance” beginning on page 32, “Compensation Governance” on page 87 and “2023 Annual Meeting of Shareholders” on page 124.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10" w:type="dxa"/>
            <w:vAlign w:val="bottom"/>
            <w:tcBorders>
              <w:bottom w:val="single" w:sz="8" w:color="582C83"/>
            </w:tcBorders>
            <w:gridSpan w:val="2"/>
          </w:tcPr>
          <w:p>
            <w:pPr>
              <w:ind w:left="80"/>
              <w:spacing w:after="0"/>
              <w:rPr>
                <w:sz w:val="20"/>
                <w:szCs w:val="20"/>
                <w:color w:val="auto"/>
              </w:rPr>
            </w:pPr>
            <w:r>
              <w:rPr>
                <w:rFonts w:ascii="Arial" w:cs="Arial" w:eastAsia="Arial" w:hAnsi="Arial"/>
                <w:sz w:val="18"/>
                <w:szCs w:val="18"/>
                <w:b w:val="1"/>
                <w:bCs w:val="1"/>
                <w:color w:val="auto"/>
              </w:rPr>
              <w:t>Key practice or policy</w:t>
            </w:r>
          </w:p>
        </w:tc>
        <w:tc>
          <w:tcPr>
            <w:tcW w:w="5850" w:type="dxa"/>
            <w:vAlign w:val="bottom"/>
            <w:tcBorders>
              <w:bottom w:val="single" w:sz="8" w:color="582C83"/>
            </w:tcBorders>
            <w:gridSpan w:val="2"/>
          </w:tcPr>
          <w:p>
            <w:pPr>
              <w:ind w:left="7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44"/>
        </w:trPr>
        <w:tc>
          <w:tcPr>
            <w:tcW w:w="5410" w:type="dxa"/>
            <w:vAlign w:val="bottom"/>
            <w:gridSpan w:val="2"/>
            <w:shd w:val="clear" w:color="auto" w:fill="EBE6F0"/>
          </w:tcPr>
          <w:p>
            <w:pPr>
              <w:ind w:left="80"/>
              <w:spacing w:after="0"/>
              <w:rPr>
                <w:sz w:val="20"/>
                <w:szCs w:val="20"/>
                <w:color w:val="auto"/>
              </w:rPr>
            </w:pPr>
            <w:r>
              <w:rPr>
                <w:rFonts w:ascii="Arial" w:cs="Arial" w:eastAsia="Arial" w:hAnsi="Arial"/>
                <w:sz w:val="18"/>
                <w:szCs w:val="18"/>
                <w:b w:val="1"/>
                <w:bCs w:val="1"/>
                <w:color w:val="582C83"/>
                <w:w w:val="99"/>
              </w:rPr>
              <w:t xml:space="preserve">Lead Director. </w:t>
            </w:r>
            <w:r>
              <w:rPr>
                <w:rFonts w:ascii="Arial" w:cs="Arial" w:eastAsia="Arial" w:hAnsi="Arial"/>
                <w:sz w:val="18"/>
                <w:szCs w:val="18"/>
                <w:color w:val="000000"/>
                <w:w w:val="99"/>
              </w:rPr>
              <w:t>An independent Lead Director is selected when the</w:t>
            </w:r>
          </w:p>
        </w:tc>
        <w:tc>
          <w:tcPr>
            <w:tcW w:w="5850" w:type="dxa"/>
            <w:vAlign w:val="bottom"/>
            <w:gridSpan w:val="2"/>
            <w:shd w:val="clear" w:color="auto" w:fill="EBE6F0"/>
          </w:tcPr>
          <w:p>
            <w:pPr>
              <w:ind w:left="70"/>
              <w:spacing w:after="0"/>
              <w:rPr>
                <w:sz w:val="20"/>
                <w:szCs w:val="20"/>
                <w:color w:val="auto"/>
              </w:rPr>
            </w:pPr>
            <w:r>
              <w:rPr>
                <w:rFonts w:ascii="Arial" w:cs="Arial" w:eastAsia="Arial" w:hAnsi="Arial"/>
                <w:sz w:val="18"/>
                <w:szCs w:val="18"/>
                <w:color w:val="auto"/>
              </w:rPr>
              <w:t>A highly effective and engaged independent Lead Director:</w:t>
            </w:r>
          </w:p>
        </w:tc>
        <w:tc>
          <w:tcPr>
            <w:tcW w:w="0" w:type="dxa"/>
            <w:vAlign w:val="bottom"/>
          </w:tcPr>
          <w:p>
            <w:pPr>
              <w:spacing w:after="0"/>
              <w:rPr>
                <w:sz w:val="1"/>
                <w:szCs w:val="1"/>
                <w:color w:val="auto"/>
              </w:rPr>
            </w:pPr>
          </w:p>
        </w:tc>
      </w:tr>
      <w:tr>
        <w:trPr>
          <w:trHeight w:val="215"/>
        </w:trPr>
        <w:tc>
          <w:tcPr>
            <w:tcW w:w="5410" w:type="dxa"/>
            <w:vAlign w:val="bottom"/>
            <w:gridSpan w:val="2"/>
            <w:shd w:val="clear" w:color="auto" w:fill="EBE6F0"/>
          </w:tcPr>
          <w:p>
            <w:pPr>
              <w:ind w:left="80"/>
              <w:spacing w:after="0"/>
              <w:rPr>
                <w:sz w:val="20"/>
                <w:szCs w:val="20"/>
                <w:color w:val="auto"/>
              </w:rPr>
            </w:pPr>
            <w:r>
              <w:rPr>
                <w:rFonts w:ascii="Arial" w:cs="Arial" w:eastAsia="Arial" w:hAnsi="Arial"/>
                <w:sz w:val="18"/>
                <w:szCs w:val="18"/>
                <w:color w:val="auto"/>
              </w:rPr>
              <w:t>Chairman is not independent. The Independent Lead Director has</w:t>
            </w:r>
          </w:p>
        </w:tc>
        <w:tc>
          <w:tcPr>
            <w:tcW w:w="190" w:type="dxa"/>
            <w:vAlign w:val="bottom"/>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60" w:type="dxa"/>
            <w:vAlign w:val="bottom"/>
            <w:shd w:val="clear" w:color="auto" w:fill="EBE6F0"/>
          </w:tcPr>
          <w:p>
            <w:pPr>
              <w:ind w:left="40"/>
              <w:spacing w:after="0"/>
              <w:rPr>
                <w:sz w:val="20"/>
                <w:szCs w:val="20"/>
                <w:color w:val="auto"/>
              </w:rPr>
            </w:pPr>
            <w:r>
              <w:rPr>
                <w:rFonts w:ascii="Arial" w:cs="Arial" w:eastAsia="Arial" w:hAnsi="Arial"/>
                <w:sz w:val="18"/>
                <w:szCs w:val="18"/>
                <w:color w:val="auto"/>
              </w:rPr>
              <w:t>enhances independent directors’ input and investors’ perspectives on</w:t>
            </w:r>
          </w:p>
        </w:tc>
        <w:tc>
          <w:tcPr>
            <w:tcW w:w="0" w:type="dxa"/>
            <w:vAlign w:val="bottom"/>
          </w:tcPr>
          <w:p>
            <w:pPr>
              <w:spacing w:after="0"/>
              <w:rPr>
                <w:sz w:val="1"/>
                <w:szCs w:val="1"/>
                <w:color w:val="auto"/>
              </w:rPr>
            </w:pPr>
          </w:p>
        </w:tc>
      </w:tr>
      <w:tr>
        <w:trPr>
          <w:trHeight w:val="230"/>
        </w:trPr>
        <w:tc>
          <w:tcPr>
            <w:tcW w:w="5410" w:type="dxa"/>
            <w:vAlign w:val="bottom"/>
            <w:gridSpan w:val="2"/>
            <w:shd w:val="clear" w:color="auto" w:fill="EBE6F0"/>
          </w:tcPr>
          <w:p>
            <w:pPr>
              <w:ind w:left="80"/>
              <w:spacing w:after="0"/>
              <w:rPr>
                <w:sz w:val="20"/>
                <w:szCs w:val="20"/>
                <w:color w:val="auto"/>
              </w:rPr>
            </w:pPr>
            <w:r>
              <w:rPr>
                <w:rFonts w:ascii="Arial" w:cs="Arial" w:eastAsia="Arial" w:hAnsi="Arial"/>
                <w:sz w:val="18"/>
                <w:szCs w:val="18"/>
                <w:color w:val="auto"/>
              </w:rPr>
              <w:t>substantive responsibilities, which include:</w:t>
            </w:r>
          </w:p>
        </w:tc>
        <w:tc>
          <w:tcPr>
            <w:tcW w:w="190" w:type="dxa"/>
            <w:vAlign w:val="bottom"/>
            <w:shd w:val="clear" w:color="auto" w:fill="EBE6F0"/>
          </w:tcPr>
          <w:p>
            <w:pPr>
              <w:spacing w:after="0"/>
              <w:rPr>
                <w:sz w:val="20"/>
                <w:szCs w:val="20"/>
                <w:color w:val="auto"/>
              </w:rPr>
            </w:pPr>
          </w:p>
        </w:tc>
        <w:tc>
          <w:tcPr>
            <w:tcW w:w="5660" w:type="dxa"/>
            <w:vAlign w:val="bottom"/>
            <w:shd w:val="clear" w:color="auto" w:fill="EBE6F0"/>
          </w:tcPr>
          <w:p>
            <w:pPr>
              <w:ind w:left="60"/>
              <w:spacing w:after="0"/>
              <w:rPr>
                <w:sz w:val="20"/>
                <w:szCs w:val="20"/>
                <w:color w:val="auto"/>
              </w:rPr>
            </w:pPr>
            <w:r>
              <w:rPr>
                <w:rFonts w:ascii="Arial" w:cs="Arial" w:eastAsia="Arial" w:hAnsi="Arial"/>
                <w:sz w:val="18"/>
                <w:szCs w:val="18"/>
                <w:color w:val="auto"/>
              </w:rPr>
              <w:t>agendas and discussions;</w:t>
            </w:r>
          </w:p>
        </w:tc>
        <w:tc>
          <w:tcPr>
            <w:tcW w:w="0" w:type="dxa"/>
            <w:vAlign w:val="bottom"/>
          </w:tcPr>
          <w:p>
            <w:pPr>
              <w:spacing w:after="0"/>
              <w:rPr>
                <w:sz w:val="1"/>
                <w:szCs w:val="1"/>
                <w:color w:val="auto"/>
              </w:rPr>
            </w:pPr>
          </w:p>
        </w:tc>
      </w:tr>
      <w:tr>
        <w:trPr>
          <w:trHeight w:val="203"/>
        </w:trPr>
        <w:tc>
          <w:tcPr>
            <w:tcW w:w="20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572C83"/>
              </w:rPr>
              <w:t>•</w:t>
            </w:r>
          </w:p>
        </w:tc>
        <w:tc>
          <w:tcPr>
            <w:tcW w:w="5210" w:type="dxa"/>
            <w:vAlign w:val="bottom"/>
            <w:shd w:val="clear" w:color="auto" w:fill="EBE6F0"/>
          </w:tcPr>
          <w:p>
            <w:pPr>
              <w:ind w:left="40"/>
              <w:spacing w:after="0" w:line="202" w:lineRule="exact"/>
              <w:rPr>
                <w:sz w:val="20"/>
                <w:szCs w:val="20"/>
                <w:color w:val="auto"/>
              </w:rPr>
            </w:pPr>
            <w:r>
              <w:rPr>
                <w:rFonts w:ascii="Arial" w:cs="Arial" w:eastAsia="Arial" w:hAnsi="Arial"/>
                <w:sz w:val="18"/>
                <w:szCs w:val="18"/>
                <w:color w:val="auto"/>
              </w:rPr>
              <w:t>engages in planning and approval of meeting schedules and</w:t>
            </w:r>
          </w:p>
        </w:tc>
        <w:tc>
          <w:tcPr>
            <w:tcW w:w="190" w:type="dxa"/>
            <w:vAlign w:val="bottom"/>
            <w:vMerge w:val="restart"/>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60" w:type="dxa"/>
            <w:vAlign w:val="bottom"/>
            <w:vMerge w:val="restart"/>
            <w:shd w:val="clear" w:color="auto" w:fill="EBE6F0"/>
          </w:tcPr>
          <w:p>
            <w:pPr>
              <w:ind w:left="40"/>
              <w:spacing w:after="0"/>
              <w:rPr>
                <w:sz w:val="20"/>
                <w:szCs w:val="20"/>
                <w:color w:val="auto"/>
              </w:rPr>
            </w:pPr>
            <w:r>
              <w:rPr>
                <w:rFonts w:ascii="Arial" w:cs="Arial" w:eastAsia="Arial" w:hAnsi="Arial"/>
                <w:sz w:val="18"/>
                <w:szCs w:val="18"/>
                <w:color w:val="auto"/>
              </w:rPr>
              <w:t>fosters candid discussion during regular executive sessions of the</w:t>
            </w:r>
          </w:p>
        </w:tc>
        <w:tc>
          <w:tcPr>
            <w:tcW w:w="0" w:type="dxa"/>
            <w:vAlign w:val="bottom"/>
          </w:tcPr>
          <w:p>
            <w:pPr>
              <w:spacing w:after="0"/>
              <w:rPr>
                <w:sz w:val="1"/>
                <w:szCs w:val="1"/>
                <w:color w:val="auto"/>
              </w:rPr>
            </w:pPr>
          </w:p>
        </w:tc>
      </w:tr>
      <w:tr>
        <w:trPr>
          <w:trHeight w:val="68"/>
        </w:trPr>
        <w:tc>
          <w:tcPr>
            <w:tcW w:w="200" w:type="dxa"/>
            <w:vAlign w:val="bottom"/>
            <w:shd w:val="clear" w:color="auto" w:fill="EBE6F0"/>
          </w:tcPr>
          <w:p>
            <w:pPr>
              <w:spacing w:after="0"/>
              <w:rPr>
                <w:sz w:val="5"/>
                <w:szCs w:val="5"/>
                <w:color w:val="auto"/>
              </w:rPr>
            </w:pPr>
          </w:p>
        </w:tc>
        <w:tc>
          <w:tcPr>
            <w:tcW w:w="521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agendas;</w:t>
            </w:r>
          </w:p>
        </w:tc>
        <w:tc>
          <w:tcPr>
            <w:tcW w:w="190" w:type="dxa"/>
            <w:vAlign w:val="bottom"/>
            <w:vMerge w:val="continue"/>
            <w:shd w:val="clear" w:color="auto" w:fill="EBE6F0"/>
          </w:tcPr>
          <w:p>
            <w:pPr>
              <w:spacing w:after="0"/>
              <w:rPr>
                <w:sz w:val="5"/>
                <w:szCs w:val="5"/>
                <w:color w:val="auto"/>
              </w:rPr>
            </w:pPr>
          </w:p>
        </w:tc>
        <w:tc>
          <w:tcPr>
            <w:tcW w:w="5660" w:type="dxa"/>
            <w:vAlign w:val="bottom"/>
            <w:vMerge w:val="continue"/>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0" w:type="dxa"/>
            <w:vAlign w:val="bottom"/>
            <w:shd w:val="clear" w:color="auto" w:fill="EBE6F0"/>
          </w:tcPr>
          <w:p>
            <w:pPr>
              <w:spacing w:after="0"/>
              <w:rPr>
                <w:sz w:val="14"/>
                <w:szCs w:val="14"/>
                <w:color w:val="auto"/>
              </w:rPr>
            </w:pPr>
          </w:p>
        </w:tc>
        <w:tc>
          <w:tcPr>
            <w:tcW w:w="5210" w:type="dxa"/>
            <w:vAlign w:val="bottom"/>
            <w:vMerge w:val="continue"/>
            <w:shd w:val="clear" w:color="auto" w:fill="EBE6F0"/>
          </w:tcPr>
          <w:p>
            <w:pPr>
              <w:spacing w:after="0"/>
              <w:rPr>
                <w:sz w:val="14"/>
                <w:szCs w:val="14"/>
                <w:color w:val="auto"/>
              </w:rPr>
            </w:pPr>
          </w:p>
        </w:tc>
        <w:tc>
          <w:tcPr>
            <w:tcW w:w="190" w:type="dxa"/>
            <w:vAlign w:val="bottom"/>
            <w:shd w:val="clear" w:color="auto" w:fill="EBE6F0"/>
          </w:tcPr>
          <w:p>
            <w:pPr>
              <w:spacing w:after="0"/>
              <w:rPr>
                <w:sz w:val="14"/>
                <w:szCs w:val="14"/>
                <w:color w:val="auto"/>
              </w:rPr>
            </w:pPr>
          </w:p>
        </w:tc>
        <w:tc>
          <w:tcPr>
            <w:tcW w:w="566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independent directors;</w:t>
            </w:r>
          </w:p>
        </w:tc>
        <w:tc>
          <w:tcPr>
            <w:tcW w:w="0" w:type="dxa"/>
            <w:vAlign w:val="bottom"/>
          </w:tcPr>
          <w:p>
            <w:pPr>
              <w:spacing w:after="0"/>
              <w:rPr>
                <w:sz w:val="1"/>
                <w:szCs w:val="1"/>
                <w:color w:val="auto"/>
              </w:rPr>
            </w:pPr>
          </w:p>
        </w:tc>
      </w:tr>
      <w:tr>
        <w:trPr>
          <w:trHeight w:val="68"/>
        </w:trPr>
        <w:tc>
          <w:tcPr>
            <w:tcW w:w="200" w:type="dxa"/>
            <w:vAlign w:val="bottom"/>
            <w:vMerge w:val="restart"/>
            <w:shd w:val="clear" w:color="auto" w:fill="EBE6F0"/>
          </w:tcPr>
          <w:p>
            <w:pPr>
              <w:ind w:left="80"/>
              <w:spacing w:after="0"/>
              <w:rPr>
                <w:sz w:val="20"/>
                <w:szCs w:val="20"/>
                <w:color w:val="auto"/>
              </w:rPr>
            </w:pPr>
            <w:r>
              <w:rPr>
                <w:rFonts w:ascii="Arial" w:cs="Arial" w:eastAsia="Arial" w:hAnsi="Arial"/>
                <w:sz w:val="18"/>
                <w:szCs w:val="18"/>
                <w:color w:val="572C83"/>
              </w:rPr>
              <w:t>•</w:t>
            </w:r>
          </w:p>
        </w:tc>
        <w:tc>
          <w:tcPr>
            <w:tcW w:w="5210" w:type="dxa"/>
            <w:vAlign w:val="bottom"/>
            <w:vMerge w:val="restart"/>
            <w:shd w:val="clear" w:color="auto" w:fill="EBE6F0"/>
          </w:tcPr>
          <w:p>
            <w:pPr>
              <w:ind w:left="40"/>
              <w:spacing w:after="0"/>
              <w:rPr>
                <w:sz w:val="20"/>
                <w:szCs w:val="20"/>
                <w:color w:val="auto"/>
              </w:rPr>
            </w:pPr>
            <w:r>
              <w:rPr>
                <w:rFonts w:ascii="Arial" w:cs="Arial" w:eastAsia="Arial" w:hAnsi="Arial"/>
                <w:sz w:val="18"/>
                <w:szCs w:val="18"/>
                <w:color w:val="auto"/>
              </w:rPr>
              <w:t>presides over the Board at which the Chairman and CEO is not</w:t>
            </w:r>
          </w:p>
        </w:tc>
        <w:tc>
          <w:tcPr>
            <w:tcW w:w="190" w:type="dxa"/>
            <w:vAlign w:val="bottom"/>
            <w:shd w:val="clear" w:color="auto" w:fill="EBE6F0"/>
          </w:tcPr>
          <w:p>
            <w:pPr>
              <w:spacing w:after="0"/>
              <w:rPr>
                <w:sz w:val="5"/>
                <w:szCs w:val="5"/>
                <w:color w:val="auto"/>
              </w:rPr>
            </w:pPr>
          </w:p>
        </w:tc>
        <w:tc>
          <w:tcPr>
            <w:tcW w:w="5660" w:type="dxa"/>
            <w:vAlign w:val="bottom"/>
            <w:vMerge w:val="continue"/>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0" w:type="dxa"/>
            <w:vAlign w:val="bottom"/>
            <w:vMerge w:val="continue"/>
            <w:shd w:val="clear" w:color="auto" w:fill="EBE6F0"/>
          </w:tcPr>
          <w:p>
            <w:pPr>
              <w:spacing w:after="0"/>
              <w:rPr>
                <w:sz w:val="15"/>
                <w:szCs w:val="15"/>
                <w:color w:val="auto"/>
              </w:rPr>
            </w:pPr>
          </w:p>
        </w:tc>
        <w:tc>
          <w:tcPr>
            <w:tcW w:w="5210" w:type="dxa"/>
            <w:vAlign w:val="bottom"/>
            <w:vMerge w:val="continue"/>
            <w:shd w:val="clear" w:color="auto" w:fill="EBE6F0"/>
          </w:tcPr>
          <w:p>
            <w:pPr>
              <w:spacing w:after="0"/>
              <w:rPr>
                <w:sz w:val="15"/>
                <w:szCs w:val="15"/>
                <w:color w:val="auto"/>
              </w:rPr>
            </w:pPr>
          </w:p>
        </w:tc>
        <w:tc>
          <w:tcPr>
            <w:tcW w:w="190" w:type="dxa"/>
            <w:vAlign w:val="bottom"/>
            <w:vMerge w:val="restart"/>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60" w:type="dxa"/>
            <w:vAlign w:val="bottom"/>
            <w:vMerge w:val="restart"/>
            <w:shd w:val="clear" w:color="auto" w:fill="EBE6F0"/>
          </w:tcPr>
          <w:p>
            <w:pPr>
              <w:ind w:left="40"/>
              <w:spacing w:after="0"/>
              <w:rPr>
                <w:sz w:val="20"/>
                <w:szCs w:val="20"/>
                <w:color w:val="auto"/>
              </w:rPr>
            </w:pPr>
            <w:r>
              <w:rPr>
                <w:rFonts w:ascii="Arial" w:cs="Arial" w:eastAsia="Arial" w:hAnsi="Arial"/>
                <w:sz w:val="18"/>
                <w:szCs w:val="18"/>
                <w:color w:val="auto"/>
              </w:rPr>
              <w:t>serves as a liaison between the independent directors and the</w:t>
            </w:r>
          </w:p>
        </w:tc>
        <w:tc>
          <w:tcPr>
            <w:tcW w:w="0" w:type="dxa"/>
            <w:vAlign w:val="bottom"/>
          </w:tcPr>
          <w:p>
            <w:pPr>
              <w:spacing w:after="0"/>
              <w:rPr>
                <w:sz w:val="1"/>
                <w:szCs w:val="1"/>
                <w:color w:val="auto"/>
              </w:rPr>
            </w:pPr>
          </w:p>
        </w:tc>
      </w:tr>
      <w:tr>
        <w:trPr>
          <w:trHeight w:val="68"/>
        </w:trPr>
        <w:tc>
          <w:tcPr>
            <w:tcW w:w="200" w:type="dxa"/>
            <w:vAlign w:val="bottom"/>
            <w:shd w:val="clear" w:color="auto" w:fill="EBE6F0"/>
          </w:tcPr>
          <w:p>
            <w:pPr>
              <w:spacing w:after="0"/>
              <w:rPr>
                <w:sz w:val="5"/>
                <w:szCs w:val="5"/>
                <w:color w:val="auto"/>
              </w:rPr>
            </w:pPr>
          </w:p>
        </w:tc>
        <w:tc>
          <w:tcPr>
            <w:tcW w:w="5210" w:type="dxa"/>
            <w:vAlign w:val="bottom"/>
            <w:vMerge w:val="restart"/>
            <w:shd w:val="clear" w:color="auto" w:fill="EBE6F0"/>
          </w:tcPr>
          <w:p>
            <w:pPr>
              <w:ind w:left="60"/>
              <w:spacing w:after="0" w:line="202" w:lineRule="exact"/>
              <w:rPr>
                <w:sz w:val="20"/>
                <w:szCs w:val="20"/>
                <w:color w:val="auto"/>
              </w:rPr>
            </w:pPr>
            <w:r>
              <w:rPr>
                <w:rFonts w:ascii="Arial" w:cs="Arial" w:eastAsia="Arial" w:hAnsi="Arial"/>
                <w:sz w:val="18"/>
                <w:szCs w:val="18"/>
                <w:color w:val="auto"/>
              </w:rPr>
              <w:t>present, including frequent executive sessions of independent</w:t>
            </w:r>
          </w:p>
        </w:tc>
        <w:tc>
          <w:tcPr>
            <w:tcW w:w="190" w:type="dxa"/>
            <w:vAlign w:val="bottom"/>
            <w:vMerge w:val="continue"/>
            <w:shd w:val="clear" w:color="auto" w:fill="EBE6F0"/>
          </w:tcPr>
          <w:p>
            <w:pPr>
              <w:spacing w:after="0"/>
              <w:rPr>
                <w:sz w:val="5"/>
                <w:szCs w:val="5"/>
                <w:color w:val="auto"/>
              </w:rPr>
            </w:pPr>
          </w:p>
        </w:tc>
        <w:tc>
          <w:tcPr>
            <w:tcW w:w="5660" w:type="dxa"/>
            <w:vAlign w:val="bottom"/>
            <w:vMerge w:val="continue"/>
            <w:shd w:val="clear" w:color="auto" w:fill="EBE6F0"/>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EBE6F0"/>
          </w:tcPr>
          <w:p>
            <w:pPr>
              <w:spacing w:after="0"/>
              <w:rPr>
                <w:sz w:val="11"/>
                <w:szCs w:val="11"/>
                <w:color w:val="auto"/>
              </w:rPr>
            </w:pPr>
          </w:p>
        </w:tc>
        <w:tc>
          <w:tcPr>
            <w:tcW w:w="5210" w:type="dxa"/>
            <w:vAlign w:val="bottom"/>
            <w:vMerge w:val="continue"/>
            <w:shd w:val="clear" w:color="auto" w:fill="EBE6F0"/>
          </w:tcPr>
          <w:p>
            <w:pPr>
              <w:spacing w:after="0"/>
              <w:rPr>
                <w:sz w:val="11"/>
                <w:szCs w:val="11"/>
                <w:color w:val="auto"/>
              </w:rPr>
            </w:pPr>
          </w:p>
        </w:tc>
        <w:tc>
          <w:tcPr>
            <w:tcW w:w="190" w:type="dxa"/>
            <w:vAlign w:val="bottom"/>
            <w:shd w:val="clear" w:color="auto" w:fill="EBE6F0"/>
          </w:tcPr>
          <w:p>
            <w:pPr>
              <w:spacing w:after="0"/>
              <w:rPr>
                <w:sz w:val="11"/>
                <w:szCs w:val="11"/>
                <w:color w:val="auto"/>
              </w:rPr>
            </w:pPr>
          </w:p>
        </w:tc>
        <w:tc>
          <w:tcPr>
            <w:tcW w:w="566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Chairman and CEO;</w:t>
            </w:r>
          </w:p>
        </w:tc>
        <w:tc>
          <w:tcPr>
            <w:tcW w:w="0" w:type="dxa"/>
            <w:vAlign w:val="bottom"/>
          </w:tcPr>
          <w:p>
            <w:pPr>
              <w:spacing w:after="0"/>
              <w:rPr>
                <w:sz w:val="1"/>
                <w:szCs w:val="1"/>
                <w:color w:val="auto"/>
              </w:rPr>
            </w:pPr>
          </w:p>
        </w:tc>
      </w:tr>
      <w:tr>
        <w:trPr>
          <w:trHeight w:val="96"/>
        </w:trPr>
        <w:tc>
          <w:tcPr>
            <w:tcW w:w="200" w:type="dxa"/>
            <w:vAlign w:val="bottom"/>
            <w:shd w:val="clear" w:color="auto" w:fill="EBE6F0"/>
          </w:tcPr>
          <w:p>
            <w:pPr>
              <w:spacing w:after="0"/>
              <w:rPr>
                <w:sz w:val="8"/>
                <w:szCs w:val="8"/>
                <w:color w:val="auto"/>
              </w:rPr>
            </w:pPr>
          </w:p>
        </w:tc>
        <w:tc>
          <w:tcPr>
            <w:tcW w:w="521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directors;</w:t>
            </w:r>
          </w:p>
        </w:tc>
        <w:tc>
          <w:tcPr>
            <w:tcW w:w="190" w:type="dxa"/>
            <w:vAlign w:val="bottom"/>
            <w:shd w:val="clear" w:color="auto" w:fill="EBE6F0"/>
          </w:tcPr>
          <w:p>
            <w:pPr>
              <w:spacing w:after="0"/>
              <w:rPr>
                <w:sz w:val="8"/>
                <w:szCs w:val="8"/>
                <w:color w:val="auto"/>
              </w:rPr>
            </w:pPr>
          </w:p>
        </w:tc>
        <w:tc>
          <w:tcPr>
            <w:tcW w:w="5660" w:type="dxa"/>
            <w:vAlign w:val="bottom"/>
            <w:vMerge w:val="continue"/>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EBE6F0"/>
          </w:tcPr>
          <w:p>
            <w:pPr>
              <w:spacing w:after="0"/>
              <w:rPr>
                <w:sz w:val="11"/>
                <w:szCs w:val="11"/>
                <w:color w:val="auto"/>
              </w:rPr>
            </w:pPr>
          </w:p>
        </w:tc>
        <w:tc>
          <w:tcPr>
            <w:tcW w:w="5210" w:type="dxa"/>
            <w:vAlign w:val="bottom"/>
            <w:vMerge w:val="continue"/>
            <w:shd w:val="clear" w:color="auto" w:fill="EBE6F0"/>
          </w:tcPr>
          <w:p>
            <w:pPr>
              <w:spacing w:after="0"/>
              <w:rPr>
                <w:sz w:val="11"/>
                <w:szCs w:val="11"/>
                <w:color w:val="auto"/>
              </w:rPr>
            </w:pPr>
          </w:p>
        </w:tc>
        <w:tc>
          <w:tcPr>
            <w:tcW w:w="190" w:type="dxa"/>
            <w:vAlign w:val="bottom"/>
            <w:vMerge w:val="restart"/>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60" w:type="dxa"/>
            <w:vAlign w:val="bottom"/>
            <w:vMerge w:val="restart"/>
            <w:shd w:val="clear" w:color="auto" w:fill="EBE6F0"/>
          </w:tcPr>
          <w:p>
            <w:pPr>
              <w:ind w:left="40"/>
              <w:spacing w:after="0"/>
              <w:rPr>
                <w:sz w:val="20"/>
                <w:szCs w:val="20"/>
                <w:color w:val="auto"/>
              </w:rPr>
            </w:pPr>
            <w:r>
              <w:rPr>
                <w:rFonts w:ascii="Arial" w:cs="Arial" w:eastAsia="Arial" w:hAnsi="Arial"/>
                <w:sz w:val="18"/>
                <w:szCs w:val="18"/>
                <w:color w:val="auto"/>
              </w:rPr>
              <w:t>facilitates effective communication and interaction between the Board</w:t>
            </w:r>
          </w:p>
        </w:tc>
        <w:tc>
          <w:tcPr>
            <w:tcW w:w="0" w:type="dxa"/>
            <w:vAlign w:val="bottom"/>
          </w:tcPr>
          <w:p>
            <w:pPr>
              <w:spacing w:after="0"/>
              <w:rPr>
                <w:sz w:val="1"/>
                <w:szCs w:val="1"/>
                <w:color w:val="auto"/>
              </w:rPr>
            </w:pPr>
          </w:p>
        </w:tc>
      </w:tr>
      <w:tr>
        <w:trPr>
          <w:trHeight w:val="214"/>
        </w:trPr>
        <w:tc>
          <w:tcPr>
            <w:tcW w:w="200" w:type="dxa"/>
            <w:vAlign w:val="bottom"/>
            <w:shd w:val="clear" w:color="auto" w:fill="EBE6F0"/>
          </w:tcPr>
          <w:p>
            <w:pPr>
              <w:ind w:left="80"/>
              <w:spacing w:after="0"/>
              <w:rPr>
                <w:sz w:val="20"/>
                <w:szCs w:val="20"/>
                <w:color w:val="auto"/>
              </w:rPr>
            </w:pPr>
            <w:r>
              <w:rPr>
                <w:rFonts w:ascii="Arial" w:cs="Arial" w:eastAsia="Arial" w:hAnsi="Arial"/>
                <w:sz w:val="18"/>
                <w:szCs w:val="18"/>
                <w:color w:val="572C83"/>
              </w:rPr>
              <w:t>•</w:t>
            </w:r>
          </w:p>
        </w:tc>
        <w:tc>
          <w:tcPr>
            <w:tcW w:w="5210" w:type="dxa"/>
            <w:vAlign w:val="bottom"/>
            <w:shd w:val="clear" w:color="auto" w:fill="EBE6F0"/>
          </w:tcPr>
          <w:p>
            <w:pPr>
              <w:ind w:left="40"/>
              <w:spacing w:after="0"/>
              <w:rPr>
                <w:sz w:val="20"/>
                <w:szCs w:val="20"/>
                <w:color w:val="auto"/>
              </w:rPr>
            </w:pPr>
            <w:r>
              <w:rPr>
                <w:rFonts w:ascii="Arial" w:cs="Arial" w:eastAsia="Arial" w:hAnsi="Arial"/>
                <w:sz w:val="18"/>
                <w:szCs w:val="18"/>
                <w:color w:val="auto"/>
                <w:w w:val="98"/>
              </w:rPr>
              <w:t>conducts the annual Board, committee and individual director self-</w:t>
            </w:r>
          </w:p>
        </w:tc>
        <w:tc>
          <w:tcPr>
            <w:tcW w:w="190" w:type="dxa"/>
            <w:vAlign w:val="bottom"/>
            <w:vMerge w:val="continue"/>
            <w:shd w:val="clear" w:color="auto" w:fill="EBE6F0"/>
          </w:tcPr>
          <w:p>
            <w:pPr>
              <w:spacing w:after="0"/>
              <w:rPr>
                <w:sz w:val="18"/>
                <w:szCs w:val="18"/>
                <w:color w:val="auto"/>
              </w:rPr>
            </w:pPr>
          </w:p>
        </w:tc>
        <w:tc>
          <w:tcPr>
            <w:tcW w:w="5660" w:type="dxa"/>
            <w:vAlign w:val="bottom"/>
            <w:vMerge w:val="continue"/>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0" w:type="dxa"/>
            <w:vAlign w:val="bottom"/>
            <w:shd w:val="clear" w:color="auto" w:fill="EBE6F0"/>
          </w:tcPr>
          <w:p>
            <w:pPr>
              <w:spacing w:after="0"/>
              <w:rPr>
                <w:sz w:val="14"/>
                <w:szCs w:val="14"/>
                <w:color w:val="auto"/>
              </w:rPr>
            </w:pPr>
          </w:p>
        </w:tc>
        <w:tc>
          <w:tcPr>
            <w:tcW w:w="521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evaluation process;</w:t>
            </w:r>
          </w:p>
        </w:tc>
        <w:tc>
          <w:tcPr>
            <w:tcW w:w="190" w:type="dxa"/>
            <w:vAlign w:val="bottom"/>
            <w:shd w:val="clear" w:color="auto" w:fill="EBE6F0"/>
          </w:tcPr>
          <w:p>
            <w:pPr>
              <w:spacing w:after="0"/>
              <w:rPr>
                <w:sz w:val="14"/>
                <w:szCs w:val="14"/>
                <w:color w:val="auto"/>
              </w:rPr>
            </w:pPr>
          </w:p>
        </w:tc>
        <w:tc>
          <w:tcPr>
            <w:tcW w:w="5660" w:type="dxa"/>
            <w:vAlign w:val="bottom"/>
            <w:shd w:val="clear" w:color="auto" w:fill="EBE6F0"/>
          </w:tcPr>
          <w:p>
            <w:pPr>
              <w:ind w:left="60"/>
              <w:spacing w:after="0" w:line="163" w:lineRule="exact"/>
              <w:rPr>
                <w:sz w:val="20"/>
                <w:szCs w:val="20"/>
                <w:color w:val="auto"/>
              </w:rPr>
            </w:pPr>
            <w:r>
              <w:rPr>
                <w:rFonts w:ascii="Arial" w:cs="Arial" w:eastAsia="Arial" w:hAnsi="Arial"/>
                <w:sz w:val="18"/>
                <w:szCs w:val="18"/>
                <w:color w:val="auto"/>
              </w:rPr>
              <w:t>and management; and</w:t>
            </w:r>
          </w:p>
        </w:tc>
        <w:tc>
          <w:tcPr>
            <w:tcW w:w="0" w:type="dxa"/>
            <w:vAlign w:val="bottom"/>
          </w:tcPr>
          <w:p>
            <w:pPr>
              <w:spacing w:after="0"/>
              <w:rPr>
                <w:sz w:val="1"/>
                <w:szCs w:val="1"/>
                <w:color w:val="auto"/>
              </w:rPr>
            </w:pPr>
          </w:p>
        </w:tc>
      </w:tr>
      <w:tr>
        <w:trPr>
          <w:trHeight w:val="96"/>
        </w:trPr>
        <w:tc>
          <w:tcPr>
            <w:tcW w:w="200" w:type="dxa"/>
            <w:vAlign w:val="bottom"/>
            <w:shd w:val="clear" w:color="auto" w:fill="EBE6F0"/>
          </w:tcPr>
          <w:p>
            <w:pPr>
              <w:spacing w:after="0"/>
              <w:rPr>
                <w:sz w:val="8"/>
                <w:szCs w:val="8"/>
                <w:color w:val="auto"/>
              </w:rPr>
            </w:pPr>
          </w:p>
        </w:tc>
        <w:tc>
          <w:tcPr>
            <w:tcW w:w="5210" w:type="dxa"/>
            <w:vAlign w:val="bottom"/>
            <w:vMerge w:val="continue"/>
            <w:shd w:val="clear" w:color="auto" w:fill="EBE6F0"/>
          </w:tcPr>
          <w:p>
            <w:pPr>
              <w:spacing w:after="0"/>
              <w:rPr>
                <w:sz w:val="8"/>
                <w:szCs w:val="8"/>
                <w:color w:val="auto"/>
              </w:rPr>
            </w:pPr>
          </w:p>
        </w:tc>
        <w:tc>
          <w:tcPr>
            <w:tcW w:w="190" w:type="dxa"/>
            <w:vAlign w:val="bottom"/>
            <w:vMerge w:val="restart"/>
            <w:shd w:val="clear" w:color="auto" w:fill="EBE6F0"/>
          </w:tcPr>
          <w:p>
            <w:pPr>
              <w:ind w:left="70"/>
              <w:spacing w:after="0" w:line="202" w:lineRule="exact"/>
              <w:rPr>
                <w:sz w:val="20"/>
                <w:szCs w:val="20"/>
                <w:color w:val="auto"/>
              </w:rPr>
            </w:pPr>
            <w:r>
              <w:rPr>
                <w:rFonts w:ascii="Arial" w:cs="Arial" w:eastAsia="Arial" w:hAnsi="Arial"/>
                <w:sz w:val="18"/>
                <w:szCs w:val="18"/>
                <w:color w:val="572C83"/>
              </w:rPr>
              <w:t>•</w:t>
            </w:r>
          </w:p>
        </w:tc>
        <w:tc>
          <w:tcPr>
            <w:tcW w:w="5660" w:type="dxa"/>
            <w:vAlign w:val="bottom"/>
            <w:vMerge w:val="restart"/>
            <w:shd w:val="clear" w:color="auto" w:fill="EBE6F0"/>
          </w:tcPr>
          <w:p>
            <w:pPr>
              <w:ind w:left="40"/>
              <w:spacing w:after="0" w:line="202" w:lineRule="exact"/>
              <w:rPr>
                <w:sz w:val="20"/>
                <w:szCs w:val="20"/>
                <w:color w:val="auto"/>
              </w:rPr>
            </w:pPr>
            <w:r>
              <w:rPr>
                <w:rFonts w:ascii="Arial" w:cs="Arial" w:eastAsia="Arial" w:hAnsi="Arial"/>
                <w:sz w:val="18"/>
                <w:szCs w:val="18"/>
                <w:color w:val="auto"/>
                <w:w w:val="98"/>
              </w:rPr>
              <w:t>provides feedback to management regarding the Board’s concerns and</w:t>
            </w:r>
          </w:p>
        </w:tc>
        <w:tc>
          <w:tcPr>
            <w:tcW w:w="0" w:type="dxa"/>
            <w:vAlign w:val="bottom"/>
          </w:tcPr>
          <w:p>
            <w:pPr>
              <w:spacing w:after="0"/>
              <w:rPr>
                <w:sz w:val="1"/>
                <w:szCs w:val="1"/>
                <w:color w:val="auto"/>
              </w:rPr>
            </w:pPr>
          </w:p>
        </w:tc>
      </w:tr>
      <w:tr>
        <w:trPr>
          <w:trHeight w:val="107"/>
        </w:trPr>
        <w:tc>
          <w:tcPr>
            <w:tcW w:w="200" w:type="dxa"/>
            <w:vAlign w:val="bottom"/>
            <w:vMerge w:val="restart"/>
            <w:shd w:val="clear" w:color="auto" w:fill="EBE6F0"/>
          </w:tcPr>
          <w:p>
            <w:pPr>
              <w:ind w:left="80"/>
              <w:spacing w:after="0"/>
              <w:rPr>
                <w:sz w:val="20"/>
                <w:szCs w:val="20"/>
                <w:color w:val="auto"/>
              </w:rPr>
            </w:pPr>
            <w:r>
              <w:rPr>
                <w:rFonts w:ascii="Arial" w:cs="Arial" w:eastAsia="Arial" w:hAnsi="Arial"/>
                <w:sz w:val="18"/>
                <w:szCs w:val="18"/>
                <w:color w:val="572C83"/>
              </w:rPr>
              <w:t>•</w:t>
            </w:r>
          </w:p>
        </w:tc>
        <w:tc>
          <w:tcPr>
            <w:tcW w:w="5210" w:type="dxa"/>
            <w:vAlign w:val="bottom"/>
            <w:vMerge w:val="restart"/>
            <w:shd w:val="clear" w:color="auto" w:fill="EBE6F0"/>
          </w:tcPr>
          <w:p>
            <w:pPr>
              <w:ind w:left="40"/>
              <w:spacing w:after="0"/>
              <w:rPr>
                <w:sz w:val="20"/>
                <w:szCs w:val="20"/>
                <w:color w:val="auto"/>
              </w:rPr>
            </w:pPr>
            <w:r>
              <w:rPr>
                <w:rFonts w:ascii="Arial" w:cs="Arial" w:eastAsia="Arial" w:hAnsi="Arial"/>
                <w:sz w:val="18"/>
                <w:szCs w:val="18"/>
                <w:color w:val="auto"/>
              </w:rPr>
              <w:t>helps develop recommendations for committee structure,</w:t>
            </w:r>
          </w:p>
        </w:tc>
        <w:tc>
          <w:tcPr>
            <w:tcW w:w="190" w:type="dxa"/>
            <w:vAlign w:val="bottom"/>
            <w:vMerge w:val="continue"/>
            <w:shd w:val="clear" w:color="auto" w:fill="EBE6F0"/>
          </w:tcPr>
          <w:p>
            <w:pPr>
              <w:spacing w:after="0"/>
              <w:rPr>
                <w:sz w:val="9"/>
                <w:szCs w:val="9"/>
                <w:color w:val="auto"/>
              </w:rPr>
            </w:pPr>
          </w:p>
        </w:tc>
        <w:tc>
          <w:tcPr>
            <w:tcW w:w="5660" w:type="dxa"/>
            <w:vAlign w:val="bottom"/>
            <w:vMerge w:val="continue"/>
            <w:shd w:val="clear" w:color="auto" w:fill="EBE6F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shd w:val="clear" w:color="auto" w:fill="EBE6F0"/>
          </w:tcPr>
          <w:p>
            <w:pPr>
              <w:spacing w:after="0"/>
              <w:rPr>
                <w:sz w:val="11"/>
                <w:szCs w:val="11"/>
                <w:color w:val="auto"/>
              </w:rPr>
            </w:pPr>
          </w:p>
        </w:tc>
        <w:tc>
          <w:tcPr>
            <w:tcW w:w="5210" w:type="dxa"/>
            <w:vAlign w:val="bottom"/>
            <w:vMerge w:val="continue"/>
            <w:shd w:val="clear" w:color="auto" w:fill="EBE6F0"/>
          </w:tcPr>
          <w:p>
            <w:pPr>
              <w:spacing w:after="0"/>
              <w:rPr>
                <w:sz w:val="11"/>
                <w:szCs w:val="11"/>
                <w:color w:val="auto"/>
              </w:rPr>
            </w:pPr>
          </w:p>
        </w:tc>
        <w:tc>
          <w:tcPr>
            <w:tcW w:w="190" w:type="dxa"/>
            <w:vAlign w:val="bottom"/>
            <w:shd w:val="clear" w:color="auto" w:fill="EBE6F0"/>
          </w:tcPr>
          <w:p>
            <w:pPr>
              <w:spacing w:after="0"/>
              <w:rPr>
                <w:sz w:val="11"/>
                <w:szCs w:val="11"/>
                <w:color w:val="auto"/>
              </w:rPr>
            </w:pPr>
          </w:p>
        </w:tc>
        <w:tc>
          <w:tcPr>
            <w:tcW w:w="566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information needs.</w:t>
            </w:r>
          </w:p>
        </w:tc>
        <w:tc>
          <w:tcPr>
            <w:tcW w:w="0" w:type="dxa"/>
            <w:vAlign w:val="bottom"/>
          </w:tcPr>
          <w:p>
            <w:pPr>
              <w:spacing w:after="0"/>
              <w:rPr>
                <w:sz w:val="1"/>
                <w:szCs w:val="1"/>
                <w:color w:val="auto"/>
              </w:rPr>
            </w:pPr>
          </w:p>
        </w:tc>
      </w:tr>
      <w:tr>
        <w:trPr>
          <w:trHeight w:val="96"/>
        </w:trPr>
        <w:tc>
          <w:tcPr>
            <w:tcW w:w="200" w:type="dxa"/>
            <w:vAlign w:val="bottom"/>
            <w:shd w:val="clear" w:color="auto" w:fill="EBE6F0"/>
          </w:tcPr>
          <w:p>
            <w:pPr>
              <w:spacing w:after="0"/>
              <w:rPr>
                <w:sz w:val="8"/>
                <w:szCs w:val="8"/>
                <w:color w:val="auto"/>
              </w:rPr>
            </w:pPr>
          </w:p>
        </w:tc>
        <w:tc>
          <w:tcPr>
            <w:tcW w:w="5210" w:type="dxa"/>
            <w:vAlign w:val="bottom"/>
            <w:vMerge w:val="restart"/>
            <w:shd w:val="clear" w:color="auto" w:fill="EBE6F0"/>
          </w:tcPr>
          <w:p>
            <w:pPr>
              <w:ind w:left="60"/>
              <w:spacing w:after="0"/>
              <w:rPr>
                <w:sz w:val="20"/>
                <w:szCs w:val="20"/>
                <w:color w:val="auto"/>
              </w:rPr>
            </w:pPr>
            <w:r>
              <w:rPr>
                <w:rFonts w:ascii="Arial" w:cs="Arial" w:eastAsia="Arial" w:hAnsi="Arial"/>
                <w:sz w:val="18"/>
                <w:szCs w:val="18"/>
                <w:color w:val="auto"/>
              </w:rPr>
              <w:t>membership, rotations and committee chairs; and</w:t>
            </w:r>
          </w:p>
        </w:tc>
        <w:tc>
          <w:tcPr>
            <w:tcW w:w="190" w:type="dxa"/>
            <w:vAlign w:val="bottom"/>
            <w:shd w:val="clear" w:color="auto" w:fill="EBE6F0"/>
          </w:tcPr>
          <w:p>
            <w:pPr>
              <w:spacing w:after="0"/>
              <w:rPr>
                <w:sz w:val="8"/>
                <w:szCs w:val="8"/>
                <w:color w:val="auto"/>
              </w:rPr>
            </w:pPr>
          </w:p>
        </w:tc>
        <w:tc>
          <w:tcPr>
            <w:tcW w:w="5660" w:type="dxa"/>
            <w:vAlign w:val="bottom"/>
            <w:vMerge w:val="continue"/>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EBE6F0"/>
          </w:tcPr>
          <w:p>
            <w:pPr>
              <w:spacing w:after="0"/>
              <w:rPr>
                <w:sz w:val="11"/>
                <w:szCs w:val="11"/>
                <w:color w:val="auto"/>
              </w:rPr>
            </w:pPr>
          </w:p>
        </w:tc>
        <w:tc>
          <w:tcPr>
            <w:tcW w:w="5210" w:type="dxa"/>
            <w:vAlign w:val="bottom"/>
            <w:vMerge w:val="continue"/>
            <w:shd w:val="clear" w:color="auto" w:fill="EBE6F0"/>
          </w:tcPr>
          <w:p>
            <w:pPr>
              <w:spacing w:after="0"/>
              <w:rPr>
                <w:sz w:val="11"/>
                <w:szCs w:val="11"/>
                <w:color w:val="auto"/>
              </w:rPr>
            </w:pPr>
          </w:p>
        </w:tc>
        <w:tc>
          <w:tcPr>
            <w:tcW w:w="190" w:type="dxa"/>
            <w:vAlign w:val="bottom"/>
            <w:shd w:val="clear" w:color="auto" w:fill="EBE6F0"/>
          </w:tcPr>
          <w:p>
            <w:pPr>
              <w:spacing w:after="0"/>
              <w:rPr>
                <w:sz w:val="11"/>
                <w:szCs w:val="11"/>
                <w:color w:val="auto"/>
              </w:rPr>
            </w:pPr>
          </w:p>
        </w:tc>
        <w:tc>
          <w:tcPr>
            <w:tcW w:w="5660" w:type="dxa"/>
            <w:vAlign w:val="bottom"/>
            <w:shd w:val="clear" w:color="auto" w:fill="EBE6F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0" w:type="dxa"/>
            <w:vAlign w:val="bottom"/>
            <w:shd w:val="clear" w:color="auto" w:fill="EBE6F0"/>
          </w:tcPr>
          <w:p>
            <w:pPr>
              <w:ind w:left="80"/>
              <w:spacing w:after="0"/>
              <w:rPr>
                <w:sz w:val="20"/>
                <w:szCs w:val="20"/>
                <w:color w:val="auto"/>
              </w:rPr>
            </w:pPr>
            <w:r>
              <w:rPr>
                <w:rFonts w:ascii="Arial" w:cs="Arial" w:eastAsia="Arial" w:hAnsi="Arial"/>
                <w:sz w:val="18"/>
                <w:szCs w:val="18"/>
                <w:color w:val="572C83"/>
              </w:rPr>
              <w:t>•</w:t>
            </w:r>
          </w:p>
        </w:tc>
        <w:tc>
          <w:tcPr>
            <w:tcW w:w="5210" w:type="dxa"/>
            <w:vAlign w:val="bottom"/>
            <w:shd w:val="clear" w:color="auto" w:fill="EBE6F0"/>
          </w:tcPr>
          <w:p>
            <w:pPr>
              <w:ind w:left="40"/>
              <w:spacing w:after="0"/>
              <w:rPr>
                <w:sz w:val="20"/>
                <w:szCs w:val="20"/>
                <w:color w:val="auto"/>
              </w:rPr>
            </w:pPr>
            <w:r>
              <w:rPr>
                <w:rFonts w:ascii="Arial" w:cs="Arial" w:eastAsia="Arial" w:hAnsi="Arial"/>
                <w:sz w:val="18"/>
                <w:szCs w:val="18"/>
                <w:color w:val="auto"/>
              </w:rPr>
              <w:t>consults with major shareholders.</w:t>
            </w:r>
          </w:p>
        </w:tc>
        <w:tc>
          <w:tcPr>
            <w:tcW w:w="190" w:type="dxa"/>
            <w:vAlign w:val="bottom"/>
            <w:shd w:val="clear" w:color="auto" w:fill="EBE6F0"/>
          </w:tcPr>
          <w:p>
            <w:pPr>
              <w:spacing w:after="0"/>
              <w:rPr>
                <w:sz w:val="23"/>
                <w:szCs w:val="23"/>
                <w:color w:val="auto"/>
              </w:rPr>
            </w:pPr>
          </w:p>
        </w:tc>
        <w:tc>
          <w:tcPr>
            <w:tcW w:w="5660" w:type="dxa"/>
            <w:vAlign w:val="bottom"/>
            <w:shd w:val="clear" w:color="auto" w:fill="EBE6F0"/>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00" w:type="dxa"/>
            <w:vAlign w:val="bottom"/>
            <w:tcBorders>
              <w:bottom w:val="single" w:sz="8" w:color="582C83"/>
            </w:tcBorders>
            <w:shd w:val="clear" w:color="auto" w:fill="EBE6F0"/>
          </w:tcPr>
          <w:p>
            <w:pPr>
              <w:spacing w:after="0"/>
              <w:rPr>
                <w:sz w:val="6"/>
                <w:szCs w:val="6"/>
                <w:color w:val="auto"/>
              </w:rPr>
            </w:pPr>
          </w:p>
        </w:tc>
        <w:tc>
          <w:tcPr>
            <w:tcW w:w="5210" w:type="dxa"/>
            <w:vAlign w:val="bottom"/>
            <w:tcBorders>
              <w:bottom w:val="single" w:sz="8" w:color="582C83"/>
            </w:tcBorders>
            <w:shd w:val="clear" w:color="auto" w:fill="EBE6F0"/>
          </w:tcPr>
          <w:p>
            <w:pPr>
              <w:spacing w:after="0"/>
              <w:rPr>
                <w:sz w:val="6"/>
                <w:szCs w:val="6"/>
                <w:color w:val="auto"/>
              </w:rPr>
            </w:pPr>
          </w:p>
        </w:tc>
        <w:tc>
          <w:tcPr>
            <w:tcW w:w="190" w:type="dxa"/>
            <w:vAlign w:val="bottom"/>
            <w:tcBorders>
              <w:bottom w:val="single" w:sz="8" w:color="582C83"/>
            </w:tcBorders>
            <w:shd w:val="clear" w:color="auto" w:fill="EBE6F0"/>
          </w:tcPr>
          <w:p>
            <w:pPr>
              <w:spacing w:after="0"/>
              <w:rPr>
                <w:sz w:val="6"/>
                <w:szCs w:val="6"/>
                <w:color w:val="auto"/>
              </w:rPr>
            </w:pPr>
          </w:p>
        </w:tc>
        <w:tc>
          <w:tcPr>
            <w:tcW w:w="5660" w:type="dxa"/>
            <w:vAlign w:val="bottom"/>
            <w:tcBorders>
              <w:bottom w:val="single" w:sz="8" w:color="582C83"/>
            </w:tcBorders>
            <w:shd w:val="clear" w:color="auto" w:fill="EBE6F0"/>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260"/>
          </w:cols>
          <w:pgMar w:left="320" w:top="130" w:right="319" w:bottom="1440" w:gutter="0" w:footer="0" w:header="0"/>
        </w:sectPr>
      </w:pPr>
    </w:p>
    <w:p>
      <w:pPr>
        <w:ind w:left="80"/>
        <w:spacing w:after="0" w:line="244" w:lineRule="auto"/>
        <w:rPr>
          <w:sz w:val="20"/>
          <w:szCs w:val="20"/>
          <w:color w:val="auto"/>
        </w:rPr>
      </w:pPr>
      <w:r>
        <w:rPr>
          <w:rFonts w:ascii="Arial" w:cs="Arial" w:eastAsia="Arial" w:hAnsi="Arial"/>
          <w:sz w:val="18"/>
          <w:szCs w:val="18"/>
          <w:b w:val="1"/>
          <w:bCs w:val="1"/>
          <w:color w:val="582C83"/>
        </w:rPr>
        <w:t xml:space="preserve">Majority Independent Board. </w:t>
      </w:r>
      <w:r>
        <w:rPr>
          <w:rFonts w:ascii="Arial" w:cs="Arial" w:eastAsia="Arial" w:hAnsi="Arial"/>
          <w:sz w:val="18"/>
          <w:szCs w:val="18"/>
          <w:color w:val="000000"/>
        </w:rPr>
        <w:t>Pursuant to our Guidelines, at least</w:t>
      </w:r>
      <w:r>
        <w:rPr>
          <w:rFonts w:ascii="Arial" w:cs="Arial" w:eastAsia="Arial" w:hAnsi="Arial"/>
          <w:sz w:val="18"/>
          <w:szCs w:val="18"/>
          <w:b w:val="1"/>
          <w:bCs w:val="1"/>
          <w:color w:val="582C83"/>
        </w:rPr>
        <w:t xml:space="preserve"> </w:t>
      </w:r>
      <w:r>
        <w:rPr>
          <w:rFonts w:ascii="Arial" w:cs="Arial" w:eastAsia="Arial" w:hAnsi="Arial"/>
          <w:sz w:val="18"/>
          <w:szCs w:val="18"/>
          <w:color w:val="000000"/>
        </w:rPr>
        <w:t>80% of the directors shall meet the Nasdaq listing standards' independence requirements. Nine of our ten director nominees are independent.</w:t>
      </w:r>
    </w:p>
    <w:p>
      <w:pPr>
        <w:spacing w:after="0" w:line="20" w:lineRule="exact"/>
        <w:rPr>
          <w:sz w:val="20"/>
          <w:szCs w:val="20"/>
          <w:color w:val="auto"/>
        </w:rPr>
      </w:pPr>
      <w:r>
        <w:rPr>
          <w:sz w:val="20"/>
          <w:szCs w:val="20"/>
          <w:color w:val="auto"/>
        </w:rPr>
        <w:br w:type="column"/>
      </w:r>
    </w:p>
    <w:p>
      <w:pPr>
        <w:jc w:val="both"/>
        <w:ind w:right="240"/>
        <w:spacing w:after="0" w:line="248" w:lineRule="auto"/>
        <w:rPr>
          <w:sz w:val="20"/>
          <w:szCs w:val="20"/>
          <w:color w:val="auto"/>
        </w:rPr>
      </w:pPr>
      <w:r>
        <w:rPr>
          <w:rFonts w:ascii="Arial" w:cs="Arial" w:eastAsia="Arial" w:hAnsi="Arial"/>
          <w:sz w:val="18"/>
          <w:szCs w:val="18"/>
          <w:color w:val="auto"/>
        </w:rPr>
        <w:t>Substantial majority of independent directors in the boardroom and fully independent committees effectively oversee management on behalf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149225</wp:posOffset>
            </wp:positionV>
            <wp:extent cx="7140575"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36004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5240" w:space="240"/>
            <w:col w:w="5780"/>
          </w:cols>
          <w:pgMar w:left="320" w:top="130" w:right="319" w:bottom="1440" w:gutter="0" w:footer="0" w:header="0"/>
          <w:type w:val="continuous"/>
        </w:sectPr>
      </w:pPr>
    </w:p>
    <w:p>
      <w:pPr>
        <w:ind w:left="80"/>
        <w:spacing w:after="0"/>
        <w:rPr>
          <w:sz w:val="20"/>
          <w:szCs w:val="20"/>
          <w:color w:val="auto"/>
        </w:rPr>
      </w:pPr>
      <w:r>
        <w:rPr>
          <w:rFonts w:ascii="Arial" w:cs="Arial" w:eastAsia="Arial" w:hAnsi="Arial"/>
          <w:sz w:val="18"/>
          <w:szCs w:val="18"/>
          <w:b w:val="1"/>
          <w:bCs w:val="1"/>
          <w:color w:val="582C83"/>
        </w:rPr>
        <w:t xml:space="preserve">Annual Elections. </w:t>
      </w:r>
      <w:r>
        <w:rPr>
          <w:rFonts w:ascii="Arial" w:cs="Arial" w:eastAsia="Arial" w:hAnsi="Arial"/>
          <w:sz w:val="18"/>
          <w:szCs w:val="18"/>
          <w:color w:val="000000"/>
        </w:rPr>
        <w:t>Shareholders elect directors annually by majority Strengthens Board, committee and individual director accountability.</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8"/>
          <w:szCs w:val="18"/>
          <w:color w:val="auto"/>
        </w:rPr>
        <w:t>vote.</w:t>
      </w:r>
    </w:p>
    <w:p>
      <w:pPr>
        <w:spacing w:after="0" w:line="113" w:lineRule="exact"/>
        <w:rPr>
          <w:sz w:val="20"/>
          <w:szCs w:val="20"/>
          <w:color w:val="auto"/>
        </w:rPr>
      </w:pPr>
    </w:p>
    <w:p>
      <w:pPr>
        <w:ind w:left="80" w:right="300"/>
        <w:spacing w:after="0" w:line="241" w:lineRule="auto"/>
        <w:rPr>
          <w:sz w:val="20"/>
          <w:szCs w:val="20"/>
          <w:color w:val="auto"/>
        </w:rPr>
      </w:pPr>
      <w:r>
        <w:rPr>
          <w:rFonts w:ascii="Arial" w:cs="Arial" w:eastAsia="Arial" w:hAnsi="Arial"/>
          <w:sz w:val="18"/>
          <w:szCs w:val="18"/>
          <w:b w:val="1"/>
          <w:bCs w:val="1"/>
          <w:color w:val="582C83"/>
        </w:rPr>
        <w:t xml:space="preserve">Special Meeting of Shareholders. </w:t>
      </w:r>
      <w:r>
        <w:rPr>
          <w:rFonts w:ascii="Arial" w:cs="Arial" w:eastAsia="Arial" w:hAnsi="Arial"/>
          <w:sz w:val="18"/>
          <w:szCs w:val="18"/>
          <w:color w:val="000000"/>
        </w:rPr>
        <w:t>Our Amended and Restated By- Further strengthens Board accountability and encourages engagement</w:t>
      </w:r>
      <w:r>
        <w:rPr>
          <w:rFonts w:ascii="Arial" w:cs="Arial" w:eastAsia="Arial" w:hAnsi="Arial"/>
          <w:sz w:val="18"/>
          <w:szCs w:val="18"/>
          <w:b w:val="1"/>
          <w:bCs w:val="1"/>
          <w:color w:val="582C83"/>
        </w:rPr>
        <w:t xml:space="preserve"> </w:t>
      </w:r>
      <w:r>
        <w:rPr>
          <w:rFonts w:ascii="Arial" w:cs="Arial" w:eastAsia="Arial" w:hAnsi="Arial"/>
          <w:sz w:val="18"/>
          <w:szCs w:val="18"/>
          <w:color w:val="000000"/>
        </w:rPr>
        <w:t>Laws ("By-Laws") permit the holders of at least 20% of the voting with shareholders regarding important matters. power of the outstanding stock to call a special meeting of</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shareholders.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1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18"/>
                <w:szCs w:val="18"/>
                <w:b w:val="1"/>
                <w:bCs w:val="1"/>
                <w:color w:val="582C83"/>
              </w:rPr>
              <w:t xml:space="preserve">Proxy Access. </w:t>
            </w:r>
            <w:r>
              <w:rPr>
                <w:rFonts w:ascii="Arial" w:cs="Arial" w:eastAsia="Arial" w:hAnsi="Arial"/>
                <w:sz w:val="18"/>
                <w:szCs w:val="18"/>
                <w:color w:val="000000"/>
              </w:rPr>
              <w:t>Our By-Laws provide for proxy access to enable</w:t>
            </w:r>
          </w:p>
        </w:tc>
        <w:tc>
          <w:tcPr>
            <w:tcW w:w="585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18"/>
                <w:szCs w:val="18"/>
                <w:color w:val="auto"/>
              </w:rPr>
              <w:t>Further strengthens Board accountability and encourages engagement</w:t>
            </w:r>
          </w:p>
        </w:tc>
      </w:tr>
      <w:tr>
        <w:trPr>
          <w:trHeight w:val="203"/>
        </w:trPr>
        <w:tc>
          <w:tcPr>
            <w:tcW w:w="541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auto"/>
                <w:w w:val="99"/>
              </w:rPr>
              <w:t>shareholders who meet the requirements to add their nominee(s) to</w:t>
            </w:r>
          </w:p>
        </w:tc>
        <w:tc>
          <w:tcPr>
            <w:tcW w:w="5850" w:type="dxa"/>
            <w:vAlign w:val="bottom"/>
            <w:shd w:val="clear" w:color="auto" w:fill="EBE6F0"/>
          </w:tcPr>
          <w:p>
            <w:pPr>
              <w:ind w:left="70"/>
              <w:spacing w:after="0" w:line="202" w:lineRule="exact"/>
              <w:rPr>
                <w:sz w:val="20"/>
                <w:szCs w:val="20"/>
                <w:color w:val="auto"/>
              </w:rPr>
            </w:pPr>
            <w:r>
              <w:rPr>
                <w:rFonts w:ascii="Arial" w:cs="Arial" w:eastAsia="Arial" w:hAnsi="Arial"/>
                <w:sz w:val="18"/>
                <w:szCs w:val="18"/>
                <w:color w:val="auto"/>
              </w:rPr>
              <w:t>with shareholders regarding Board composition.</w:t>
            </w:r>
          </w:p>
        </w:tc>
      </w:tr>
      <w:tr>
        <w:trPr>
          <w:trHeight w:val="203"/>
        </w:trPr>
        <w:tc>
          <w:tcPr>
            <w:tcW w:w="541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auto"/>
              </w:rPr>
              <w:t>the proxy statement. Nominating shareholders must own 3% or</w:t>
            </w:r>
          </w:p>
        </w:tc>
        <w:tc>
          <w:tcPr>
            <w:tcW w:w="5850" w:type="dxa"/>
            <w:vAlign w:val="bottom"/>
            <w:shd w:val="clear" w:color="auto" w:fill="EBE6F0"/>
          </w:tcPr>
          <w:p>
            <w:pPr>
              <w:spacing w:after="0"/>
              <w:rPr>
                <w:sz w:val="17"/>
                <w:szCs w:val="17"/>
                <w:color w:val="auto"/>
              </w:rPr>
            </w:pPr>
          </w:p>
        </w:tc>
      </w:tr>
      <w:tr>
        <w:trPr>
          <w:trHeight w:val="203"/>
        </w:trPr>
        <w:tc>
          <w:tcPr>
            <w:tcW w:w="541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auto"/>
              </w:rPr>
              <w:t>more of our outstanding Common Stock continuously for at least</w:t>
            </w:r>
          </w:p>
        </w:tc>
        <w:tc>
          <w:tcPr>
            <w:tcW w:w="5850" w:type="dxa"/>
            <w:vAlign w:val="bottom"/>
            <w:shd w:val="clear" w:color="auto" w:fill="EBE6F0"/>
          </w:tcPr>
          <w:p>
            <w:pPr>
              <w:spacing w:after="0"/>
              <w:rPr>
                <w:sz w:val="17"/>
                <w:szCs w:val="17"/>
                <w:color w:val="auto"/>
              </w:rPr>
            </w:pPr>
          </w:p>
        </w:tc>
      </w:tr>
      <w:tr>
        <w:trPr>
          <w:trHeight w:val="249"/>
        </w:trPr>
        <w:tc>
          <w:tcPr>
            <w:tcW w:w="541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three years.</w:t>
            </w:r>
          </w:p>
        </w:tc>
        <w:tc>
          <w:tcPr>
            <w:tcW w:w="5850" w:type="dxa"/>
            <w:vAlign w:val="bottom"/>
            <w:tcBorders>
              <w:bottom w:val="single" w:sz="8" w:color="EBE6F0"/>
            </w:tcBorders>
            <w:shd w:val="clear" w:color="auto" w:fill="EBE6F0"/>
          </w:tcPr>
          <w:p>
            <w:pPr>
              <w:spacing w:after="0"/>
              <w:rPr>
                <w:sz w:val="21"/>
                <w:szCs w:val="21"/>
                <w:color w:val="auto"/>
              </w:rPr>
            </w:pPr>
          </w:p>
        </w:tc>
      </w:tr>
      <w:tr>
        <w:trPr>
          <w:trHeight w:val="27"/>
        </w:trPr>
        <w:tc>
          <w:tcPr>
            <w:tcW w:w="5410" w:type="dxa"/>
            <w:vAlign w:val="bottom"/>
            <w:shd w:val="clear" w:color="auto" w:fill="582C83"/>
          </w:tcPr>
          <w:p>
            <w:pPr>
              <w:spacing w:after="0"/>
              <w:rPr>
                <w:sz w:val="2"/>
                <w:szCs w:val="2"/>
                <w:color w:val="auto"/>
              </w:rPr>
            </w:pPr>
          </w:p>
        </w:tc>
        <w:tc>
          <w:tcPr>
            <w:tcW w:w="5850" w:type="dxa"/>
            <w:vAlign w:val="bottom"/>
            <w:shd w:val="clear" w:color="auto" w:fill="582C83"/>
          </w:tcPr>
          <w:p>
            <w:pPr>
              <w:spacing w:after="0"/>
              <w:rPr>
                <w:sz w:val="2"/>
                <w:szCs w:val="2"/>
                <w:color w:val="auto"/>
              </w:rPr>
            </w:pPr>
          </w:p>
        </w:tc>
      </w:tr>
    </w:tbl>
    <w:p>
      <w:pPr>
        <w:spacing w:after="0" w:line="14" w:lineRule="exact"/>
        <w:rPr>
          <w:sz w:val="20"/>
          <w:szCs w:val="20"/>
          <w:color w:val="auto"/>
        </w:rPr>
      </w:pPr>
    </w:p>
    <w:p>
      <w:pPr>
        <w:sectPr>
          <w:pgSz w:w="11900" w:h="16838" w:orient="portrait"/>
          <w:cols w:equalWidth="0" w:num="1">
            <w:col w:w="11260"/>
          </w:cols>
          <w:pgMar w:left="320" w:top="130" w:right="319" w:bottom="1440" w:gutter="0" w:footer="0" w:header="0"/>
          <w:type w:val="continuous"/>
        </w:sectPr>
      </w:pPr>
    </w:p>
    <w:p>
      <w:pPr>
        <w:spacing w:after="0" w:line="25" w:lineRule="exact"/>
        <w:rPr>
          <w:sz w:val="20"/>
          <w:szCs w:val="20"/>
          <w:color w:val="auto"/>
        </w:rPr>
      </w:pPr>
    </w:p>
    <w:p>
      <w:pPr>
        <w:ind w:left="80"/>
        <w:spacing w:after="0" w:line="244" w:lineRule="auto"/>
        <w:rPr>
          <w:sz w:val="20"/>
          <w:szCs w:val="20"/>
          <w:color w:val="auto"/>
        </w:rPr>
      </w:pPr>
      <w:r>
        <w:rPr>
          <w:rFonts w:ascii="Arial" w:cs="Arial" w:eastAsia="Arial" w:hAnsi="Arial"/>
          <w:sz w:val="18"/>
          <w:szCs w:val="18"/>
          <w:b w:val="1"/>
          <w:bCs w:val="1"/>
          <w:color w:val="582C83"/>
        </w:rPr>
        <w:t xml:space="preserve">Regular Self-Assessment. </w:t>
      </w:r>
      <w:r>
        <w:rPr>
          <w:rFonts w:ascii="Arial" w:cs="Arial" w:eastAsia="Arial" w:hAnsi="Arial"/>
          <w:sz w:val="18"/>
          <w:szCs w:val="18"/>
          <w:color w:val="000000"/>
        </w:rPr>
        <w:t>Regular Board, committee and director</w:t>
      </w:r>
      <w:r>
        <w:rPr>
          <w:rFonts w:ascii="Arial" w:cs="Arial" w:eastAsia="Arial" w:hAnsi="Arial"/>
          <w:sz w:val="18"/>
          <w:szCs w:val="18"/>
          <w:b w:val="1"/>
          <w:bCs w:val="1"/>
          <w:color w:val="582C83"/>
        </w:rPr>
        <w:t xml:space="preserve"> </w:t>
      </w:r>
      <w:r>
        <w:rPr>
          <w:rFonts w:ascii="Arial" w:cs="Arial" w:eastAsia="Arial" w:hAnsi="Arial"/>
          <w:sz w:val="18"/>
          <w:szCs w:val="18"/>
          <w:color w:val="000000"/>
        </w:rPr>
        <w:t>self-assessments include candid, one-on-one conversations between the independent Lead Director and each director, in coordination with the Governance Committee.</w:t>
      </w:r>
    </w:p>
    <w:p>
      <w:pPr>
        <w:spacing w:after="0" w:line="20" w:lineRule="exact"/>
        <w:rPr>
          <w:sz w:val="20"/>
          <w:szCs w:val="20"/>
          <w:color w:val="auto"/>
        </w:rPr>
      </w:pPr>
      <w:r>
        <w:rPr>
          <w:sz w:val="20"/>
          <w:szCs w:val="20"/>
          <w:color w:val="auto"/>
        </w:rPr>
        <w:br w:type="column"/>
      </w:r>
    </w:p>
    <w:p>
      <w:pPr>
        <w:ind w:left="165" w:right="900" w:hanging="165"/>
        <w:spacing w:after="0" w:line="262" w:lineRule="auto"/>
        <w:tabs>
          <w:tab w:leader="none" w:pos="162" w:val="left"/>
        </w:tabs>
        <w:numPr>
          <w:ilvl w:val="0"/>
          <w:numId w:val="3"/>
        </w:numPr>
        <w:rPr>
          <w:rFonts w:ascii="Arial" w:cs="Arial" w:eastAsia="Arial" w:hAnsi="Arial"/>
          <w:sz w:val="18"/>
          <w:szCs w:val="18"/>
          <w:color w:val="572C83"/>
        </w:rPr>
      </w:pPr>
      <w:r>
        <w:rPr>
          <w:rFonts w:ascii="Arial" w:cs="Arial" w:eastAsia="Arial" w:hAnsi="Arial"/>
          <w:sz w:val="18"/>
          <w:szCs w:val="18"/>
          <w:color w:val="auto"/>
        </w:rPr>
        <w:t>Promotes continuous process improvement at the Board and committee levels.</w:t>
      </w:r>
    </w:p>
    <w:p>
      <w:pPr>
        <w:spacing w:after="0" w:line="20" w:lineRule="exact"/>
        <w:rPr>
          <w:rFonts w:ascii="Arial" w:cs="Arial" w:eastAsia="Arial" w:hAnsi="Arial"/>
          <w:sz w:val="18"/>
          <w:szCs w:val="18"/>
          <w:color w:val="572C83"/>
        </w:rPr>
      </w:pPr>
    </w:p>
    <w:p>
      <w:pPr>
        <w:ind w:left="165" w:right="360" w:hanging="165"/>
        <w:spacing w:after="0" w:line="248" w:lineRule="auto"/>
        <w:tabs>
          <w:tab w:leader="none" w:pos="162" w:val="left"/>
        </w:tabs>
        <w:numPr>
          <w:ilvl w:val="0"/>
          <w:numId w:val="3"/>
        </w:numPr>
        <w:rPr>
          <w:rFonts w:ascii="Arial" w:cs="Arial" w:eastAsia="Arial" w:hAnsi="Arial"/>
          <w:sz w:val="18"/>
          <w:szCs w:val="18"/>
          <w:color w:val="572C83"/>
        </w:rPr>
      </w:pPr>
      <w:r>
        <w:rPr>
          <w:rFonts w:ascii="Arial" w:cs="Arial" w:eastAsia="Arial" w:hAnsi="Arial"/>
          <w:sz w:val="18"/>
          <w:szCs w:val="18"/>
          <w:color w:val="auto"/>
        </w:rPr>
        <w:t>Provides an opportunity to discuss individual directors’ contributions and performance and to solicit views on improving Board and committee performance.</w:t>
      </w:r>
    </w:p>
    <w:p>
      <w:pPr>
        <w:spacing w:after="0" w:line="40" w:lineRule="exact"/>
        <w:rPr>
          <w:sz w:val="20"/>
          <w:szCs w:val="20"/>
          <w:color w:val="auto"/>
        </w:rPr>
      </w:pPr>
    </w:p>
    <w:p>
      <w:pPr>
        <w:sectPr>
          <w:pgSz w:w="11900" w:h="16838" w:orient="portrait"/>
          <w:cols w:equalWidth="0" w:num="2">
            <w:col w:w="5300" w:space="175"/>
            <w:col w:w="5785"/>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541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18"/>
                <w:szCs w:val="18"/>
                <w:b w:val="1"/>
                <w:bCs w:val="1"/>
                <w:color w:val="582C83"/>
                <w:w w:val="97"/>
              </w:rPr>
              <w:t xml:space="preserve">Tenure/Retirement. </w:t>
            </w:r>
            <w:r>
              <w:rPr>
                <w:rFonts w:ascii="Arial" w:cs="Arial" w:eastAsia="Arial" w:hAnsi="Arial"/>
                <w:sz w:val="18"/>
                <w:szCs w:val="18"/>
                <w:color w:val="000000"/>
                <w:w w:val="97"/>
              </w:rPr>
              <w:t>Our non-employee directors are subject to term</w:t>
            </w:r>
          </w:p>
        </w:tc>
        <w:tc>
          <w:tcPr>
            <w:tcW w:w="19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40" w:type="dxa"/>
            <w:vAlign w:val="bottom"/>
            <w:tcBorders>
              <w:top w:val="single" w:sz="8" w:color="582C83"/>
            </w:tcBorders>
            <w:shd w:val="clear" w:color="auto" w:fill="EBE6F0"/>
          </w:tcPr>
          <w:p>
            <w:pPr>
              <w:ind w:left="40"/>
              <w:spacing w:after="0"/>
              <w:rPr>
                <w:sz w:val="20"/>
                <w:szCs w:val="20"/>
                <w:color w:val="auto"/>
              </w:rPr>
            </w:pPr>
            <w:r>
              <w:rPr>
                <w:rFonts w:ascii="Arial" w:cs="Arial" w:eastAsia="Arial" w:hAnsi="Arial"/>
                <w:sz w:val="18"/>
                <w:szCs w:val="18"/>
                <w:color w:val="auto"/>
              </w:rPr>
              <w:t>Term limits and retirement policies promote ongoing evolution and</w:t>
            </w:r>
          </w:p>
        </w:tc>
        <w:tc>
          <w:tcPr>
            <w:tcW w:w="20" w:type="dxa"/>
            <w:vAlign w:val="bottom"/>
            <w:tcBorders>
              <w:top w:val="single" w:sz="8" w:color="582C83"/>
            </w:tcBorders>
            <w:shd w:val="clear" w:color="auto" w:fill="EBE6F0"/>
          </w:tcPr>
          <w:p>
            <w:pPr>
              <w:spacing w:after="0"/>
              <w:rPr>
                <w:sz w:val="21"/>
                <w:szCs w:val="21"/>
                <w:color w:val="auto"/>
              </w:rPr>
            </w:pPr>
          </w:p>
        </w:tc>
      </w:tr>
      <w:tr>
        <w:trPr>
          <w:trHeight w:val="258"/>
        </w:trPr>
        <w:tc>
          <w:tcPr>
            <w:tcW w:w="5410" w:type="dxa"/>
            <w:vAlign w:val="bottom"/>
            <w:shd w:val="clear" w:color="auto" w:fill="EBE6F0"/>
          </w:tcPr>
          <w:p>
            <w:pPr>
              <w:ind w:left="80"/>
              <w:spacing w:after="0"/>
              <w:rPr>
                <w:sz w:val="20"/>
                <w:szCs w:val="20"/>
                <w:color w:val="auto"/>
              </w:rPr>
            </w:pPr>
            <w:r>
              <w:rPr>
                <w:rFonts w:ascii="Arial" w:cs="Arial" w:eastAsia="Arial" w:hAnsi="Arial"/>
                <w:sz w:val="18"/>
                <w:szCs w:val="18"/>
                <w:color w:val="auto"/>
              </w:rPr>
              <w:t>limits and retirement policies.</w:t>
            </w:r>
          </w:p>
        </w:tc>
        <w:tc>
          <w:tcPr>
            <w:tcW w:w="190" w:type="dxa"/>
            <w:vAlign w:val="bottom"/>
            <w:shd w:val="clear" w:color="auto" w:fill="EBE6F0"/>
          </w:tcPr>
          <w:p>
            <w:pPr>
              <w:spacing w:after="0"/>
              <w:rPr>
                <w:sz w:val="22"/>
                <w:szCs w:val="22"/>
                <w:color w:val="auto"/>
              </w:rPr>
            </w:pPr>
          </w:p>
        </w:tc>
        <w:tc>
          <w:tcPr>
            <w:tcW w:w="5640" w:type="dxa"/>
            <w:vAlign w:val="bottom"/>
            <w:shd w:val="clear" w:color="auto" w:fill="EBE6F0"/>
          </w:tcPr>
          <w:p>
            <w:pPr>
              <w:ind w:left="60"/>
              <w:spacing w:after="0"/>
              <w:rPr>
                <w:sz w:val="20"/>
                <w:szCs w:val="20"/>
                <w:color w:val="auto"/>
              </w:rPr>
            </w:pPr>
            <w:r>
              <w:rPr>
                <w:rFonts w:ascii="Arial" w:cs="Arial" w:eastAsia="Arial" w:hAnsi="Arial"/>
                <w:sz w:val="18"/>
                <w:szCs w:val="18"/>
                <w:color w:val="auto"/>
              </w:rPr>
              <w:t>refreshment.</w:t>
            </w:r>
          </w:p>
        </w:tc>
        <w:tc>
          <w:tcPr>
            <w:tcW w:w="20" w:type="dxa"/>
            <w:vAlign w:val="bottom"/>
            <w:shd w:val="clear" w:color="auto" w:fill="EBE6F0"/>
          </w:tcPr>
          <w:p>
            <w:pPr>
              <w:spacing w:after="0"/>
              <w:rPr>
                <w:sz w:val="22"/>
                <w:szCs w:val="22"/>
                <w:color w:val="auto"/>
              </w:rPr>
            </w:pPr>
          </w:p>
        </w:tc>
      </w:tr>
      <w:tr>
        <w:trPr>
          <w:trHeight w:val="215"/>
        </w:trPr>
        <w:tc>
          <w:tcPr>
            <w:tcW w:w="5410" w:type="dxa"/>
            <w:vAlign w:val="bottom"/>
            <w:shd w:val="clear" w:color="auto" w:fill="EBE6F0"/>
          </w:tcPr>
          <w:p>
            <w:pPr>
              <w:spacing w:after="0"/>
              <w:rPr>
                <w:sz w:val="18"/>
                <w:szCs w:val="18"/>
                <w:color w:val="auto"/>
              </w:rPr>
            </w:pPr>
          </w:p>
        </w:tc>
        <w:tc>
          <w:tcPr>
            <w:tcW w:w="190" w:type="dxa"/>
            <w:vAlign w:val="bottom"/>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40" w:type="dxa"/>
            <w:vAlign w:val="bottom"/>
            <w:shd w:val="clear" w:color="auto" w:fill="EBE6F0"/>
          </w:tcPr>
          <w:p>
            <w:pPr>
              <w:ind w:left="40"/>
              <w:spacing w:after="0"/>
              <w:rPr>
                <w:sz w:val="20"/>
                <w:szCs w:val="20"/>
                <w:color w:val="auto"/>
              </w:rPr>
            </w:pPr>
            <w:r>
              <w:rPr>
                <w:rFonts w:ascii="Arial" w:cs="Arial" w:eastAsia="Arial" w:hAnsi="Arial"/>
                <w:sz w:val="18"/>
                <w:szCs w:val="18"/>
                <w:color w:val="auto"/>
              </w:rPr>
              <w:t>Annual self-assessments provide a disciplined mechanism for director</w:t>
            </w:r>
          </w:p>
        </w:tc>
        <w:tc>
          <w:tcPr>
            <w:tcW w:w="20" w:type="dxa"/>
            <w:vAlign w:val="bottom"/>
            <w:shd w:val="clear" w:color="auto" w:fill="EBE6F0"/>
          </w:tcPr>
          <w:p>
            <w:pPr>
              <w:spacing w:after="0"/>
              <w:rPr>
                <w:sz w:val="18"/>
                <w:szCs w:val="18"/>
                <w:color w:val="auto"/>
              </w:rPr>
            </w:pPr>
          </w:p>
        </w:tc>
      </w:tr>
      <w:tr>
        <w:trPr>
          <w:trHeight w:val="231"/>
        </w:trPr>
        <w:tc>
          <w:tcPr>
            <w:tcW w:w="5410" w:type="dxa"/>
            <w:vAlign w:val="bottom"/>
            <w:shd w:val="clear" w:color="auto" w:fill="EBE6F0"/>
          </w:tcPr>
          <w:p>
            <w:pPr>
              <w:spacing w:after="0"/>
              <w:rPr>
                <w:sz w:val="20"/>
                <w:szCs w:val="20"/>
                <w:color w:val="auto"/>
              </w:rPr>
            </w:pPr>
          </w:p>
        </w:tc>
        <w:tc>
          <w:tcPr>
            <w:tcW w:w="190" w:type="dxa"/>
            <w:vAlign w:val="bottom"/>
            <w:shd w:val="clear" w:color="auto" w:fill="EBE6F0"/>
          </w:tcPr>
          <w:p>
            <w:pPr>
              <w:spacing w:after="0"/>
              <w:rPr>
                <w:sz w:val="20"/>
                <w:szCs w:val="20"/>
                <w:color w:val="auto"/>
              </w:rPr>
            </w:pPr>
          </w:p>
        </w:tc>
        <w:tc>
          <w:tcPr>
            <w:tcW w:w="5640" w:type="dxa"/>
            <w:vAlign w:val="bottom"/>
            <w:shd w:val="clear" w:color="auto" w:fill="EBE6F0"/>
          </w:tcPr>
          <w:p>
            <w:pPr>
              <w:ind w:left="60"/>
              <w:spacing w:after="0"/>
              <w:rPr>
                <w:sz w:val="20"/>
                <w:szCs w:val="20"/>
                <w:color w:val="auto"/>
              </w:rPr>
            </w:pPr>
            <w:r>
              <w:rPr>
                <w:rFonts w:ascii="Arial" w:cs="Arial" w:eastAsia="Arial" w:hAnsi="Arial"/>
                <w:sz w:val="18"/>
                <w:szCs w:val="18"/>
                <w:color w:val="auto"/>
              </w:rPr>
              <w:t>input into the Board’s evolution and succession planning process.</w:t>
            </w:r>
          </w:p>
        </w:tc>
        <w:tc>
          <w:tcPr>
            <w:tcW w:w="20" w:type="dxa"/>
            <w:vAlign w:val="bottom"/>
            <w:shd w:val="clear" w:color="auto" w:fill="EBE6F0"/>
          </w:tcPr>
          <w:p>
            <w:pPr>
              <w:spacing w:after="0"/>
              <w:rPr>
                <w:sz w:val="20"/>
                <w:szCs w:val="20"/>
                <w:color w:val="auto"/>
              </w:rPr>
            </w:pPr>
          </w:p>
        </w:tc>
      </w:tr>
      <w:tr>
        <w:trPr>
          <w:trHeight w:val="270"/>
        </w:trPr>
        <w:tc>
          <w:tcPr>
            <w:tcW w:w="5410" w:type="dxa"/>
            <w:vAlign w:val="bottom"/>
            <w:shd w:val="clear" w:color="auto" w:fill="EBE6F0"/>
          </w:tcPr>
          <w:p>
            <w:pPr>
              <w:spacing w:after="0"/>
              <w:rPr>
                <w:sz w:val="23"/>
                <w:szCs w:val="23"/>
                <w:color w:val="auto"/>
              </w:rPr>
            </w:pPr>
          </w:p>
        </w:tc>
        <w:tc>
          <w:tcPr>
            <w:tcW w:w="190" w:type="dxa"/>
            <w:vAlign w:val="bottom"/>
            <w:shd w:val="clear" w:color="auto" w:fill="EBE6F0"/>
          </w:tcPr>
          <w:p>
            <w:pPr>
              <w:ind w:left="70"/>
              <w:spacing w:after="0"/>
              <w:rPr>
                <w:sz w:val="20"/>
                <w:szCs w:val="20"/>
                <w:color w:val="auto"/>
              </w:rPr>
            </w:pPr>
            <w:r>
              <w:rPr>
                <w:rFonts w:ascii="Arial" w:cs="Arial" w:eastAsia="Arial" w:hAnsi="Arial"/>
                <w:sz w:val="18"/>
                <w:szCs w:val="18"/>
                <w:color w:val="572C83"/>
              </w:rPr>
              <w:t>•</w:t>
            </w:r>
          </w:p>
        </w:tc>
        <w:tc>
          <w:tcPr>
            <w:tcW w:w="5640" w:type="dxa"/>
            <w:vAlign w:val="bottom"/>
            <w:shd w:val="clear" w:color="auto" w:fill="EBE6F0"/>
          </w:tcPr>
          <w:p>
            <w:pPr>
              <w:ind w:left="40"/>
              <w:spacing w:after="0"/>
              <w:rPr>
                <w:sz w:val="20"/>
                <w:szCs w:val="20"/>
                <w:color w:val="auto"/>
              </w:rPr>
            </w:pPr>
            <w:r>
              <w:rPr>
                <w:rFonts w:ascii="Arial" w:cs="Arial" w:eastAsia="Arial" w:hAnsi="Arial"/>
                <w:sz w:val="18"/>
                <w:szCs w:val="18"/>
                <w:color w:val="auto"/>
                <w:w w:val="99"/>
              </w:rPr>
              <w:t>Average tenure for non-employee directors is approximately six years.</w:t>
            </w:r>
          </w:p>
        </w:tc>
        <w:tc>
          <w:tcPr>
            <w:tcW w:w="20" w:type="dxa"/>
            <w:vAlign w:val="bottom"/>
            <w:shd w:val="clear" w:color="auto" w:fill="EBE6F0"/>
          </w:tcPr>
          <w:p>
            <w:pPr>
              <w:spacing w:after="0"/>
              <w:rPr>
                <w:sz w:val="23"/>
                <w:szCs w:val="23"/>
                <w:color w:val="auto"/>
              </w:rPr>
            </w:pPr>
          </w:p>
        </w:tc>
      </w:tr>
      <w:tr>
        <w:trPr>
          <w:trHeight w:val="72"/>
        </w:trPr>
        <w:tc>
          <w:tcPr>
            <w:tcW w:w="5410" w:type="dxa"/>
            <w:vAlign w:val="bottom"/>
            <w:tcBorders>
              <w:bottom w:val="single" w:sz="8" w:color="582C83"/>
            </w:tcBorders>
            <w:shd w:val="clear" w:color="auto" w:fill="EBE6F0"/>
          </w:tcPr>
          <w:p>
            <w:pPr>
              <w:spacing w:after="0"/>
              <w:rPr>
                <w:sz w:val="6"/>
                <w:szCs w:val="6"/>
                <w:color w:val="auto"/>
              </w:rPr>
            </w:pPr>
          </w:p>
        </w:tc>
        <w:tc>
          <w:tcPr>
            <w:tcW w:w="5830" w:type="dxa"/>
            <w:vAlign w:val="bottom"/>
            <w:tcBorders>
              <w:bottom w:val="single" w:sz="8" w:color="582C83"/>
            </w:tcBorders>
            <w:gridSpan w:val="2"/>
            <w:shd w:val="clear" w:color="auto" w:fill="EBE6F0"/>
          </w:tcPr>
          <w:p>
            <w:pPr>
              <w:spacing w:after="0"/>
              <w:rPr>
                <w:sz w:val="6"/>
                <w:szCs w:val="6"/>
                <w:color w:val="auto"/>
              </w:rPr>
            </w:pPr>
          </w:p>
        </w:tc>
        <w:tc>
          <w:tcPr>
            <w:tcW w:w="20" w:type="dxa"/>
            <w:vAlign w:val="bottom"/>
            <w:tcBorders>
              <w:bottom w:val="single" w:sz="8" w:color="582C83"/>
            </w:tcBorders>
            <w:shd w:val="clear" w:color="auto" w:fill="EBE6F0"/>
          </w:tcPr>
          <w:p>
            <w:pPr>
              <w:spacing w:after="0"/>
              <w:rPr>
                <w:sz w:val="6"/>
                <w:szCs w:val="6"/>
                <w:color w:val="auto"/>
              </w:rPr>
            </w:pPr>
          </w:p>
        </w:tc>
      </w:tr>
      <w:tr>
        <w:trPr>
          <w:trHeight w:val="244"/>
        </w:trPr>
        <w:tc>
          <w:tcPr>
            <w:tcW w:w="11240" w:type="dxa"/>
            <w:vAlign w:val="bottom"/>
            <w:gridSpan w:val="3"/>
          </w:tcPr>
          <w:p>
            <w:pPr>
              <w:ind w:left="80"/>
              <w:spacing w:after="0"/>
              <w:rPr>
                <w:sz w:val="20"/>
                <w:szCs w:val="20"/>
                <w:color w:val="auto"/>
              </w:rPr>
            </w:pPr>
            <w:r>
              <w:rPr>
                <w:rFonts w:ascii="Arial" w:cs="Arial" w:eastAsia="Arial" w:hAnsi="Arial"/>
                <w:sz w:val="18"/>
                <w:szCs w:val="18"/>
                <w:b w:val="1"/>
                <w:bCs w:val="1"/>
                <w:color w:val="582C83"/>
              </w:rPr>
              <w:t xml:space="preserve">Stock Ownership Requirements. </w:t>
            </w:r>
            <w:r>
              <w:rPr>
                <w:rFonts w:ascii="Arial" w:cs="Arial" w:eastAsia="Arial" w:hAnsi="Arial"/>
                <w:sz w:val="18"/>
                <w:szCs w:val="18"/>
                <w:color w:val="000000"/>
              </w:rPr>
              <w:t>Directors must own shares of our</w:t>
            </w:r>
            <w:r>
              <w:rPr>
                <w:rFonts w:ascii="Arial" w:cs="Arial" w:eastAsia="Arial" w:hAnsi="Arial"/>
                <w:sz w:val="18"/>
                <w:szCs w:val="18"/>
                <w:b w:val="1"/>
                <w:bCs w:val="1"/>
                <w:color w:val="582C83"/>
              </w:rPr>
              <w:t xml:space="preserve"> </w:t>
            </w:r>
            <w:r>
              <w:rPr>
                <w:rFonts w:ascii="Arial" w:cs="Arial" w:eastAsia="Arial" w:hAnsi="Arial"/>
                <w:sz w:val="18"/>
                <w:szCs w:val="18"/>
                <w:color w:val="572C83"/>
              </w:rPr>
              <w:t>•</w:t>
            </w:r>
            <w:r>
              <w:rPr>
                <w:rFonts w:ascii="Arial" w:cs="Arial" w:eastAsia="Arial" w:hAnsi="Arial"/>
                <w:sz w:val="18"/>
                <w:szCs w:val="18"/>
                <w:b w:val="1"/>
                <w:bCs w:val="1"/>
                <w:color w:val="582C83"/>
              </w:rPr>
              <w:t xml:space="preserve"> </w:t>
            </w:r>
            <w:r>
              <w:rPr>
                <w:rFonts w:ascii="Arial" w:cs="Arial" w:eastAsia="Arial" w:hAnsi="Arial"/>
                <w:sz w:val="18"/>
                <w:szCs w:val="18"/>
                <w:color w:val="000000"/>
              </w:rPr>
              <w:t>Aligns directors' and shareholders’ long-term interests.</w:t>
            </w:r>
          </w:p>
        </w:tc>
        <w:tc>
          <w:tcPr>
            <w:tcW w:w="20" w:type="dxa"/>
            <w:vAlign w:val="bottom"/>
          </w:tcPr>
          <w:p>
            <w:pPr>
              <w:spacing w:after="0"/>
              <w:rPr>
                <w:sz w:val="21"/>
                <w:szCs w:val="21"/>
                <w:color w:val="auto"/>
              </w:rPr>
            </w:pPr>
          </w:p>
        </w:tc>
      </w:tr>
      <w:tr>
        <w:trPr>
          <w:trHeight w:val="215"/>
        </w:trPr>
        <w:tc>
          <w:tcPr>
            <w:tcW w:w="5410" w:type="dxa"/>
            <w:vAlign w:val="bottom"/>
          </w:tcPr>
          <w:p>
            <w:pPr>
              <w:ind w:left="80"/>
              <w:spacing w:after="0"/>
              <w:rPr>
                <w:sz w:val="20"/>
                <w:szCs w:val="20"/>
                <w:color w:val="auto"/>
              </w:rPr>
            </w:pPr>
            <w:r>
              <w:rPr>
                <w:rFonts w:ascii="Arial" w:cs="Arial" w:eastAsia="Arial" w:hAnsi="Arial"/>
                <w:sz w:val="18"/>
                <w:szCs w:val="18"/>
                <w:color w:val="auto"/>
              </w:rPr>
              <w:t>Common Stock in an amount equal to five times the annual Board</w:t>
            </w:r>
          </w:p>
        </w:tc>
        <w:tc>
          <w:tcPr>
            <w:tcW w:w="5830" w:type="dxa"/>
            <w:vAlign w:val="bottom"/>
            <w:gridSpan w:val="2"/>
          </w:tcPr>
          <w:p>
            <w:pPr>
              <w:ind w:left="70"/>
              <w:spacing w:after="0"/>
              <w:rPr>
                <w:sz w:val="20"/>
                <w:szCs w:val="20"/>
                <w:color w:val="auto"/>
              </w:rPr>
            </w:pPr>
            <w:r>
              <w:rPr>
                <w:rFonts w:ascii="Arial" w:cs="Arial" w:eastAsia="Arial" w:hAnsi="Arial"/>
                <w:sz w:val="18"/>
                <w:szCs w:val="18"/>
                <w:color w:val="572C83"/>
              </w:rPr>
              <w:t xml:space="preserve">• </w:t>
            </w:r>
            <w:r>
              <w:rPr>
                <w:rFonts w:ascii="Arial" w:cs="Arial" w:eastAsia="Arial" w:hAnsi="Arial"/>
                <w:sz w:val="18"/>
                <w:szCs w:val="18"/>
                <w:color w:val="000000"/>
              </w:rPr>
              <w:t>Many directors exceed the minimum requirement.</w:t>
            </w:r>
          </w:p>
        </w:tc>
        <w:tc>
          <w:tcPr>
            <w:tcW w:w="20" w:type="dxa"/>
            <w:vAlign w:val="bottom"/>
          </w:tcPr>
          <w:p>
            <w:pPr>
              <w:spacing w:after="0"/>
              <w:rPr>
                <w:sz w:val="18"/>
                <w:szCs w:val="18"/>
                <w:color w:val="auto"/>
              </w:rPr>
            </w:pPr>
          </w:p>
        </w:tc>
      </w:tr>
      <w:tr>
        <w:trPr>
          <w:trHeight w:val="231"/>
        </w:trPr>
        <w:tc>
          <w:tcPr>
            <w:tcW w:w="5410" w:type="dxa"/>
            <w:vAlign w:val="bottom"/>
          </w:tcPr>
          <w:p>
            <w:pPr>
              <w:ind w:left="80"/>
              <w:spacing w:after="0"/>
              <w:rPr>
                <w:sz w:val="20"/>
                <w:szCs w:val="20"/>
                <w:color w:val="auto"/>
              </w:rPr>
            </w:pPr>
            <w:r>
              <w:rPr>
                <w:rFonts w:ascii="Arial" w:cs="Arial" w:eastAsia="Arial" w:hAnsi="Arial"/>
                <w:sz w:val="18"/>
                <w:szCs w:val="18"/>
                <w:color w:val="auto"/>
              </w:rPr>
              <w:t>cash retainer within five years of joining the Board.</w:t>
            </w:r>
          </w:p>
        </w:tc>
        <w:tc>
          <w:tcPr>
            <w:tcW w:w="19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5410" w:type="dxa"/>
            <w:vAlign w:val="bottom"/>
            <w:tcBorders>
              <w:bottom w:val="single" w:sz="8" w:color="582C83"/>
            </w:tcBorders>
          </w:tcPr>
          <w:p>
            <w:pPr>
              <w:spacing w:after="0"/>
              <w:rPr>
                <w:sz w:val="2"/>
                <w:szCs w:val="2"/>
                <w:color w:val="auto"/>
              </w:rPr>
            </w:pPr>
          </w:p>
        </w:tc>
        <w:tc>
          <w:tcPr>
            <w:tcW w:w="190" w:type="dxa"/>
            <w:vAlign w:val="bottom"/>
            <w:tcBorders>
              <w:bottom w:val="single" w:sz="8" w:color="582C83"/>
            </w:tcBorders>
          </w:tcPr>
          <w:p>
            <w:pPr>
              <w:spacing w:after="0"/>
              <w:rPr>
                <w:sz w:val="2"/>
                <w:szCs w:val="2"/>
                <w:color w:val="auto"/>
              </w:rPr>
            </w:pPr>
          </w:p>
        </w:tc>
        <w:tc>
          <w:tcPr>
            <w:tcW w:w="5640" w:type="dxa"/>
            <w:vAlign w:val="bottom"/>
            <w:tcBorders>
              <w:bottom w:val="single" w:sz="8" w:color="582C83"/>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410" w:type="dxa"/>
            <w:vAlign w:val="bottom"/>
            <w:tcBorders>
              <w:bottom w:val="single" w:sz="8" w:color="58358F"/>
            </w:tcBorders>
          </w:tcPr>
          <w:p>
            <w:pPr>
              <w:spacing w:after="0"/>
              <w:rPr>
                <w:sz w:val="16"/>
                <w:szCs w:val="16"/>
                <w:color w:val="auto"/>
              </w:rPr>
            </w:pPr>
          </w:p>
        </w:tc>
        <w:tc>
          <w:tcPr>
            <w:tcW w:w="190" w:type="dxa"/>
            <w:vAlign w:val="bottom"/>
            <w:tcBorders>
              <w:bottom w:val="single" w:sz="8" w:color="58358F"/>
            </w:tcBorders>
          </w:tcPr>
          <w:p>
            <w:pPr>
              <w:spacing w:after="0"/>
              <w:rPr>
                <w:sz w:val="16"/>
                <w:szCs w:val="16"/>
                <w:color w:val="auto"/>
              </w:rPr>
            </w:pPr>
          </w:p>
        </w:tc>
        <w:tc>
          <w:tcPr>
            <w:tcW w:w="5640" w:type="dxa"/>
            <w:vAlign w:val="bottom"/>
            <w:tcBorders>
              <w:bottom w:val="single" w:sz="8" w:color="58358F"/>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67"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1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Key practice or policy</w:t>
            </w:r>
          </w:p>
        </w:tc>
        <w:tc>
          <w:tcPr>
            <w:tcW w:w="5850" w:type="dxa"/>
            <w:vAlign w:val="bottom"/>
            <w:tcBorders>
              <w:bottom w:val="single" w:sz="8" w:color="582C83"/>
            </w:tcBorders>
          </w:tcPr>
          <w:p>
            <w:pPr>
              <w:ind w:left="70"/>
              <w:spacing w:after="0"/>
              <w:rPr>
                <w:sz w:val="20"/>
                <w:szCs w:val="20"/>
                <w:color w:val="auto"/>
              </w:rPr>
            </w:pPr>
            <w:r>
              <w:rPr>
                <w:rFonts w:ascii="Arial" w:cs="Arial" w:eastAsia="Arial" w:hAnsi="Arial"/>
                <w:sz w:val="18"/>
                <w:szCs w:val="18"/>
                <w:b w:val="1"/>
                <w:bCs w:val="1"/>
                <w:color w:val="auto"/>
              </w:rPr>
              <w:t>Benefits</w:t>
            </w:r>
          </w:p>
        </w:tc>
      </w:tr>
      <w:tr>
        <w:trPr>
          <w:trHeight w:val="244"/>
        </w:trPr>
        <w:tc>
          <w:tcPr>
            <w:tcW w:w="5410" w:type="dxa"/>
            <w:vAlign w:val="bottom"/>
            <w:shd w:val="clear" w:color="auto" w:fill="EBE6F0"/>
          </w:tcPr>
          <w:p>
            <w:pPr>
              <w:ind w:left="80"/>
              <w:spacing w:after="0"/>
              <w:rPr>
                <w:sz w:val="20"/>
                <w:szCs w:val="20"/>
                <w:color w:val="auto"/>
              </w:rPr>
            </w:pPr>
            <w:r>
              <w:rPr>
                <w:rFonts w:ascii="Arial" w:cs="Arial" w:eastAsia="Arial" w:hAnsi="Arial"/>
                <w:sz w:val="18"/>
                <w:szCs w:val="18"/>
                <w:b w:val="1"/>
                <w:bCs w:val="1"/>
                <w:color w:val="582C83"/>
              </w:rPr>
              <w:t xml:space="preserve">Engagement with Shareholders. </w:t>
            </w:r>
            <w:r>
              <w:rPr>
                <w:rFonts w:ascii="Arial" w:cs="Arial" w:eastAsia="Arial" w:hAnsi="Arial"/>
                <w:sz w:val="18"/>
                <w:szCs w:val="18"/>
                <w:color w:val="000000"/>
              </w:rPr>
              <w:t>We regularly engage with</w:t>
            </w:r>
          </w:p>
        </w:tc>
        <w:tc>
          <w:tcPr>
            <w:tcW w:w="5850" w:type="dxa"/>
            <w:vAlign w:val="bottom"/>
            <w:shd w:val="clear" w:color="auto" w:fill="EBE6F0"/>
          </w:tcPr>
          <w:p>
            <w:pPr>
              <w:ind w:left="70"/>
              <w:spacing w:after="0"/>
              <w:rPr>
                <w:sz w:val="20"/>
                <w:szCs w:val="20"/>
                <w:color w:val="auto"/>
              </w:rPr>
            </w:pPr>
            <w:r>
              <w:rPr>
                <w:rFonts w:ascii="Arial" w:cs="Arial" w:eastAsia="Arial" w:hAnsi="Arial"/>
                <w:sz w:val="18"/>
                <w:szCs w:val="18"/>
                <w:color w:val="auto"/>
                <w:w w:val="98"/>
              </w:rPr>
              <w:t>In 2021, we reached out to shareholders representing approximately 50%</w:t>
            </w:r>
          </w:p>
        </w:tc>
      </w:tr>
      <w:tr>
        <w:trPr>
          <w:trHeight w:val="203"/>
        </w:trPr>
        <w:tc>
          <w:tcPr>
            <w:tcW w:w="541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auto"/>
              </w:rPr>
              <w:t>shareholders to seek their input on emerging issues, address their</w:t>
            </w:r>
          </w:p>
        </w:tc>
        <w:tc>
          <w:tcPr>
            <w:tcW w:w="5850" w:type="dxa"/>
            <w:vAlign w:val="bottom"/>
            <w:shd w:val="clear" w:color="auto" w:fill="EBE6F0"/>
          </w:tcPr>
          <w:p>
            <w:pPr>
              <w:ind w:left="70"/>
              <w:spacing w:after="0" w:line="202" w:lineRule="exact"/>
              <w:rPr>
                <w:sz w:val="20"/>
                <w:szCs w:val="20"/>
                <w:color w:val="auto"/>
              </w:rPr>
            </w:pPr>
            <w:r>
              <w:rPr>
                <w:rFonts w:ascii="Arial" w:cs="Arial" w:eastAsia="Arial" w:hAnsi="Arial"/>
                <w:sz w:val="18"/>
                <w:szCs w:val="18"/>
                <w:color w:val="auto"/>
              </w:rPr>
              <w:t>of our outstanding shares and had conversations with 22 different</w:t>
            </w:r>
          </w:p>
        </w:tc>
      </w:tr>
      <w:tr>
        <w:trPr>
          <w:trHeight w:val="203"/>
        </w:trPr>
        <w:tc>
          <w:tcPr>
            <w:tcW w:w="5410" w:type="dxa"/>
            <w:vAlign w:val="bottom"/>
            <w:shd w:val="clear" w:color="auto" w:fill="EBE6F0"/>
          </w:tcPr>
          <w:p>
            <w:pPr>
              <w:ind w:left="80"/>
              <w:spacing w:after="0" w:line="202" w:lineRule="exact"/>
              <w:rPr>
                <w:sz w:val="20"/>
                <w:szCs w:val="20"/>
                <w:color w:val="auto"/>
              </w:rPr>
            </w:pPr>
            <w:r>
              <w:rPr>
                <w:rFonts w:ascii="Arial" w:cs="Arial" w:eastAsia="Arial" w:hAnsi="Arial"/>
                <w:sz w:val="18"/>
                <w:szCs w:val="18"/>
                <w:color w:val="auto"/>
              </w:rPr>
              <w:t>questions and understand their perspectives.</w:t>
            </w:r>
          </w:p>
        </w:tc>
        <w:tc>
          <w:tcPr>
            <w:tcW w:w="5850" w:type="dxa"/>
            <w:vAlign w:val="bottom"/>
            <w:shd w:val="clear" w:color="auto" w:fill="EBE6F0"/>
          </w:tcPr>
          <w:p>
            <w:pPr>
              <w:ind w:left="70"/>
              <w:spacing w:after="0" w:line="202" w:lineRule="exact"/>
              <w:rPr>
                <w:sz w:val="20"/>
                <w:szCs w:val="20"/>
                <w:color w:val="auto"/>
              </w:rPr>
            </w:pPr>
            <w:r>
              <w:rPr>
                <w:rFonts w:ascii="Arial" w:cs="Arial" w:eastAsia="Arial" w:hAnsi="Arial"/>
                <w:sz w:val="18"/>
                <w:szCs w:val="18"/>
                <w:color w:val="auto"/>
                <w:w w:val="98"/>
              </w:rPr>
              <w:t>shareholders, representing approximately 40% of our outstanding shares.</w:t>
            </w:r>
          </w:p>
        </w:tc>
      </w:tr>
      <w:tr>
        <w:trPr>
          <w:trHeight w:val="203"/>
        </w:trPr>
        <w:tc>
          <w:tcPr>
            <w:tcW w:w="5410" w:type="dxa"/>
            <w:vAlign w:val="bottom"/>
            <w:shd w:val="clear" w:color="auto" w:fill="EBE6F0"/>
          </w:tcPr>
          <w:p>
            <w:pPr>
              <w:spacing w:after="0"/>
              <w:rPr>
                <w:sz w:val="17"/>
                <w:szCs w:val="17"/>
                <w:color w:val="auto"/>
              </w:rPr>
            </w:pPr>
          </w:p>
        </w:tc>
        <w:tc>
          <w:tcPr>
            <w:tcW w:w="5850" w:type="dxa"/>
            <w:vAlign w:val="bottom"/>
            <w:shd w:val="clear" w:color="auto" w:fill="EBE6F0"/>
          </w:tcPr>
          <w:p>
            <w:pPr>
              <w:ind w:left="70"/>
              <w:spacing w:after="0" w:line="202" w:lineRule="exact"/>
              <w:rPr>
                <w:sz w:val="20"/>
                <w:szCs w:val="20"/>
                <w:color w:val="auto"/>
              </w:rPr>
            </w:pPr>
            <w:r>
              <w:rPr>
                <w:rFonts w:ascii="Arial" w:cs="Arial" w:eastAsia="Arial" w:hAnsi="Arial"/>
                <w:sz w:val="18"/>
                <w:szCs w:val="18"/>
                <w:color w:val="auto"/>
              </w:rPr>
              <w:t>The independent Lead Director led meetings with investors representing</w:t>
            </w:r>
          </w:p>
        </w:tc>
      </w:tr>
      <w:tr>
        <w:trPr>
          <w:trHeight w:val="249"/>
        </w:trPr>
        <w:tc>
          <w:tcPr>
            <w:tcW w:w="5410" w:type="dxa"/>
            <w:vAlign w:val="bottom"/>
            <w:tcBorders>
              <w:bottom w:val="single" w:sz="8" w:color="EBE6F0"/>
            </w:tcBorders>
            <w:shd w:val="clear" w:color="auto" w:fill="EBE6F0"/>
          </w:tcPr>
          <w:p>
            <w:pPr>
              <w:spacing w:after="0"/>
              <w:rPr>
                <w:sz w:val="21"/>
                <w:szCs w:val="21"/>
                <w:color w:val="auto"/>
              </w:rPr>
            </w:pPr>
          </w:p>
        </w:tc>
        <w:tc>
          <w:tcPr>
            <w:tcW w:w="585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18"/>
                <w:szCs w:val="18"/>
                <w:color w:val="auto"/>
              </w:rPr>
              <w:t>approximately 30% of outstanding shares.</w:t>
            </w:r>
          </w:p>
        </w:tc>
      </w:tr>
      <w:tr>
        <w:trPr>
          <w:trHeight w:val="27"/>
        </w:trPr>
        <w:tc>
          <w:tcPr>
            <w:tcW w:w="5410" w:type="dxa"/>
            <w:vAlign w:val="bottom"/>
            <w:shd w:val="clear" w:color="auto" w:fill="582C83"/>
          </w:tcPr>
          <w:p>
            <w:pPr>
              <w:spacing w:after="0"/>
              <w:rPr>
                <w:sz w:val="2"/>
                <w:szCs w:val="2"/>
                <w:color w:val="auto"/>
              </w:rPr>
            </w:pPr>
          </w:p>
        </w:tc>
        <w:tc>
          <w:tcPr>
            <w:tcW w:w="5850" w:type="dxa"/>
            <w:vAlign w:val="bottom"/>
            <w:shd w:val="clear" w:color="auto" w:fill="582C83"/>
          </w:tcPr>
          <w:p>
            <w:pPr>
              <w:spacing w:after="0"/>
              <w:rPr>
                <w:sz w:val="2"/>
                <w:szCs w:val="2"/>
                <w:color w:val="auto"/>
              </w:rPr>
            </w:pPr>
          </w:p>
        </w:tc>
      </w:tr>
    </w:tbl>
    <w:p>
      <w:pPr>
        <w:spacing w:after="0" w:line="39" w:lineRule="exact"/>
        <w:rPr>
          <w:sz w:val="20"/>
          <w:szCs w:val="20"/>
          <w:color w:val="auto"/>
        </w:rPr>
      </w:pPr>
    </w:p>
    <w:p>
      <w:pPr>
        <w:sectPr>
          <w:pgSz w:w="11900" w:h="16838" w:orient="portrait"/>
          <w:cols w:equalWidth="0" w:num="1">
            <w:col w:w="11260"/>
          </w:cols>
          <w:pgMar w:left="320" w:top="130" w:right="319" w:bottom="1440" w:gutter="0" w:footer="0" w:header="0"/>
        </w:sectPr>
      </w:pPr>
    </w:p>
    <w:p>
      <w:pPr>
        <w:ind w:left="80"/>
        <w:spacing w:after="0" w:line="242" w:lineRule="auto"/>
        <w:rPr>
          <w:sz w:val="20"/>
          <w:szCs w:val="20"/>
          <w:color w:val="auto"/>
        </w:rPr>
      </w:pPr>
      <w:r>
        <w:rPr>
          <w:rFonts w:ascii="Arial" w:cs="Arial" w:eastAsia="Arial" w:hAnsi="Arial"/>
          <w:sz w:val="18"/>
          <w:szCs w:val="18"/>
          <w:b w:val="1"/>
          <w:bCs w:val="1"/>
          <w:color w:val="582C83"/>
        </w:rPr>
        <w:t xml:space="preserve">Anti-Hedging Policy. </w:t>
      </w:r>
      <w:r>
        <w:rPr>
          <w:rFonts w:ascii="Arial" w:cs="Arial" w:eastAsia="Arial" w:hAnsi="Arial"/>
          <w:sz w:val="18"/>
          <w:szCs w:val="18"/>
          <w:color w:val="000000"/>
        </w:rPr>
        <w:t>Our Insider Trading Policy prohibits our</w:t>
      </w:r>
      <w:r>
        <w:rPr>
          <w:rFonts w:ascii="Arial" w:cs="Arial" w:eastAsia="Arial" w:hAnsi="Arial"/>
          <w:sz w:val="18"/>
          <w:szCs w:val="18"/>
          <w:b w:val="1"/>
          <w:bCs w:val="1"/>
          <w:color w:val="582C83"/>
        </w:rPr>
        <w:t xml:space="preserve"> </w:t>
      </w:r>
      <w:r>
        <w:rPr>
          <w:rFonts w:ascii="Arial" w:cs="Arial" w:eastAsia="Arial" w:hAnsi="Arial"/>
          <w:sz w:val="18"/>
          <w:szCs w:val="18"/>
          <w:color w:val="000000"/>
        </w:rPr>
        <w:t>employees and directors from engaging in transactions involving derivative securities, short-selling or hedging transactions that create an actual or potential bet against Mondelēz International, Inc. or one of its subsidiaries.</w:t>
      </w:r>
    </w:p>
    <w:p>
      <w:pPr>
        <w:spacing w:after="0" w:line="20" w:lineRule="exact"/>
        <w:rPr>
          <w:sz w:val="20"/>
          <w:szCs w:val="20"/>
          <w:color w:val="auto"/>
        </w:rPr>
      </w:pPr>
      <w:r>
        <w:rPr>
          <w:sz w:val="20"/>
          <w:szCs w:val="20"/>
          <w:color w:val="auto"/>
        </w:rPr>
        <w:br w:type="column"/>
      </w:r>
    </w:p>
    <w:p>
      <w:pPr>
        <w:ind w:right="260"/>
        <w:spacing w:after="0" w:line="248" w:lineRule="auto"/>
        <w:rPr>
          <w:sz w:val="20"/>
          <w:szCs w:val="20"/>
          <w:color w:val="auto"/>
        </w:rPr>
      </w:pPr>
      <w:r>
        <w:rPr>
          <w:rFonts w:ascii="Arial" w:cs="Arial" w:eastAsia="Arial" w:hAnsi="Arial"/>
          <w:sz w:val="18"/>
          <w:szCs w:val="18"/>
          <w:color w:val="auto"/>
        </w:rPr>
        <w:t>Prohibits employees and directors from making money in this way if the price of our stock goes down, thus eliminating an incentive tied to a decrease in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278130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5360" w:space="120"/>
            <w:col w:w="5780"/>
          </w:cols>
          <w:pgMar w:left="320" w:top="130" w:right="319" w:bottom="1440" w:gutter="0" w:footer="0" w:header="0"/>
          <w:type w:val="continuous"/>
        </w:sectPr>
      </w:pPr>
    </w:p>
    <w:p>
      <w:pPr>
        <w:spacing w:after="0" w:line="38"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OVERVIEW OF PAY ELEMENTS AND THEIR ALIGNMENT TO OUR STRATEGY</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This table identifies and describes the primary elements of the 2021 executive compensation program for our named executive officers (“NEOs”), including each incentive plan metric’s alignment with our strategy. A more detailed discussion, including definitions of the financial measures used in our Annual Incentive Plan ("AIP") and performance share unit (“PSU”) grants, can be found in the Compensation, Discussion and Analysis ("CD&amp;A") and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5974715" cy="3051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7471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260" w:hanging="332"/>
        <w:spacing w:after="0" w:line="215"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nine KPI goals including Environmental, Social and Governance ("ESG") goals. See Strategic KPI Objectives on page 75 for detail on 2021 KPI goals. 2022 KPI goals for ESG will include end-to-end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36130" cy="810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810260"/>
                    </a:xfrm>
                    <a:prstGeom prst="rect">
                      <a:avLst/>
                    </a:prstGeom>
                    <a:noFill/>
                  </pic:spPr>
                </pic:pic>
              </a:graphicData>
            </a:graphic>
          </wp:anchor>
        </w:drawing>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582C83"/>
        </w:rPr>
        <w:t>2021 COMPENSATION PROGRAM DESIGN CHANGES</w:t>
      </w:r>
    </w:p>
    <w:p>
      <w:pPr>
        <w:spacing w:after="0" w:line="103" w:lineRule="exact"/>
        <w:rPr>
          <w:sz w:val="20"/>
          <w:szCs w:val="20"/>
          <w:color w:val="auto"/>
        </w:rPr>
      </w:pPr>
    </w:p>
    <w:p>
      <w:pPr>
        <w:ind w:left="120" w:right="560"/>
        <w:spacing w:after="0" w:line="259" w:lineRule="auto"/>
        <w:rPr>
          <w:sz w:val="20"/>
          <w:szCs w:val="20"/>
          <w:color w:val="auto"/>
        </w:rPr>
      </w:pPr>
      <w:r>
        <w:rPr>
          <w:rFonts w:ascii="Arial" w:cs="Arial" w:eastAsia="Arial" w:hAnsi="Arial"/>
          <w:sz w:val="22"/>
          <w:szCs w:val="22"/>
          <w:color w:val="auto"/>
        </w:rPr>
        <w:t>We did not make any material changes to our 2021 design relative to our design in 2020. Our program remains aligned with our compensation strategy and reflects ongoing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TOTAL TARGET COMPENSATION MIX</w:t>
      </w:r>
    </w:p>
    <w:p>
      <w:pPr>
        <w:spacing w:after="0" w:line="103"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People and Compensation Committee places significant focus on performance-based compensation, which is provided in the form of an annual performance incentive under the AIP, and stock options and PSUs under the Long-Term Incentive Plan ("LTIP"). Our focus on performance-based compensation rewards strong Company financial and operating performance and aligns the interests of our NEOs with those of our shareholders.</w:t>
      </w:r>
    </w:p>
    <w:p>
      <w:pPr>
        <w:spacing w:after="0" w:line="149" w:lineRule="exact"/>
        <w:rPr>
          <w:sz w:val="20"/>
          <w:szCs w:val="20"/>
          <w:color w:val="auto"/>
        </w:rPr>
      </w:pPr>
    </w:p>
    <w:p>
      <w:pPr>
        <w:ind w:right="180"/>
        <w:spacing w:after="0" w:line="262" w:lineRule="auto"/>
        <w:rPr>
          <w:sz w:val="20"/>
          <w:szCs w:val="20"/>
          <w:color w:val="auto"/>
        </w:rPr>
      </w:pPr>
      <w:r>
        <w:rPr>
          <w:rFonts w:ascii="Arial" w:cs="Arial" w:eastAsia="Arial" w:hAnsi="Arial"/>
          <w:sz w:val="21"/>
          <w:szCs w:val="21"/>
          <w:color w:val="auto"/>
        </w:rPr>
        <w:t>Below is the 2021 total target compensation mix for our CEO and, on average, our other NEOs serving as executive officers on December 31, 2021. This compensation mix includes base pay, target annual incentive and long-term incentive grants. The majority of compensation for both the CEO and the other NEOs is at risk/variable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74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2600"/>
        <w:spacing w:after="0"/>
        <w:rPr>
          <w:sz w:val="20"/>
          <w:szCs w:val="20"/>
          <w:color w:val="auto"/>
        </w:rPr>
      </w:pPr>
      <w:r>
        <w:rPr>
          <w:rFonts w:ascii="Arial" w:cs="Arial" w:eastAsia="Arial" w:hAnsi="Arial"/>
          <w:sz w:val="45"/>
          <w:szCs w:val="45"/>
          <w:b w:val="1"/>
          <w:bCs w:val="1"/>
          <w:color w:val="582C83"/>
        </w:rPr>
        <w:t xml:space="preserve">ITEM 1. </w:t>
      </w:r>
      <w:r>
        <w:rPr>
          <w:rFonts w:ascii="Arial" w:cs="Arial" w:eastAsia="Arial" w:hAnsi="Arial"/>
          <w:sz w:val="47"/>
          <w:szCs w:val="47"/>
          <w:b w:val="1"/>
          <w:bCs w:val="1"/>
          <w:color w:val="582C83"/>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How We Build an Experienced and Qualified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135255</wp:posOffset>
            </wp:positionV>
            <wp:extent cx="6515100" cy="15944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0" cy="15944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25"/>
          <w:szCs w:val="25"/>
          <w:b w:val="1"/>
          <w:bCs w:val="1"/>
          <w:color w:val="582C83"/>
        </w:rPr>
        <w:t>OBJECTIVE</w:t>
      </w:r>
    </w:p>
    <w:p>
      <w:pPr>
        <w:spacing w:after="0" w:line="33" w:lineRule="exact"/>
        <w:rPr>
          <w:sz w:val="20"/>
          <w:szCs w:val="20"/>
          <w:color w:val="auto"/>
        </w:rPr>
      </w:pPr>
    </w:p>
    <w:p>
      <w:pPr>
        <w:ind w:left="880" w:right="420"/>
        <w:spacing w:after="0" w:line="253" w:lineRule="auto"/>
        <w:rPr>
          <w:sz w:val="20"/>
          <w:szCs w:val="20"/>
          <w:color w:val="auto"/>
        </w:rPr>
      </w:pPr>
      <w:r>
        <w:rPr>
          <w:rFonts w:ascii="Arial" w:cs="Arial" w:eastAsia="Arial" w:hAnsi="Arial"/>
          <w:sz w:val="17"/>
          <w:szCs w:val="17"/>
          <w:color w:val="auto"/>
        </w:rPr>
        <w:t>The Governance Committee works with the Board to determine the appropriate mix of individuals that will result in a Board that is strong in its collective knowledge, competencies and experiences.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582C83"/>
        </w:rPr>
        <w:t>HOW WE GET THERE</w:t>
      </w:r>
    </w:p>
    <w:p>
      <w:pPr>
        <w:spacing w:after="0" w:line="33" w:lineRule="exact"/>
        <w:rPr>
          <w:sz w:val="20"/>
          <w:szCs w:val="20"/>
          <w:color w:val="auto"/>
        </w:rPr>
      </w:pPr>
    </w:p>
    <w:p>
      <w:pPr>
        <w:ind w:right="940"/>
        <w:spacing w:after="0" w:line="237" w:lineRule="auto"/>
        <w:rPr>
          <w:sz w:val="20"/>
          <w:szCs w:val="20"/>
          <w:color w:val="auto"/>
        </w:rPr>
      </w:pPr>
      <w:r>
        <w:rPr>
          <w:rFonts w:ascii="Arial" w:cs="Arial" w:eastAsia="Arial" w:hAnsi="Arial"/>
          <w:sz w:val="18"/>
          <w:szCs w:val="18"/>
          <w:color w:val="auto"/>
        </w:rPr>
        <w:t>The Governance Committee identifies, evaluates and recommends to the Board director nominees for election at the Annual Meeting. The Committee invites director nominee suggestions from the directors, management, shareholders and others. In addition, the Governance Committee has retained a third-party executive search firm to assist in identifying and evaluating potential director nominees based on the Board’s recruitment objectives.</w:t>
      </w:r>
    </w:p>
    <w:p>
      <w:pPr>
        <w:spacing w:after="0" w:line="417" w:lineRule="exact"/>
        <w:rPr>
          <w:sz w:val="20"/>
          <w:szCs w:val="20"/>
          <w:color w:val="auto"/>
        </w:rPr>
      </w:pPr>
    </w:p>
    <w:p>
      <w:pPr>
        <w:sectPr>
          <w:pgSz w:w="11900" w:h="16838" w:orient="portrait"/>
          <w:cols w:equalWidth="0" w:num="2">
            <w:col w:w="3560" w:space="720"/>
            <w:col w:w="6960"/>
          </w:cols>
          <w:pgMar w:left="320" w:top="130" w:right="339" w:bottom="1440" w:gutter="0" w:footer="0" w:header="0"/>
          <w:type w:val="continuous"/>
        </w:sectPr>
      </w:pPr>
    </w:p>
    <w:p>
      <w:pPr>
        <w:spacing w:after="0" w:line="218" w:lineRule="exact"/>
        <w:rPr>
          <w:sz w:val="20"/>
          <w:szCs w:val="20"/>
          <w:color w:val="auto"/>
        </w:rPr>
      </w:pPr>
    </w:p>
    <w:p>
      <w:pPr>
        <w:ind w:left="360" w:right="440"/>
        <w:spacing w:after="0" w:line="259" w:lineRule="auto"/>
        <w:rPr>
          <w:sz w:val="20"/>
          <w:szCs w:val="20"/>
          <w:color w:val="auto"/>
        </w:rPr>
      </w:pPr>
      <w:r>
        <w:rPr>
          <w:rFonts w:ascii="Arial" w:cs="Arial" w:eastAsia="Arial" w:hAnsi="Arial"/>
          <w:sz w:val="22"/>
          <w:szCs w:val="22"/>
          <w:color w:val="auto"/>
        </w:rPr>
        <w:t>The Governance Committee considers the factors below when selecting and recruiting directors in the annual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98425</wp:posOffset>
            </wp:positionV>
            <wp:extent cx="6686550" cy="33775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86550" cy="337756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22" w:lineRule="exact"/>
        <w:rPr>
          <w:sz w:val="20"/>
          <w:szCs w:val="20"/>
          <w:color w:val="auto"/>
        </w:rPr>
      </w:pPr>
    </w:p>
    <w:p>
      <w:pPr>
        <w:ind w:left="440" w:right="480"/>
        <w:spacing w:after="0" w:line="268" w:lineRule="auto"/>
        <w:rPr>
          <w:sz w:val="20"/>
          <w:szCs w:val="20"/>
          <w:color w:val="auto"/>
        </w:rPr>
      </w:pPr>
      <w:r>
        <w:rPr>
          <w:rFonts w:ascii="Arial" w:cs="Arial" w:eastAsia="Arial" w:hAnsi="Arial"/>
          <w:sz w:val="21"/>
          <w:szCs w:val="21"/>
          <w:b w:val="1"/>
          <w:bCs w:val="1"/>
          <w:color w:val="582C83"/>
        </w:rPr>
        <w:t>Relevant Qualifications, Knowledge and Experiences</w:t>
      </w:r>
    </w:p>
    <w:p>
      <w:pPr>
        <w:spacing w:after="0" w:line="1" w:lineRule="exact"/>
        <w:rPr>
          <w:sz w:val="20"/>
          <w:szCs w:val="20"/>
          <w:color w:val="auto"/>
        </w:rPr>
      </w:pPr>
    </w:p>
    <w:p>
      <w:pPr>
        <w:ind w:left="440"/>
        <w:spacing w:after="0" w:line="245" w:lineRule="auto"/>
        <w:rPr>
          <w:sz w:val="20"/>
          <w:szCs w:val="20"/>
          <w:color w:val="auto"/>
        </w:rPr>
      </w:pPr>
      <w:r>
        <w:rPr>
          <w:rFonts w:ascii="Arial" w:cs="Arial" w:eastAsia="Arial" w:hAnsi="Arial"/>
          <w:sz w:val="21"/>
          <w:szCs w:val="21"/>
          <w:color w:val="auto"/>
        </w:rPr>
        <w:t>The Board believes all directors should possess certain attributes, including integrity, sound business judgment and strategic vision, as these characteristics are necessary to establish a competent, ethical and well-functioning board that best represents shareholders’ interests.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3" w:right="1120"/>
        <w:spacing w:after="0" w:line="254" w:lineRule="auto"/>
        <w:rPr>
          <w:sz w:val="20"/>
          <w:szCs w:val="20"/>
          <w:color w:val="auto"/>
        </w:rPr>
      </w:pPr>
      <w:r>
        <w:rPr>
          <w:rFonts w:ascii="Arial" w:cs="Arial" w:eastAsia="Arial" w:hAnsi="Arial"/>
          <w:sz w:val="21"/>
          <w:szCs w:val="21"/>
          <w:color w:val="auto"/>
        </w:rPr>
        <w:t>Consistent with our Corporate Governance Guidelines (the “Guidelines”), when evaluating the suitability of an individual for nomination to our Board, the Governance Committee considers:</w:t>
      </w:r>
    </w:p>
    <w:p>
      <w:pPr>
        <w:spacing w:after="0" w:line="3" w:lineRule="exact"/>
        <w:rPr>
          <w:sz w:val="20"/>
          <w:szCs w:val="20"/>
          <w:color w:val="auto"/>
        </w:rPr>
      </w:pPr>
    </w:p>
    <w:p>
      <w:pPr>
        <w:ind w:left="163" w:right="480" w:hanging="163"/>
        <w:spacing w:after="0" w:line="243" w:lineRule="auto"/>
        <w:tabs>
          <w:tab w:leader="none" w:pos="163" w:val="left"/>
        </w:tabs>
        <w:numPr>
          <w:ilvl w:val="0"/>
          <w:numId w:val="5"/>
        </w:numPr>
        <w:rPr>
          <w:rFonts w:ascii="Arial" w:cs="Arial" w:eastAsia="Arial" w:hAnsi="Arial"/>
          <w:sz w:val="22"/>
          <w:szCs w:val="22"/>
          <w:color w:val="582C83"/>
        </w:rPr>
      </w:pPr>
      <w:r>
        <w:rPr>
          <w:rFonts w:ascii="Arial" w:cs="Arial" w:eastAsia="Arial" w:hAnsi="Arial"/>
          <w:sz w:val="22"/>
          <w:szCs w:val="22"/>
          <w:color w:val="auto"/>
        </w:rPr>
        <w:t>the individual's general understanding of the varied disciplines relevant to the success of a large, publicly traded company in today’s global business environment;</w:t>
      </w:r>
    </w:p>
    <w:p>
      <w:pPr>
        <w:spacing w:after="0" w:line="1" w:lineRule="exact"/>
        <w:rPr>
          <w:rFonts w:ascii="Arial" w:cs="Arial" w:eastAsia="Arial" w:hAnsi="Arial"/>
          <w:sz w:val="22"/>
          <w:szCs w:val="22"/>
          <w:color w:val="582C83"/>
        </w:rPr>
      </w:pPr>
    </w:p>
    <w:p>
      <w:pPr>
        <w:ind w:left="163" w:right="700" w:hanging="163"/>
        <w:spacing w:after="0" w:line="249" w:lineRule="auto"/>
        <w:tabs>
          <w:tab w:leader="none" w:pos="163" w:val="left"/>
        </w:tabs>
        <w:numPr>
          <w:ilvl w:val="0"/>
          <w:numId w:val="5"/>
        </w:numPr>
        <w:rPr>
          <w:rFonts w:ascii="Arial" w:cs="Arial" w:eastAsia="Arial" w:hAnsi="Arial"/>
          <w:sz w:val="22"/>
          <w:szCs w:val="22"/>
          <w:color w:val="582C83"/>
        </w:rPr>
      </w:pPr>
      <w:r>
        <w:rPr>
          <w:rFonts w:ascii="Arial" w:cs="Arial" w:eastAsia="Arial" w:hAnsi="Arial"/>
          <w:sz w:val="22"/>
          <w:szCs w:val="22"/>
          <w:color w:val="auto"/>
        </w:rPr>
        <w:t>the individual's understanding of the Company’s global businesses and markets;</w:t>
      </w:r>
    </w:p>
    <w:p>
      <w:pPr>
        <w:spacing w:after="0" w:line="1" w:lineRule="exact"/>
        <w:rPr>
          <w:rFonts w:ascii="Arial" w:cs="Arial" w:eastAsia="Arial" w:hAnsi="Arial"/>
          <w:sz w:val="22"/>
          <w:szCs w:val="22"/>
          <w:color w:val="582C83"/>
        </w:rPr>
      </w:pPr>
    </w:p>
    <w:p>
      <w:pPr>
        <w:ind w:left="163" w:hanging="163"/>
        <w:spacing w:after="0"/>
        <w:tabs>
          <w:tab w:leader="none" w:pos="163" w:val="left"/>
        </w:tabs>
        <w:numPr>
          <w:ilvl w:val="0"/>
          <w:numId w:val="5"/>
        </w:numPr>
        <w:rPr>
          <w:rFonts w:ascii="Arial" w:cs="Arial" w:eastAsia="Arial" w:hAnsi="Arial"/>
          <w:sz w:val="22"/>
          <w:szCs w:val="22"/>
          <w:color w:val="582C83"/>
        </w:rPr>
      </w:pPr>
      <w:r>
        <w:rPr>
          <w:rFonts w:ascii="Arial" w:cs="Arial" w:eastAsia="Arial" w:hAnsi="Arial"/>
          <w:sz w:val="22"/>
          <w:szCs w:val="22"/>
          <w:color w:val="auto"/>
        </w:rPr>
        <w:t>the individual's professional expertise and educational background;</w:t>
      </w:r>
    </w:p>
    <w:p>
      <w:pPr>
        <w:spacing w:after="0" w:line="30" w:lineRule="exact"/>
        <w:rPr>
          <w:rFonts w:ascii="Arial" w:cs="Arial" w:eastAsia="Arial" w:hAnsi="Arial"/>
          <w:sz w:val="22"/>
          <w:szCs w:val="22"/>
          <w:color w:val="582C83"/>
        </w:rPr>
      </w:pPr>
    </w:p>
    <w:p>
      <w:pPr>
        <w:ind w:left="163" w:right="560" w:hanging="163"/>
        <w:spacing w:after="0" w:line="254" w:lineRule="auto"/>
        <w:tabs>
          <w:tab w:leader="none" w:pos="163" w:val="left"/>
        </w:tabs>
        <w:numPr>
          <w:ilvl w:val="0"/>
          <w:numId w:val="5"/>
        </w:numPr>
        <w:rPr>
          <w:rFonts w:ascii="Arial" w:cs="Arial" w:eastAsia="Arial" w:hAnsi="Arial"/>
          <w:sz w:val="21"/>
          <w:szCs w:val="21"/>
          <w:color w:val="582C83"/>
        </w:rPr>
      </w:pPr>
      <w:r>
        <w:rPr>
          <w:rFonts w:ascii="Arial" w:cs="Arial" w:eastAsia="Arial" w:hAnsi="Arial"/>
          <w:sz w:val="21"/>
          <w:szCs w:val="21"/>
          <w:color w:val="auto"/>
        </w:rPr>
        <w:t>other factors that promote diversity of views, knowledge, experience and backgrounds, including diversity with respect to demographics such as gender, race, ethnicity, national origin and geography;</w:t>
      </w:r>
    </w:p>
    <w:p>
      <w:pPr>
        <w:spacing w:after="0" w:line="2" w:lineRule="exact"/>
        <w:rPr>
          <w:rFonts w:ascii="Arial" w:cs="Arial" w:eastAsia="Arial" w:hAnsi="Arial"/>
          <w:sz w:val="21"/>
          <w:szCs w:val="21"/>
          <w:color w:val="582C83"/>
        </w:rPr>
      </w:pPr>
    </w:p>
    <w:p>
      <w:pPr>
        <w:ind w:left="163" w:right="680" w:hanging="163"/>
        <w:spacing w:after="0"/>
        <w:tabs>
          <w:tab w:leader="none" w:pos="163" w:val="left"/>
        </w:tabs>
        <w:numPr>
          <w:ilvl w:val="0"/>
          <w:numId w:val="5"/>
        </w:numPr>
        <w:rPr>
          <w:rFonts w:ascii="Arial" w:cs="Arial" w:eastAsia="Arial" w:hAnsi="Arial"/>
          <w:sz w:val="22"/>
          <w:szCs w:val="22"/>
          <w:color w:val="582C83"/>
        </w:rPr>
      </w:pPr>
      <w:r>
        <w:rPr>
          <w:rFonts w:ascii="Arial" w:cs="Arial" w:eastAsia="Arial" w:hAnsi="Arial"/>
          <w:sz w:val="22"/>
          <w:szCs w:val="22"/>
          <w:color w:val="auto"/>
        </w:rPr>
        <w:t>whether the individual meets various independence requirements, including whether an individual’s service on boards and board committees of other organizations is consistent with our conflicts of interest policy; and</w:t>
      </w:r>
    </w:p>
    <w:p>
      <w:pPr>
        <w:ind w:left="163" w:right="480" w:hanging="163"/>
        <w:spacing w:after="0" w:line="243" w:lineRule="auto"/>
        <w:tabs>
          <w:tab w:leader="none" w:pos="163" w:val="left"/>
        </w:tabs>
        <w:numPr>
          <w:ilvl w:val="0"/>
          <w:numId w:val="5"/>
        </w:numPr>
        <w:rPr>
          <w:rFonts w:ascii="Arial" w:cs="Arial" w:eastAsia="Arial" w:hAnsi="Arial"/>
          <w:sz w:val="22"/>
          <w:szCs w:val="22"/>
          <w:color w:val="582C83"/>
        </w:rPr>
      </w:pPr>
      <w:r>
        <w:rPr>
          <w:rFonts w:ascii="Arial" w:cs="Arial" w:eastAsia="Arial" w:hAnsi="Arial"/>
          <w:sz w:val="22"/>
          <w:szCs w:val="22"/>
          <w:color w:val="auto"/>
        </w:rPr>
        <w:t>whether the individual can devote sufficient time and effort to fulfill a director’s responsibilities to the Company, given the individual’s other commitments.</w:t>
      </w:r>
    </w:p>
    <w:p>
      <w:pPr>
        <w:spacing w:after="0" w:line="1" w:lineRule="exact"/>
        <w:rPr>
          <w:sz w:val="20"/>
          <w:szCs w:val="20"/>
          <w:color w:val="auto"/>
        </w:rPr>
      </w:pPr>
    </w:p>
    <w:p>
      <w:pPr>
        <w:ind w:left="3"/>
        <w:spacing w:after="0"/>
        <w:rPr>
          <w:sz w:val="20"/>
          <w:szCs w:val="20"/>
          <w:color w:val="auto"/>
        </w:rPr>
      </w:pPr>
      <w:r>
        <w:rPr>
          <w:rFonts w:ascii="Arial" w:cs="Arial" w:eastAsia="Arial" w:hAnsi="Arial"/>
          <w:sz w:val="22"/>
          <w:szCs w:val="22"/>
          <w:color w:val="auto"/>
        </w:rPr>
        <w:t>See Key Competencies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182245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177"/>
            <w:col w:w="7223"/>
          </w:cols>
          <w:pgMar w:left="320" w:top="130" w:right="339" w:bottom="1440" w:gutter="0" w:footer="0" w:header="0"/>
          <w:type w:val="continuous"/>
        </w:sectPr>
      </w:pPr>
    </w:p>
    <w:p>
      <w:pPr>
        <w:spacing w:after="0" w:line="167"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ectPr>
          <w:pgSz w:w="11900" w:h="16838" w:orient="portrait"/>
          <w:cols w:equalWidth="0" w:num="1">
            <w:col w:w="11260"/>
          </w:cols>
          <w:pgMar w:left="320" w:top="130" w:right="31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80" w:right="1220"/>
        <w:spacing w:after="0" w:line="256" w:lineRule="auto"/>
        <w:rPr>
          <w:sz w:val="20"/>
          <w:szCs w:val="20"/>
          <w:color w:val="auto"/>
        </w:rPr>
      </w:pPr>
      <w:r>
        <w:rPr>
          <w:rFonts w:ascii="Arial" w:cs="Arial" w:eastAsia="Arial" w:hAnsi="Arial"/>
          <w:sz w:val="22"/>
          <w:szCs w:val="22"/>
          <w:b w:val="1"/>
          <w:bCs w:val="1"/>
          <w:color w:val="582C83"/>
        </w:rPr>
        <w:t>Individual Director Self-Assessments</w:t>
      </w:r>
    </w:p>
    <w:p>
      <w:pPr>
        <w:spacing w:after="0" w:line="1" w:lineRule="exact"/>
        <w:rPr>
          <w:sz w:val="20"/>
          <w:szCs w:val="20"/>
          <w:color w:val="auto"/>
        </w:rPr>
      </w:pPr>
    </w:p>
    <w:p>
      <w:pPr>
        <w:ind w:left="80"/>
        <w:spacing w:after="0" w:line="235" w:lineRule="auto"/>
        <w:rPr>
          <w:sz w:val="20"/>
          <w:szCs w:val="20"/>
          <w:color w:val="auto"/>
        </w:rPr>
      </w:pPr>
      <w:r>
        <w:rPr>
          <w:rFonts w:ascii="Arial" w:cs="Arial" w:eastAsia="Arial" w:hAnsi="Arial"/>
          <w:sz w:val="22"/>
          <w:szCs w:val="22"/>
          <w:color w:val="auto"/>
        </w:rPr>
        <w:t>The Board believes that directors should not expect to be renominated automatically and that directors' qualifications and performance should be evaluated annually.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Annually, all incumbent director nominees complete questionnaires to update and confirm their background, qualifications and skills, and identify any potential conflicts of interest. The Governance Committee, in coordination with the independent Lead Director, assesses the experience, qualifications, attributes, skills, diversity and contributions of each director. The Governance Committee also considers each individual in the context of the Board composition as a whole, with the objective of recruiting and recommending a slate of director nominees who can best sustain the Company’s success and represent our shareholders’ interests through the exercise of sound judgment and informed decision-making.</w:t>
      </w:r>
    </w:p>
    <w:p>
      <w:pPr>
        <w:spacing w:after="0" w:line="24" w:lineRule="exact"/>
        <w:rPr>
          <w:sz w:val="20"/>
          <w:szCs w:val="20"/>
          <w:color w:val="auto"/>
        </w:rPr>
      </w:pPr>
    </w:p>
    <w:p>
      <w:pPr>
        <w:sectPr>
          <w:pgSz w:w="11900" w:h="16838" w:orient="portrait"/>
          <w:cols w:equalWidth="0" w:num="2">
            <w:col w:w="3720" w:space="180"/>
            <w:col w:w="7360"/>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96"/>
        </w:trPr>
        <w:tc>
          <w:tcPr>
            <w:tcW w:w="383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22"/>
                <w:szCs w:val="22"/>
                <w:b w:val="1"/>
                <w:bCs w:val="1"/>
                <w:color w:val="582C83"/>
              </w:rPr>
              <w:t>Board Refreshment Through</w:t>
            </w:r>
          </w:p>
        </w:tc>
        <w:tc>
          <w:tcPr>
            <w:tcW w:w="743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22"/>
                <w:szCs w:val="22"/>
                <w:color w:val="auto"/>
              </w:rPr>
              <w:t>The annual Board and director self-assessment processes are important</w:t>
            </w:r>
          </w:p>
        </w:tc>
      </w:tr>
      <w:tr>
        <w:trPr>
          <w:trHeight w:val="286"/>
        </w:trPr>
        <w:tc>
          <w:tcPr>
            <w:tcW w:w="383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Director Tenure and Age Limits</w:t>
            </w:r>
          </w:p>
        </w:tc>
        <w:tc>
          <w:tcPr>
            <w:tcW w:w="7430" w:type="dxa"/>
            <w:vAlign w:val="bottom"/>
            <w:shd w:val="clear" w:color="auto" w:fill="EBE6F0"/>
          </w:tcPr>
          <w:p>
            <w:pPr>
              <w:ind w:left="70"/>
              <w:spacing w:after="0"/>
              <w:rPr>
                <w:sz w:val="20"/>
                <w:szCs w:val="20"/>
                <w:color w:val="auto"/>
              </w:rPr>
            </w:pPr>
            <w:r>
              <w:rPr>
                <w:rFonts w:ascii="Arial" w:cs="Arial" w:eastAsia="Arial" w:hAnsi="Arial"/>
                <w:sz w:val="22"/>
                <w:szCs w:val="22"/>
                <w:color w:val="auto"/>
              </w:rPr>
              <w:t>determinants in a director’s renomination and tenure.</w:t>
            </w:r>
          </w:p>
        </w:tc>
      </w:tr>
      <w:tr>
        <w:trPr>
          <w:trHeight w:val="243"/>
        </w:trPr>
        <w:tc>
          <w:tcPr>
            <w:tcW w:w="383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The Board believes that its</w:t>
            </w:r>
          </w:p>
        </w:tc>
        <w:tc>
          <w:tcPr>
            <w:tcW w:w="7430" w:type="dxa"/>
            <w:vAlign w:val="bottom"/>
            <w:shd w:val="clear" w:color="auto" w:fill="EBE6F0"/>
          </w:tcPr>
          <w:p>
            <w:pPr>
              <w:spacing w:after="0"/>
              <w:rPr>
                <w:sz w:val="21"/>
                <w:szCs w:val="21"/>
                <w:color w:val="auto"/>
              </w:rPr>
            </w:pPr>
          </w:p>
        </w:tc>
      </w:tr>
      <w:tr>
        <w:trPr>
          <w:trHeight w:val="256"/>
        </w:trPr>
        <w:tc>
          <w:tcPr>
            <w:tcW w:w="3830" w:type="dxa"/>
            <w:vAlign w:val="bottom"/>
            <w:shd w:val="clear" w:color="auto" w:fill="EBE6F0"/>
          </w:tcPr>
          <w:p>
            <w:pPr>
              <w:ind w:left="80"/>
              <w:spacing w:after="0"/>
              <w:rPr>
                <w:sz w:val="20"/>
                <w:szCs w:val="20"/>
                <w:color w:val="auto"/>
              </w:rPr>
            </w:pPr>
            <w:r>
              <w:rPr>
                <w:rFonts w:ascii="Arial" w:cs="Arial" w:eastAsia="Arial" w:hAnsi="Arial"/>
                <w:sz w:val="22"/>
                <w:szCs w:val="22"/>
                <w:color w:val="auto"/>
              </w:rPr>
              <w:t>composition should provide continuity</w:t>
            </w:r>
          </w:p>
        </w:tc>
        <w:tc>
          <w:tcPr>
            <w:tcW w:w="7430" w:type="dxa"/>
            <w:vAlign w:val="bottom"/>
            <w:shd w:val="clear" w:color="auto" w:fill="EBE6F0"/>
          </w:tcPr>
          <w:p>
            <w:pPr>
              <w:ind w:left="70"/>
              <w:spacing w:after="0"/>
              <w:rPr>
                <w:sz w:val="20"/>
                <w:szCs w:val="20"/>
                <w:color w:val="auto"/>
              </w:rPr>
            </w:pPr>
            <w:r>
              <w:rPr>
                <w:rFonts w:ascii="Arial" w:cs="Arial" w:eastAsia="Arial" w:hAnsi="Arial"/>
                <w:sz w:val="22"/>
                <w:szCs w:val="22"/>
                <w:color w:val="auto"/>
              </w:rPr>
              <w:t>Our Guidelines provide that non-employee directors will have a tenure limit</w:t>
            </w:r>
          </w:p>
        </w:tc>
      </w:tr>
      <w:tr>
        <w:trPr>
          <w:trHeight w:val="243"/>
        </w:trPr>
        <w:tc>
          <w:tcPr>
            <w:tcW w:w="383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as well as new experiences and fresh</w:t>
            </w:r>
          </w:p>
        </w:tc>
        <w:tc>
          <w:tcPr>
            <w:tcW w:w="743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auto"/>
              </w:rPr>
              <w:t>of 15 years. In addition, non-employee directors will not be nominated for</w:t>
            </w:r>
          </w:p>
        </w:tc>
      </w:tr>
      <w:tr>
        <w:trPr>
          <w:trHeight w:val="243"/>
        </w:trPr>
        <w:tc>
          <w:tcPr>
            <w:tcW w:w="383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perspectives relevant to the Board’s</w:t>
            </w:r>
          </w:p>
        </w:tc>
        <w:tc>
          <w:tcPr>
            <w:tcW w:w="743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auto"/>
              </w:rPr>
              <w:t>re-election to the Board after age 75, except in the case of a non-employee</w:t>
            </w:r>
          </w:p>
        </w:tc>
      </w:tr>
      <w:tr>
        <w:trPr>
          <w:trHeight w:val="271"/>
        </w:trPr>
        <w:tc>
          <w:tcPr>
            <w:tcW w:w="3830" w:type="dxa"/>
            <w:vAlign w:val="bottom"/>
            <w:shd w:val="clear" w:color="auto" w:fill="EBE6F0"/>
          </w:tcPr>
          <w:p>
            <w:pPr>
              <w:ind w:left="80"/>
              <w:spacing w:after="0"/>
              <w:rPr>
                <w:sz w:val="20"/>
                <w:szCs w:val="20"/>
                <w:color w:val="auto"/>
              </w:rPr>
            </w:pPr>
            <w:r>
              <w:rPr>
                <w:rFonts w:ascii="Arial" w:cs="Arial" w:eastAsia="Arial" w:hAnsi="Arial"/>
                <w:sz w:val="22"/>
                <w:szCs w:val="22"/>
                <w:color w:val="auto"/>
              </w:rPr>
              <w:t>work.</w:t>
            </w:r>
          </w:p>
        </w:tc>
        <w:tc>
          <w:tcPr>
            <w:tcW w:w="7430" w:type="dxa"/>
            <w:vAlign w:val="bottom"/>
            <w:shd w:val="clear" w:color="auto" w:fill="EBE6F0"/>
          </w:tcPr>
          <w:p>
            <w:pPr>
              <w:ind w:left="70"/>
              <w:spacing w:after="0"/>
              <w:rPr>
                <w:sz w:val="20"/>
                <w:szCs w:val="20"/>
                <w:color w:val="auto"/>
              </w:rPr>
            </w:pPr>
            <w:r>
              <w:rPr>
                <w:rFonts w:ascii="Arial" w:cs="Arial" w:eastAsia="Arial" w:hAnsi="Arial"/>
                <w:sz w:val="22"/>
                <w:szCs w:val="22"/>
                <w:color w:val="auto"/>
              </w:rPr>
              <w:t>director who first joins the Board between age 70 and 75. In such a case,</w:t>
            </w:r>
          </w:p>
        </w:tc>
      </w:tr>
      <w:tr>
        <w:trPr>
          <w:trHeight w:val="283"/>
        </w:trPr>
        <w:tc>
          <w:tcPr>
            <w:tcW w:w="3830" w:type="dxa"/>
            <w:vAlign w:val="bottom"/>
            <w:shd w:val="clear" w:color="auto" w:fill="EBE6F0"/>
          </w:tcPr>
          <w:p>
            <w:pPr>
              <w:spacing w:after="0"/>
              <w:rPr>
                <w:sz w:val="24"/>
                <w:szCs w:val="24"/>
                <w:color w:val="auto"/>
              </w:rPr>
            </w:pPr>
          </w:p>
        </w:tc>
        <w:tc>
          <w:tcPr>
            <w:tcW w:w="7430" w:type="dxa"/>
            <w:vAlign w:val="bottom"/>
            <w:shd w:val="clear" w:color="auto" w:fill="EBE6F0"/>
          </w:tcPr>
          <w:p>
            <w:pPr>
              <w:ind w:left="70"/>
              <w:spacing w:after="0"/>
              <w:rPr>
                <w:sz w:val="20"/>
                <w:szCs w:val="20"/>
                <w:color w:val="auto"/>
              </w:rPr>
            </w:pPr>
            <w:r>
              <w:rPr>
                <w:rFonts w:ascii="Arial" w:cs="Arial" w:eastAsia="Arial" w:hAnsi="Arial"/>
                <w:sz w:val="22"/>
                <w:szCs w:val="22"/>
                <w:color w:val="auto"/>
              </w:rPr>
              <w:t>the director will have a tenure limit of five years.</w:t>
            </w:r>
          </w:p>
        </w:tc>
      </w:tr>
      <w:tr>
        <w:trPr>
          <w:trHeight w:val="527"/>
        </w:trPr>
        <w:tc>
          <w:tcPr>
            <w:tcW w:w="3830" w:type="dxa"/>
            <w:vAlign w:val="bottom"/>
            <w:shd w:val="clear" w:color="auto" w:fill="EBE6F0"/>
          </w:tcPr>
          <w:p>
            <w:pPr>
              <w:spacing w:after="0"/>
              <w:rPr>
                <w:sz w:val="24"/>
                <w:szCs w:val="24"/>
                <w:color w:val="auto"/>
              </w:rPr>
            </w:pPr>
          </w:p>
        </w:tc>
        <w:tc>
          <w:tcPr>
            <w:tcW w:w="7430" w:type="dxa"/>
            <w:vAlign w:val="bottom"/>
            <w:shd w:val="clear" w:color="auto" w:fill="EBE6F0"/>
          </w:tcPr>
          <w:p>
            <w:pPr>
              <w:ind w:left="70"/>
              <w:spacing w:after="0"/>
              <w:rPr>
                <w:sz w:val="20"/>
                <w:szCs w:val="20"/>
                <w:color w:val="auto"/>
              </w:rPr>
            </w:pPr>
            <w:r>
              <w:rPr>
                <w:rFonts w:ascii="Arial" w:cs="Arial" w:eastAsia="Arial" w:hAnsi="Arial"/>
                <w:sz w:val="22"/>
                <w:szCs w:val="22"/>
                <w:color w:val="auto"/>
              </w:rPr>
              <w:t>The current Board composition reflects the Board’s commitment to ongoing</w:t>
            </w:r>
          </w:p>
        </w:tc>
      </w:tr>
      <w:tr>
        <w:trPr>
          <w:trHeight w:val="243"/>
        </w:trPr>
        <w:tc>
          <w:tcPr>
            <w:tcW w:w="3830" w:type="dxa"/>
            <w:vAlign w:val="bottom"/>
            <w:shd w:val="clear" w:color="auto" w:fill="EBE6F0"/>
          </w:tcPr>
          <w:p>
            <w:pPr>
              <w:spacing w:after="0"/>
              <w:rPr>
                <w:sz w:val="21"/>
                <w:szCs w:val="21"/>
                <w:color w:val="auto"/>
              </w:rPr>
            </w:pPr>
          </w:p>
        </w:tc>
        <w:tc>
          <w:tcPr>
            <w:tcW w:w="743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auto"/>
              </w:rPr>
              <w:t>refreshment and the importance of maintaining a balance of tenure and</w:t>
            </w:r>
          </w:p>
        </w:tc>
      </w:tr>
      <w:tr>
        <w:trPr>
          <w:trHeight w:val="303"/>
        </w:trPr>
        <w:tc>
          <w:tcPr>
            <w:tcW w:w="3830" w:type="dxa"/>
            <w:vAlign w:val="bottom"/>
            <w:tcBorders>
              <w:bottom w:val="single" w:sz="8" w:color="EBE6F0"/>
            </w:tcBorders>
            <w:shd w:val="clear" w:color="auto" w:fill="EBE6F0"/>
          </w:tcPr>
          <w:p>
            <w:pPr>
              <w:spacing w:after="0"/>
              <w:rPr>
                <w:sz w:val="24"/>
                <w:szCs w:val="24"/>
                <w:color w:val="auto"/>
              </w:rPr>
            </w:pPr>
          </w:p>
        </w:tc>
        <w:tc>
          <w:tcPr>
            <w:tcW w:w="743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22"/>
                <w:szCs w:val="22"/>
                <w:color w:val="auto"/>
              </w:rPr>
              <w:t>experience.</w:t>
            </w:r>
          </w:p>
        </w:tc>
      </w:tr>
      <w:tr>
        <w:trPr>
          <w:trHeight w:val="27"/>
        </w:trPr>
        <w:tc>
          <w:tcPr>
            <w:tcW w:w="3830" w:type="dxa"/>
            <w:vAlign w:val="bottom"/>
            <w:shd w:val="clear" w:color="auto" w:fill="582C83"/>
          </w:tcPr>
          <w:p>
            <w:pPr>
              <w:spacing w:after="0"/>
              <w:rPr>
                <w:sz w:val="2"/>
                <w:szCs w:val="2"/>
                <w:color w:val="auto"/>
              </w:rPr>
            </w:pPr>
          </w:p>
        </w:tc>
        <w:tc>
          <w:tcPr>
            <w:tcW w:w="7430" w:type="dxa"/>
            <w:vAlign w:val="bottom"/>
            <w:shd w:val="clear" w:color="auto" w:fill="582C83"/>
          </w:tcPr>
          <w:p>
            <w:pPr>
              <w:spacing w:after="0"/>
              <w:rPr>
                <w:sz w:val="2"/>
                <w:szCs w:val="2"/>
                <w:color w:val="auto"/>
              </w:rPr>
            </w:pPr>
          </w:p>
        </w:tc>
      </w:tr>
    </w:tbl>
    <w:p>
      <w:pPr>
        <w:spacing w:after="0" w:line="26" w:lineRule="exact"/>
        <w:rPr>
          <w:sz w:val="20"/>
          <w:szCs w:val="20"/>
          <w:color w:val="auto"/>
        </w:rPr>
      </w:pPr>
    </w:p>
    <w:p>
      <w:pPr>
        <w:sectPr>
          <w:pgSz w:w="11900" w:h="16838" w:orient="portrait"/>
          <w:cols w:equalWidth="0" w:num="1">
            <w:col w:w="11260"/>
          </w:cols>
          <w:pgMar w:left="320" w:top="130" w:right="319" w:bottom="1440" w:gutter="0" w:footer="0" w:header="0"/>
          <w:type w:val="continuous"/>
        </w:sectPr>
      </w:pPr>
    </w:p>
    <w:p>
      <w:pPr>
        <w:ind w:left="80" w:right="540"/>
        <w:spacing w:after="0" w:line="256" w:lineRule="auto"/>
        <w:rPr>
          <w:sz w:val="20"/>
          <w:szCs w:val="20"/>
          <w:color w:val="auto"/>
        </w:rPr>
      </w:pPr>
      <w:r>
        <w:rPr>
          <w:rFonts w:ascii="Arial" w:cs="Arial" w:eastAsia="Arial" w:hAnsi="Arial"/>
          <w:sz w:val="22"/>
          <w:szCs w:val="22"/>
          <w:b w:val="1"/>
          <w:bCs w:val="1"/>
          <w:color w:val="582C83"/>
        </w:rPr>
        <w:t>The Board Seeks and Values Diversity</w:t>
      </w:r>
    </w:p>
    <w:p>
      <w:pPr>
        <w:spacing w:after="0" w:line="1" w:lineRule="exact"/>
        <w:rPr>
          <w:sz w:val="20"/>
          <w:szCs w:val="20"/>
          <w:color w:val="auto"/>
        </w:rPr>
      </w:pPr>
    </w:p>
    <w:p>
      <w:pPr>
        <w:ind w:left="80"/>
        <w:spacing w:after="0" w:line="256" w:lineRule="auto"/>
        <w:rPr>
          <w:sz w:val="20"/>
          <w:szCs w:val="20"/>
          <w:color w:val="auto"/>
        </w:rPr>
      </w:pPr>
      <w:r>
        <w:rPr>
          <w:rFonts w:ascii="Arial" w:cs="Arial" w:eastAsia="Arial" w:hAnsi="Arial"/>
          <w:sz w:val="21"/>
          <w:szCs w:val="21"/>
          <w:color w:val="auto"/>
        </w:rPr>
        <w:t>The Board’s overall diversity is an important aspect of the director recruitment and nomination process.</w:t>
      </w:r>
    </w:p>
    <w:p>
      <w:pPr>
        <w:spacing w:after="0" w:line="20" w:lineRule="exact"/>
        <w:rPr>
          <w:sz w:val="20"/>
          <w:szCs w:val="20"/>
          <w:color w:val="auto"/>
        </w:rPr>
      </w:pPr>
      <w:r>
        <w:rPr>
          <w:sz w:val="20"/>
          <w:szCs w:val="20"/>
          <w:color w:val="auto"/>
        </w:rPr>
        <w:br w:type="column"/>
      </w:r>
    </w:p>
    <w:p>
      <w:pPr>
        <w:ind w:right="440"/>
        <w:spacing w:after="0"/>
        <w:rPr>
          <w:sz w:val="20"/>
          <w:szCs w:val="20"/>
          <w:color w:val="auto"/>
        </w:rPr>
      </w:pPr>
      <w:r>
        <w:rPr>
          <w:rFonts w:ascii="Arial" w:cs="Arial" w:eastAsia="Arial" w:hAnsi="Arial"/>
          <w:sz w:val="22"/>
          <w:szCs w:val="22"/>
          <w:color w:val="auto"/>
        </w:rPr>
        <w:t>The director nominees include four women, represent several national origins, vary in age from 57 to 73, and collectively bring a range of professional and life experiences to the Board. Two self-identify as Black and eight self-identify as white.</w:t>
      </w:r>
    </w:p>
    <w:p>
      <w:pPr>
        <w:spacing w:after="0" w:line="284" w:lineRule="exact"/>
        <w:rPr>
          <w:sz w:val="20"/>
          <w:szCs w:val="20"/>
          <w:color w:val="auto"/>
        </w:rPr>
      </w:pPr>
    </w:p>
    <w:p>
      <w:pPr>
        <w:ind w:right="120"/>
        <w:spacing w:after="0" w:line="245" w:lineRule="auto"/>
        <w:rPr>
          <w:sz w:val="20"/>
          <w:szCs w:val="20"/>
          <w:color w:val="auto"/>
        </w:rPr>
      </w:pPr>
      <w:r>
        <w:rPr>
          <w:rFonts w:ascii="Arial" w:cs="Arial" w:eastAsia="Arial" w:hAnsi="Arial"/>
          <w:sz w:val="21"/>
          <w:szCs w:val="21"/>
          <w:color w:val="auto"/>
        </w:rPr>
        <w:t>When assembling the pool of candidates from which directors are selected, the Governance Committee considers criteria including gender, race, ethnicity, national origin and geography, as diversity in those characteristics promotes a diversity of views, knowledge, experience and backgrounds that contributes to a more informed and effective decision-making process. As part of the search process for each new director, the Governance Committee actively seeks out (and will instruct any search firm that it engages to provide) women and minority candidates to include in the pool from which director nominees are chosen. The Governance Committee assesses the effectiveness of the efforts by the Board to promote diversity as part of its annual assessment of the Board's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26670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340"/>
            <w:col w:w="7360"/>
          </w:cols>
          <w:pgMar w:left="320" w:top="130" w:right="319" w:bottom="1440" w:gutter="0" w:footer="0" w:header="0"/>
          <w:type w:val="continuous"/>
        </w:sectPr>
      </w:pPr>
    </w:p>
    <w:p>
      <w:pPr>
        <w:spacing w:after="0" w:line="45"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This year, the Board is renominating ten incumbent directors. Peter W. May, Fredric G. Reynolds and Jean-François M. L. van Boxmeer will not stand for re-election at the Annual Meeting. Patrick Siewert will succeed Mr. van Boxmeer as independent Lead Director, provided he is re-elected to the Board. Effective as of the Annual Meeting, the size of the Board will be reduced to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BOARD COMPOSITION: DIRECTOR QUALIFICATIONS, KNOWLEDGE AND EXPERIENCE</w:t>
      </w:r>
    </w:p>
    <w:p>
      <w:pPr>
        <w:spacing w:after="0" w:line="103"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Governance Committee works with the Board to determine the appropriate mix of individuals that will result in a Board that is strong in its collective qualifications, knowledge, diversity and experience. We believe such a Board is best equipped to fulfill its responsibilities, perpetuate the Company’s long-term success and represent all shareholders’ interests. Based upon its discussions with the Board, the Governance Committee has identified key competencies that are desirable in order for the Board to fulfill its current and future obligations: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40" w:type="dxa"/>
            <w:vAlign w:val="bottom"/>
            <w:tcBorders>
              <w:bottom w:val="single" w:sz="8" w:color="582C83"/>
            </w:tcBorders>
          </w:tcPr>
          <w:p>
            <w:pPr>
              <w:jc w:val="center"/>
              <w:spacing w:after="0"/>
              <w:rPr>
                <w:sz w:val="20"/>
                <w:szCs w:val="20"/>
                <w:color w:val="auto"/>
              </w:rPr>
            </w:pPr>
            <w:r>
              <w:rPr>
                <w:rFonts w:ascii="Arial" w:cs="Arial" w:eastAsia="Arial" w:hAnsi="Arial"/>
                <w:sz w:val="22"/>
                <w:szCs w:val="22"/>
                <w:b w:val="1"/>
                <w:bCs w:val="1"/>
                <w:color w:val="auto"/>
                <w:w w:val="97"/>
              </w:rPr>
              <w:t>Key Competencies</w:t>
            </w:r>
          </w:p>
        </w:tc>
        <w:tc>
          <w:tcPr>
            <w:tcW w:w="5170" w:type="dxa"/>
            <w:vAlign w:val="bottom"/>
            <w:tcBorders>
              <w:bottom w:val="single" w:sz="8" w:color="582C83"/>
            </w:tcBorders>
          </w:tcPr>
          <w:p>
            <w:pPr>
              <w:spacing w:after="0"/>
              <w:rPr>
                <w:sz w:val="24"/>
                <w:szCs w:val="24"/>
                <w:color w:val="auto"/>
              </w:rPr>
            </w:pPr>
          </w:p>
        </w:tc>
        <w:tc>
          <w:tcPr>
            <w:tcW w:w="4050" w:type="dxa"/>
            <w:vAlign w:val="bottom"/>
            <w:tcBorders>
              <w:bottom w:val="single" w:sz="8" w:color="582C83"/>
            </w:tcBorders>
          </w:tcPr>
          <w:p>
            <w:pPr>
              <w:ind w:left="70"/>
              <w:spacing w:after="0"/>
              <w:rPr>
                <w:sz w:val="20"/>
                <w:szCs w:val="20"/>
                <w:color w:val="auto"/>
              </w:rPr>
            </w:pPr>
            <w:r>
              <w:rPr>
                <w:rFonts w:ascii="Arial" w:cs="Arial" w:eastAsia="Arial" w:hAnsi="Arial"/>
                <w:sz w:val="22"/>
                <w:szCs w:val="22"/>
                <w:b w:val="1"/>
                <w:bCs w:val="1"/>
                <w:color w:val="auto"/>
              </w:rPr>
              <w:t>Relevant Experience</w:t>
            </w:r>
          </w:p>
        </w:tc>
        <w:tc>
          <w:tcPr>
            <w:tcW w:w="0" w:type="dxa"/>
            <w:vAlign w:val="bottom"/>
          </w:tcPr>
          <w:p>
            <w:pPr>
              <w:spacing w:after="0"/>
              <w:rPr>
                <w:sz w:val="1"/>
                <w:szCs w:val="1"/>
                <w:color w:val="auto"/>
              </w:rPr>
            </w:pPr>
          </w:p>
        </w:tc>
      </w:tr>
      <w:tr>
        <w:trPr>
          <w:trHeight w:val="271"/>
        </w:trPr>
        <w:tc>
          <w:tcPr>
            <w:tcW w:w="2040" w:type="dxa"/>
            <w:vAlign w:val="bottom"/>
            <w:shd w:val="clear" w:color="auto" w:fill="EBE6F0"/>
          </w:tcPr>
          <w:p>
            <w:pPr>
              <w:spacing w:after="0"/>
              <w:rPr>
                <w:sz w:val="23"/>
                <w:szCs w:val="23"/>
                <w:color w:val="auto"/>
              </w:rPr>
            </w:pP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Industry Experience is vital to reviewing and</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Food and beverage</w:t>
            </w:r>
          </w:p>
        </w:tc>
        <w:tc>
          <w:tcPr>
            <w:tcW w:w="0" w:type="dxa"/>
            <w:vAlign w:val="bottom"/>
          </w:tcPr>
          <w:p>
            <w:pPr>
              <w:spacing w:after="0"/>
              <w:rPr>
                <w:sz w:val="1"/>
                <w:szCs w:val="1"/>
                <w:color w:val="auto"/>
              </w:rPr>
            </w:pPr>
          </w:p>
        </w:tc>
      </w:tr>
      <w:tr>
        <w:trPr>
          <w:trHeight w:val="256"/>
        </w:trPr>
        <w:tc>
          <w:tcPr>
            <w:tcW w:w="2040" w:type="dxa"/>
            <w:vAlign w:val="bottom"/>
            <w:vMerge w:val="restart"/>
            <w:shd w:val="clear" w:color="auto" w:fill="EBE6F0"/>
          </w:tcPr>
          <w:p>
            <w:pPr>
              <w:jc w:val="center"/>
              <w:spacing w:after="0"/>
              <w:rPr>
                <w:sz w:val="20"/>
                <w:szCs w:val="20"/>
                <w:color w:val="auto"/>
              </w:rPr>
            </w:pPr>
            <w:r>
              <w:rPr>
                <w:rFonts w:ascii="Arial" w:cs="Arial" w:eastAsia="Arial" w:hAnsi="Arial"/>
                <w:sz w:val="22"/>
                <w:szCs w:val="22"/>
                <w:b w:val="1"/>
                <w:bCs w:val="1"/>
                <w:color w:val="auto"/>
                <w:w w:val="97"/>
              </w:rPr>
              <w:t>INDUSTRY</w:t>
            </w: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understanding strategy, and the connections</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Consumer products</w:t>
            </w:r>
          </w:p>
        </w:tc>
        <w:tc>
          <w:tcPr>
            <w:tcW w:w="0" w:type="dxa"/>
            <w:vAlign w:val="bottom"/>
          </w:tcPr>
          <w:p>
            <w:pPr>
              <w:spacing w:after="0"/>
              <w:rPr>
                <w:sz w:val="1"/>
                <w:szCs w:val="1"/>
                <w:color w:val="auto"/>
              </w:rPr>
            </w:pPr>
          </w:p>
        </w:tc>
      </w:tr>
      <w:tr>
        <w:trPr>
          <w:trHeight w:val="228"/>
        </w:trPr>
        <w:tc>
          <w:tcPr>
            <w:tcW w:w="2040" w:type="dxa"/>
            <w:vAlign w:val="bottom"/>
            <w:vMerge w:val="continue"/>
            <w:shd w:val="clear" w:color="auto" w:fill="EBE6F0"/>
          </w:tcPr>
          <w:p>
            <w:pPr>
              <w:spacing w:after="0"/>
              <w:rPr>
                <w:sz w:val="19"/>
                <w:szCs w:val="19"/>
                <w:color w:val="auto"/>
              </w:rPr>
            </w:pPr>
          </w:p>
        </w:tc>
        <w:tc>
          <w:tcPr>
            <w:tcW w:w="5170" w:type="dxa"/>
            <w:vAlign w:val="bottom"/>
            <w:shd w:val="clear" w:color="auto" w:fill="EBE6F0"/>
          </w:tcPr>
          <w:p>
            <w:pPr>
              <w:ind w:left="80"/>
              <w:spacing w:after="0" w:line="228" w:lineRule="exact"/>
              <w:rPr>
                <w:sz w:val="20"/>
                <w:szCs w:val="20"/>
                <w:color w:val="auto"/>
              </w:rPr>
            </w:pPr>
            <w:r>
              <w:rPr>
                <w:rFonts w:ascii="Arial" w:cs="Arial" w:eastAsia="Arial" w:hAnsi="Arial"/>
                <w:sz w:val="22"/>
                <w:szCs w:val="22"/>
                <w:color w:val="auto"/>
              </w:rPr>
              <w:t>between strategy and the potential acquisition of</w:t>
            </w:r>
          </w:p>
        </w:tc>
        <w:tc>
          <w:tcPr>
            <w:tcW w:w="4050" w:type="dxa"/>
            <w:vAlign w:val="bottom"/>
            <w:vMerge w:val="restart"/>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Global food strategies</w:t>
            </w:r>
          </w:p>
        </w:tc>
        <w:tc>
          <w:tcPr>
            <w:tcW w:w="0" w:type="dxa"/>
            <w:vAlign w:val="bottom"/>
          </w:tcPr>
          <w:p>
            <w:pPr>
              <w:spacing w:after="0"/>
              <w:rPr>
                <w:sz w:val="1"/>
                <w:szCs w:val="1"/>
                <w:color w:val="auto"/>
              </w:rPr>
            </w:pPr>
          </w:p>
        </w:tc>
      </w:tr>
      <w:tr>
        <w:trPr>
          <w:trHeight w:val="123"/>
        </w:trPr>
        <w:tc>
          <w:tcPr>
            <w:tcW w:w="2040" w:type="dxa"/>
            <w:vAlign w:val="bottom"/>
            <w:vMerge w:val="restart"/>
            <w:shd w:val="clear" w:color="auto" w:fill="EBE6F0"/>
          </w:tcPr>
          <w:p>
            <w:pPr>
              <w:jc w:val="center"/>
              <w:spacing w:after="0" w:line="245" w:lineRule="exact"/>
              <w:rPr>
                <w:sz w:val="20"/>
                <w:szCs w:val="20"/>
                <w:color w:val="auto"/>
              </w:rPr>
            </w:pPr>
            <w:r>
              <w:rPr>
                <w:rFonts w:ascii="Arial" w:cs="Arial" w:eastAsia="Arial" w:hAnsi="Arial"/>
                <w:sz w:val="22"/>
                <w:szCs w:val="22"/>
                <w:b w:val="1"/>
                <w:bCs w:val="1"/>
                <w:color w:val="auto"/>
                <w:w w:val="97"/>
              </w:rPr>
              <w:t>EXPERIENCE</w:t>
            </w:r>
          </w:p>
        </w:tc>
        <w:tc>
          <w:tcPr>
            <w:tcW w:w="5170" w:type="dxa"/>
            <w:vAlign w:val="bottom"/>
            <w:vMerge w:val="restart"/>
            <w:shd w:val="clear" w:color="auto" w:fill="EBE6F0"/>
          </w:tcPr>
          <w:p>
            <w:pPr>
              <w:ind w:left="80"/>
              <w:spacing w:after="0" w:line="245" w:lineRule="exact"/>
              <w:rPr>
                <w:sz w:val="20"/>
                <w:szCs w:val="20"/>
                <w:color w:val="auto"/>
              </w:rPr>
            </w:pPr>
            <w:r>
              <w:rPr>
                <w:rFonts w:ascii="Arial" w:cs="Arial" w:eastAsia="Arial" w:hAnsi="Arial"/>
                <w:sz w:val="22"/>
                <w:szCs w:val="22"/>
                <w:color w:val="auto"/>
              </w:rPr>
              <w:t>businesses that offer complementary products or</w:t>
            </w:r>
          </w:p>
        </w:tc>
        <w:tc>
          <w:tcPr>
            <w:tcW w:w="4050" w:type="dxa"/>
            <w:vAlign w:val="bottom"/>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vMerge w:val="continue"/>
            <w:shd w:val="clear" w:color="auto" w:fill="EBE6F0"/>
          </w:tcPr>
          <w:p>
            <w:pPr>
              <w:spacing w:after="0"/>
              <w:rPr>
                <w:sz w:val="10"/>
                <w:szCs w:val="10"/>
                <w:color w:val="auto"/>
              </w:rPr>
            </w:pPr>
          </w:p>
        </w:tc>
        <w:tc>
          <w:tcPr>
            <w:tcW w:w="5170" w:type="dxa"/>
            <w:vAlign w:val="bottom"/>
            <w:vMerge w:val="continue"/>
            <w:shd w:val="clear" w:color="auto" w:fill="EBE6F0"/>
          </w:tcPr>
          <w:p>
            <w:pPr>
              <w:spacing w:after="0"/>
              <w:rPr>
                <w:sz w:val="10"/>
                <w:szCs w:val="10"/>
                <w:color w:val="auto"/>
              </w:rPr>
            </w:pPr>
          </w:p>
        </w:tc>
        <w:tc>
          <w:tcPr>
            <w:tcW w:w="4050" w:type="dxa"/>
            <w:vAlign w:val="bottom"/>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2040" w:type="dxa"/>
            <w:vAlign w:val="bottom"/>
            <w:tcBorders>
              <w:bottom w:val="single" w:sz="8" w:color="EBE6F0"/>
            </w:tcBorders>
            <w:shd w:val="clear" w:color="auto" w:fill="EBE6F0"/>
          </w:tcPr>
          <w:p>
            <w:pPr>
              <w:spacing w:after="0"/>
              <w:rPr>
                <w:sz w:val="24"/>
                <w:szCs w:val="24"/>
                <w:color w:val="auto"/>
              </w:rPr>
            </w:pPr>
          </w:p>
        </w:tc>
        <w:tc>
          <w:tcPr>
            <w:tcW w:w="517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services.</w:t>
            </w:r>
          </w:p>
        </w:tc>
        <w:tc>
          <w:tcPr>
            <w:tcW w:w="405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582C83"/>
          </w:tcPr>
          <w:p>
            <w:pPr>
              <w:spacing w:after="0"/>
              <w:rPr>
                <w:sz w:val="2"/>
                <w:szCs w:val="2"/>
                <w:color w:val="auto"/>
              </w:rPr>
            </w:pPr>
          </w:p>
        </w:tc>
        <w:tc>
          <w:tcPr>
            <w:tcW w:w="5170" w:type="dxa"/>
            <w:vAlign w:val="bottom"/>
            <w:shd w:val="clear" w:color="auto" w:fill="582C83"/>
          </w:tcPr>
          <w:p>
            <w:pPr>
              <w:spacing w:after="0"/>
              <w:rPr>
                <w:sz w:val="2"/>
                <w:szCs w:val="2"/>
                <w:color w:val="auto"/>
              </w:rPr>
            </w:pPr>
          </w:p>
        </w:tc>
        <w:tc>
          <w:tcPr>
            <w:tcW w:w="405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-848360</wp:posOffset>
            </wp:positionV>
            <wp:extent cx="2743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4320" cy="29146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both"/>
        <w:ind w:left="320" w:firstLine="6"/>
        <w:spacing w:after="0" w:line="331" w:lineRule="auto"/>
        <w:rPr>
          <w:sz w:val="20"/>
          <w:szCs w:val="20"/>
          <w:color w:val="auto"/>
        </w:rPr>
      </w:pPr>
      <w:r>
        <w:rPr>
          <w:rFonts w:ascii="Arial" w:cs="Arial" w:eastAsia="Arial" w:hAnsi="Arial"/>
          <w:sz w:val="21"/>
          <w:szCs w:val="21"/>
          <w:b w:val="1"/>
          <w:bCs w:val="1"/>
          <w:color w:val="auto"/>
        </w:rPr>
        <w:t>SIGNIFICANT 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-949960</wp:posOffset>
            </wp:positionV>
            <wp:extent cx="360045" cy="291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004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Significant Operating Experience as a current or former executive of a large global company or other large organization gives a director specific insight and expertise that will foster active participation in the development and implementation of the Company’s operating plan and business strategy.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69" w:hanging="169"/>
        <w:spacing w:after="0"/>
        <w:tabs>
          <w:tab w:leader="none" w:pos="169" w:val="left"/>
        </w:tabs>
        <w:numPr>
          <w:ilvl w:val="0"/>
          <w:numId w:val="6"/>
        </w:numPr>
        <w:rPr>
          <w:rFonts w:ascii="Arial" w:cs="Arial" w:eastAsia="Arial" w:hAnsi="Arial"/>
          <w:sz w:val="22"/>
          <w:szCs w:val="22"/>
          <w:color w:val="582C83"/>
        </w:rPr>
      </w:pPr>
      <w:r>
        <w:rPr>
          <w:rFonts w:ascii="Arial" w:cs="Arial" w:eastAsia="Arial" w:hAnsi="Arial"/>
          <w:sz w:val="22"/>
          <w:szCs w:val="22"/>
          <w:color w:val="auto"/>
        </w:rPr>
        <w:t>CEO/COO</w:t>
      </w:r>
    </w:p>
    <w:p>
      <w:pPr>
        <w:spacing w:after="0" w:line="30" w:lineRule="exact"/>
        <w:rPr>
          <w:rFonts w:ascii="Arial" w:cs="Arial" w:eastAsia="Arial" w:hAnsi="Arial"/>
          <w:sz w:val="22"/>
          <w:szCs w:val="22"/>
          <w:color w:val="582C83"/>
        </w:rPr>
      </w:pPr>
    </w:p>
    <w:p>
      <w:pPr>
        <w:ind w:left="169" w:hanging="169"/>
        <w:spacing w:after="0"/>
        <w:tabs>
          <w:tab w:leader="none" w:pos="169" w:val="left"/>
        </w:tabs>
        <w:numPr>
          <w:ilvl w:val="0"/>
          <w:numId w:val="6"/>
        </w:numPr>
        <w:rPr>
          <w:rFonts w:ascii="Arial" w:cs="Arial" w:eastAsia="Arial" w:hAnsi="Arial"/>
          <w:sz w:val="21"/>
          <w:szCs w:val="21"/>
          <w:color w:val="582C83"/>
        </w:rPr>
      </w:pPr>
      <w:r>
        <w:rPr>
          <w:rFonts w:ascii="Arial" w:cs="Arial" w:eastAsia="Arial" w:hAnsi="Arial"/>
          <w:sz w:val="21"/>
          <w:szCs w:val="21"/>
          <w:color w:val="auto"/>
        </w:rPr>
        <w:t>Manufacturing operations</w:t>
      </w:r>
    </w:p>
    <w:p>
      <w:pPr>
        <w:spacing w:after="0" w:line="42" w:lineRule="exact"/>
        <w:rPr>
          <w:rFonts w:ascii="Arial" w:cs="Arial" w:eastAsia="Arial" w:hAnsi="Arial"/>
          <w:sz w:val="21"/>
          <w:szCs w:val="21"/>
          <w:color w:val="582C83"/>
        </w:rPr>
      </w:pPr>
    </w:p>
    <w:p>
      <w:pPr>
        <w:ind w:left="169" w:hanging="169"/>
        <w:spacing w:after="0"/>
        <w:tabs>
          <w:tab w:leader="none" w:pos="169" w:val="left"/>
        </w:tabs>
        <w:numPr>
          <w:ilvl w:val="0"/>
          <w:numId w:val="6"/>
        </w:numPr>
        <w:rPr>
          <w:rFonts w:ascii="Arial" w:cs="Arial" w:eastAsia="Arial" w:hAnsi="Arial"/>
          <w:sz w:val="22"/>
          <w:szCs w:val="22"/>
          <w:color w:val="582C83"/>
        </w:rPr>
      </w:pPr>
      <w:r>
        <w:rPr>
          <w:rFonts w:ascii="Arial" w:cs="Arial" w:eastAsia="Arial" w:hAnsi="Arial"/>
          <w:sz w:val="22"/>
          <w:szCs w:val="22"/>
          <w:color w:val="auto"/>
        </w:rPr>
        <w:t>Retail operations</w:t>
      </w:r>
    </w:p>
    <w:p>
      <w:pPr>
        <w:spacing w:after="0" w:line="718" w:lineRule="exact"/>
        <w:rPr>
          <w:sz w:val="20"/>
          <w:szCs w:val="20"/>
          <w:color w:val="auto"/>
        </w:rPr>
      </w:pPr>
    </w:p>
    <w:p>
      <w:pPr>
        <w:sectPr>
          <w:pgSz w:w="11900" w:h="16838" w:orient="portrait"/>
          <w:cols w:equalWidth="0" w:num="3">
            <w:col w:w="1720" w:space="380"/>
            <w:col w:w="4940" w:space="231"/>
            <w:col w:w="3989"/>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79"/>
        </w:trPr>
        <w:tc>
          <w:tcPr>
            <w:tcW w:w="2040" w:type="dxa"/>
            <w:vAlign w:val="bottom"/>
            <w:tcBorders>
              <w:top w:val="single" w:sz="8" w:color="582C83"/>
            </w:tcBorders>
            <w:shd w:val="clear" w:color="auto" w:fill="EBE6F0"/>
          </w:tcPr>
          <w:p>
            <w:pPr>
              <w:spacing w:after="0"/>
              <w:rPr>
                <w:sz w:val="24"/>
                <w:szCs w:val="24"/>
                <w:color w:val="auto"/>
              </w:rPr>
            </w:pPr>
          </w:p>
        </w:tc>
        <w:tc>
          <w:tcPr>
            <w:tcW w:w="517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22"/>
                <w:szCs w:val="22"/>
                <w:color w:val="auto"/>
              </w:rPr>
              <w:t>Leadership Experience gives a director the ability to</w:t>
            </w:r>
          </w:p>
        </w:tc>
        <w:tc>
          <w:tcPr>
            <w:tcW w:w="405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CEO/COO or other leadership</w:t>
            </w:r>
          </w:p>
        </w:tc>
        <w:tc>
          <w:tcPr>
            <w:tcW w:w="0" w:type="dxa"/>
            <w:vAlign w:val="bottom"/>
          </w:tcPr>
          <w:p>
            <w:pPr>
              <w:spacing w:after="0"/>
              <w:rPr>
                <w:sz w:val="1"/>
                <w:szCs w:val="1"/>
                <w:color w:val="auto"/>
              </w:rPr>
            </w:pPr>
          </w:p>
        </w:tc>
      </w:tr>
      <w:tr>
        <w:trPr>
          <w:trHeight w:val="243"/>
        </w:trPr>
        <w:tc>
          <w:tcPr>
            <w:tcW w:w="2040" w:type="dxa"/>
            <w:vAlign w:val="bottom"/>
            <w:shd w:val="clear" w:color="auto" w:fill="EBE6F0"/>
          </w:tcPr>
          <w:p>
            <w:pPr>
              <w:spacing w:after="0"/>
              <w:rPr>
                <w:sz w:val="21"/>
                <w:szCs w:val="21"/>
                <w:color w:val="auto"/>
              </w:rPr>
            </w:pPr>
          </w:p>
        </w:tc>
        <w:tc>
          <w:tcPr>
            <w:tcW w:w="517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motivate, manage, identify and develop leadership</w:t>
            </w:r>
          </w:p>
        </w:tc>
        <w:tc>
          <w:tcPr>
            <w:tcW w:w="4050" w:type="dxa"/>
            <w:vAlign w:val="bottom"/>
            <w:shd w:val="clear" w:color="auto" w:fill="EBE6F0"/>
          </w:tcPr>
          <w:p>
            <w:pPr>
              <w:ind w:left="230"/>
              <w:spacing w:after="0" w:line="243" w:lineRule="exact"/>
              <w:rPr>
                <w:sz w:val="20"/>
                <w:szCs w:val="20"/>
                <w:color w:val="auto"/>
              </w:rPr>
            </w:pPr>
            <w:r>
              <w:rPr>
                <w:rFonts w:ascii="Arial" w:cs="Arial" w:eastAsia="Arial" w:hAnsi="Arial"/>
                <w:sz w:val="22"/>
                <w:szCs w:val="22"/>
                <w:color w:val="auto"/>
              </w:rPr>
              <w:t>positions at complex organizations</w:t>
            </w:r>
          </w:p>
        </w:tc>
        <w:tc>
          <w:tcPr>
            <w:tcW w:w="0" w:type="dxa"/>
            <w:vAlign w:val="bottom"/>
          </w:tcPr>
          <w:p>
            <w:pPr>
              <w:spacing w:after="0"/>
              <w:rPr>
                <w:sz w:val="1"/>
                <w:szCs w:val="1"/>
                <w:color w:val="auto"/>
              </w:rPr>
            </w:pPr>
          </w:p>
        </w:tc>
      </w:tr>
      <w:tr>
        <w:trPr>
          <w:trHeight w:val="256"/>
        </w:trPr>
        <w:tc>
          <w:tcPr>
            <w:tcW w:w="2040" w:type="dxa"/>
            <w:vAlign w:val="bottom"/>
            <w:shd w:val="clear" w:color="auto" w:fill="EBE6F0"/>
          </w:tcPr>
          <w:p>
            <w:pPr>
              <w:ind w:left="340"/>
              <w:spacing w:after="0"/>
              <w:rPr>
                <w:sz w:val="20"/>
                <w:szCs w:val="20"/>
                <w:color w:val="auto"/>
              </w:rPr>
            </w:pPr>
            <w:r>
              <w:rPr>
                <w:rFonts w:ascii="Arial" w:cs="Arial" w:eastAsia="Arial" w:hAnsi="Arial"/>
                <w:sz w:val="22"/>
                <w:szCs w:val="22"/>
                <w:b w:val="1"/>
                <w:bCs w:val="1"/>
                <w:color w:val="auto"/>
              </w:rPr>
              <w:t>LEADERSHIP</w:t>
            </w: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qualities in others and promotes strong critical</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M&amp;A/alliances/partnerships</w:t>
            </w:r>
          </w:p>
        </w:tc>
        <w:tc>
          <w:tcPr>
            <w:tcW w:w="0" w:type="dxa"/>
            <w:vAlign w:val="bottom"/>
          </w:tcPr>
          <w:p>
            <w:pPr>
              <w:spacing w:after="0"/>
              <w:rPr>
                <w:sz w:val="1"/>
                <w:szCs w:val="1"/>
                <w:color w:val="auto"/>
              </w:rPr>
            </w:pPr>
          </w:p>
        </w:tc>
      </w:tr>
      <w:tr>
        <w:trPr>
          <w:trHeight w:val="230"/>
        </w:trPr>
        <w:tc>
          <w:tcPr>
            <w:tcW w:w="2040" w:type="dxa"/>
            <w:vAlign w:val="bottom"/>
            <w:vMerge w:val="restart"/>
            <w:shd w:val="clear" w:color="auto" w:fill="EBE6F0"/>
          </w:tcPr>
          <w:p>
            <w:pPr>
              <w:ind w:left="340"/>
              <w:spacing w:after="0"/>
              <w:rPr>
                <w:sz w:val="20"/>
                <w:szCs w:val="20"/>
                <w:color w:val="auto"/>
              </w:rPr>
            </w:pPr>
            <w:r>
              <w:rPr>
                <w:rFonts w:ascii="Arial" w:cs="Arial" w:eastAsia="Arial" w:hAnsi="Arial"/>
                <w:sz w:val="22"/>
                <w:szCs w:val="22"/>
                <w:b w:val="1"/>
                <w:bCs w:val="1"/>
                <w:color w:val="auto"/>
              </w:rPr>
              <w:t>EXPERIENCE</w:t>
            </w:r>
          </w:p>
        </w:tc>
        <w:tc>
          <w:tcPr>
            <w:tcW w:w="5170" w:type="dxa"/>
            <w:vAlign w:val="bottom"/>
            <w:shd w:val="clear" w:color="auto" w:fill="EBE6F0"/>
          </w:tcPr>
          <w:p>
            <w:pPr>
              <w:ind w:left="80"/>
              <w:spacing w:after="0" w:line="230" w:lineRule="exact"/>
              <w:rPr>
                <w:sz w:val="20"/>
                <w:szCs w:val="20"/>
                <w:color w:val="auto"/>
              </w:rPr>
            </w:pPr>
            <w:r>
              <w:rPr>
                <w:rFonts w:ascii="Arial" w:cs="Arial" w:eastAsia="Arial" w:hAnsi="Arial"/>
                <w:sz w:val="22"/>
                <w:szCs w:val="22"/>
                <w:color w:val="auto"/>
              </w:rPr>
              <w:t>thinking and verbal communication skills, as well as</w:t>
            </w:r>
          </w:p>
        </w:tc>
        <w:tc>
          <w:tcPr>
            <w:tcW w:w="4050" w:type="dxa"/>
            <w:vAlign w:val="bottom"/>
            <w:vMerge w:val="restart"/>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Strategic planning</w:t>
            </w:r>
          </w:p>
        </w:tc>
        <w:tc>
          <w:tcPr>
            <w:tcW w:w="0" w:type="dxa"/>
            <w:vAlign w:val="bottom"/>
          </w:tcPr>
          <w:p>
            <w:pPr>
              <w:spacing w:after="0"/>
              <w:rPr>
                <w:sz w:val="1"/>
                <w:szCs w:val="1"/>
                <w:color w:val="auto"/>
              </w:rPr>
            </w:pPr>
          </w:p>
        </w:tc>
      </w:tr>
      <w:tr>
        <w:trPr>
          <w:trHeight w:val="121"/>
        </w:trPr>
        <w:tc>
          <w:tcPr>
            <w:tcW w:w="2040" w:type="dxa"/>
            <w:vAlign w:val="bottom"/>
            <w:vMerge w:val="continue"/>
            <w:shd w:val="clear" w:color="auto" w:fill="EBE6F0"/>
          </w:tcPr>
          <w:p>
            <w:pPr>
              <w:spacing w:after="0"/>
              <w:rPr>
                <w:sz w:val="10"/>
                <w:szCs w:val="10"/>
                <w:color w:val="auto"/>
              </w:rPr>
            </w:pPr>
          </w:p>
        </w:tc>
        <w:tc>
          <w:tcPr>
            <w:tcW w:w="5170" w:type="dxa"/>
            <w:vAlign w:val="bottom"/>
            <w:vMerge w:val="restart"/>
            <w:shd w:val="clear" w:color="auto" w:fill="EBE6F0"/>
          </w:tcPr>
          <w:p>
            <w:pPr>
              <w:ind w:left="80"/>
              <w:spacing w:after="0"/>
              <w:rPr>
                <w:sz w:val="20"/>
                <w:szCs w:val="20"/>
                <w:color w:val="auto"/>
              </w:rPr>
            </w:pPr>
            <w:r>
              <w:rPr>
                <w:rFonts w:ascii="Arial" w:cs="Arial" w:eastAsia="Arial" w:hAnsi="Arial"/>
                <w:sz w:val="22"/>
                <w:szCs w:val="22"/>
                <w:color w:val="auto"/>
              </w:rPr>
              <w:t>diversity of views and thought processes.</w:t>
            </w:r>
          </w:p>
        </w:tc>
        <w:tc>
          <w:tcPr>
            <w:tcW w:w="4050" w:type="dxa"/>
            <w:vAlign w:val="bottom"/>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EBE6F0"/>
          </w:tcPr>
          <w:p>
            <w:pPr>
              <w:spacing w:after="0"/>
              <w:rPr>
                <w:sz w:val="14"/>
                <w:szCs w:val="14"/>
                <w:color w:val="auto"/>
              </w:rPr>
            </w:pPr>
          </w:p>
        </w:tc>
        <w:tc>
          <w:tcPr>
            <w:tcW w:w="5170" w:type="dxa"/>
            <w:vAlign w:val="bottom"/>
            <w:vMerge w:val="continue"/>
            <w:shd w:val="clear" w:color="auto" w:fill="EBE6F0"/>
          </w:tcPr>
          <w:p>
            <w:pPr>
              <w:spacing w:after="0"/>
              <w:rPr>
                <w:sz w:val="14"/>
                <w:szCs w:val="14"/>
                <w:color w:val="auto"/>
              </w:rPr>
            </w:pPr>
          </w:p>
        </w:tc>
        <w:tc>
          <w:tcPr>
            <w:tcW w:w="4050" w:type="dxa"/>
            <w:vAlign w:val="bottom"/>
            <w:vMerge w:val="restart"/>
            <w:shd w:val="clear" w:color="auto" w:fill="EBE6F0"/>
          </w:tcPr>
          <w:p>
            <w:pPr>
              <w:ind w:left="7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Talent assessment and people</w:t>
            </w:r>
          </w:p>
        </w:tc>
        <w:tc>
          <w:tcPr>
            <w:tcW w:w="0" w:type="dxa"/>
            <w:vAlign w:val="bottom"/>
          </w:tcPr>
          <w:p>
            <w:pPr>
              <w:spacing w:after="0"/>
              <w:rPr>
                <w:sz w:val="1"/>
                <w:szCs w:val="1"/>
                <w:color w:val="auto"/>
              </w:rPr>
            </w:pPr>
          </w:p>
        </w:tc>
      </w:tr>
      <w:tr>
        <w:trPr>
          <w:trHeight w:val="81"/>
        </w:trPr>
        <w:tc>
          <w:tcPr>
            <w:tcW w:w="2040" w:type="dxa"/>
            <w:vAlign w:val="bottom"/>
            <w:shd w:val="clear" w:color="auto" w:fill="EBE6F0"/>
          </w:tcPr>
          <w:p>
            <w:pPr>
              <w:spacing w:after="0"/>
              <w:rPr>
                <w:sz w:val="7"/>
                <w:szCs w:val="7"/>
                <w:color w:val="auto"/>
              </w:rPr>
            </w:pPr>
          </w:p>
        </w:tc>
        <w:tc>
          <w:tcPr>
            <w:tcW w:w="5170" w:type="dxa"/>
            <w:vAlign w:val="bottom"/>
            <w:shd w:val="clear" w:color="auto" w:fill="EBE6F0"/>
          </w:tcPr>
          <w:p>
            <w:pPr>
              <w:spacing w:after="0"/>
              <w:rPr>
                <w:sz w:val="7"/>
                <w:szCs w:val="7"/>
                <w:color w:val="auto"/>
              </w:rPr>
            </w:pPr>
          </w:p>
        </w:tc>
        <w:tc>
          <w:tcPr>
            <w:tcW w:w="4050" w:type="dxa"/>
            <w:vAlign w:val="bottom"/>
            <w:vMerge w:val="continue"/>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040" w:type="dxa"/>
            <w:vAlign w:val="bottom"/>
            <w:tcBorders>
              <w:bottom w:val="single" w:sz="8" w:color="EBE6F0"/>
            </w:tcBorders>
            <w:shd w:val="clear" w:color="auto" w:fill="EBE6F0"/>
          </w:tcPr>
          <w:p>
            <w:pPr>
              <w:spacing w:after="0"/>
              <w:rPr>
                <w:sz w:val="24"/>
                <w:szCs w:val="24"/>
                <w:color w:val="auto"/>
              </w:rPr>
            </w:pPr>
          </w:p>
        </w:tc>
        <w:tc>
          <w:tcPr>
            <w:tcW w:w="5170" w:type="dxa"/>
            <w:vAlign w:val="bottom"/>
            <w:tcBorders>
              <w:bottom w:val="single" w:sz="8" w:color="EBE6F0"/>
            </w:tcBorders>
            <w:shd w:val="clear" w:color="auto" w:fill="EBE6F0"/>
          </w:tcPr>
          <w:p>
            <w:pPr>
              <w:spacing w:after="0"/>
              <w:rPr>
                <w:sz w:val="24"/>
                <w:szCs w:val="24"/>
                <w:color w:val="auto"/>
              </w:rPr>
            </w:pPr>
          </w:p>
        </w:tc>
        <w:tc>
          <w:tcPr>
            <w:tcW w:w="4050" w:type="dxa"/>
            <w:vAlign w:val="bottom"/>
            <w:tcBorders>
              <w:bottom w:val="single" w:sz="8" w:color="EBE6F0"/>
            </w:tcBorders>
            <w:shd w:val="clear" w:color="auto" w:fill="EBE6F0"/>
          </w:tcPr>
          <w:p>
            <w:pPr>
              <w:ind w:left="230"/>
              <w:spacing w:after="0"/>
              <w:rPr>
                <w:sz w:val="20"/>
                <w:szCs w:val="20"/>
                <w:color w:val="auto"/>
              </w:rPr>
            </w:pPr>
            <w:r>
              <w:rPr>
                <w:rFonts w:ascii="Arial" w:cs="Arial" w:eastAsia="Arial" w:hAnsi="Arial"/>
                <w:sz w:val="22"/>
                <w:szCs w:val="22"/>
                <w:color w:val="auto"/>
              </w:rPr>
              <w:t>development/compensation</w:t>
            </w:r>
          </w:p>
        </w:tc>
        <w:tc>
          <w:tcPr>
            <w:tcW w:w="0" w:type="dxa"/>
            <w:vAlign w:val="bottom"/>
          </w:tcPr>
          <w:p>
            <w:pPr>
              <w:spacing w:after="0"/>
              <w:rPr>
                <w:sz w:val="1"/>
                <w:szCs w:val="1"/>
                <w:color w:val="auto"/>
              </w:rPr>
            </w:pPr>
          </w:p>
        </w:tc>
      </w:tr>
      <w:tr>
        <w:trPr>
          <w:trHeight w:val="27"/>
        </w:trPr>
        <w:tc>
          <w:tcPr>
            <w:tcW w:w="2040" w:type="dxa"/>
            <w:vAlign w:val="bottom"/>
            <w:shd w:val="clear" w:color="auto" w:fill="582C83"/>
          </w:tcPr>
          <w:p>
            <w:pPr>
              <w:spacing w:after="0"/>
              <w:rPr>
                <w:sz w:val="2"/>
                <w:szCs w:val="2"/>
                <w:color w:val="auto"/>
              </w:rPr>
            </w:pPr>
          </w:p>
        </w:tc>
        <w:tc>
          <w:tcPr>
            <w:tcW w:w="5170" w:type="dxa"/>
            <w:vAlign w:val="bottom"/>
            <w:shd w:val="clear" w:color="auto" w:fill="582C83"/>
          </w:tcPr>
          <w:p>
            <w:pPr>
              <w:spacing w:after="0"/>
              <w:rPr>
                <w:sz w:val="2"/>
                <w:szCs w:val="2"/>
                <w:color w:val="auto"/>
              </w:rPr>
            </w:pPr>
          </w:p>
        </w:tc>
        <w:tc>
          <w:tcPr>
            <w:tcW w:w="405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-1054100</wp:posOffset>
            </wp:positionV>
            <wp:extent cx="360045"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0045" cy="29146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p>
      <w:pPr>
        <w:spacing w:after="0" w:line="28" w:lineRule="exact"/>
        <w:rPr>
          <w:sz w:val="20"/>
          <w:szCs w:val="20"/>
          <w:color w:val="auto"/>
        </w:rPr>
      </w:pPr>
    </w:p>
    <w:p>
      <w:pPr>
        <w:ind w:left="2100"/>
        <w:spacing w:after="0" w:line="251" w:lineRule="auto"/>
        <w:rPr>
          <w:sz w:val="20"/>
          <w:szCs w:val="20"/>
          <w:color w:val="auto"/>
        </w:rPr>
      </w:pPr>
      <w:r>
        <w:rPr>
          <w:rFonts w:ascii="Arial" w:cs="Arial" w:eastAsia="Arial" w:hAnsi="Arial"/>
          <w:sz w:val="21"/>
          <w:szCs w:val="21"/>
          <w:color w:val="auto"/>
        </w:rPr>
        <w:t>Substantial Global Business and Other International Experience are important given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-303530</wp:posOffset>
            </wp:positionV>
            <wp:extent cx="360045"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0045" cy="291465"/>
                    </a:xfrm>
                    <a:prstGeom prst="rect">
                      <a:avLst/>
                    </a:prstGeom>
                    <a:noFill/>
                  </pic:spPr>
                </pic:pic>
              </a:graphicData>
            </a:graphic>
          </wp:anchor>
        </w:drawing>
      </w:r>
    </w:p>
    <w:p>
      <w:pPr>
        <w:ind w:left="260"/>
        <w:spacing w:after="0" w:line="183" w:lineRule="auto"/>
        <w:tabs>
          <w:tab w:leader="none" w:pos="2080" w:val="left"/>
        </w:tabs>
        <w:rPr>
          <w:sz w:val="20"/>
          <w:szCs w:val="20"/>
          <w:color w:val="auto"/>
        </w:rPr>
      </w:pPr>
      <w:r>
        <w:rPr>
          <w:rFonts w:ascii="Arial" w:cs="Arial" w:eastAsia="Arial" w:hAnsi="Arial"/>
          <w:sz w:val="30"/>
          <w:szCs w:val="30"/>
          <w:b w:val="1"/>
          <w:bCs w:val="1"/>
          <w:color w:val="auto"/>
          <w:vertAlign w:val="subscript"/>
        </w:rPr>
        <w:t>SUBSTANTIAL</w:t>
      </w:r>
      <w:r>
        <w:rPr>
          <w:sz w:val="20"/>
          <w:szCs w:val="20"/>
          <w:color w:val="auto"/>
        </w:rPr>
        <w:tab/>
      </w:r>
      <w:r>
        <w:rPr>
          <w:rFonts w:ascii="Arial" w:cs="Arial" w:eastAsia="Arial" w:hAnsi="Arial"/>
          <w:sz w:val="17"/>
          <w:szCs w:val="17"/>
          <w:color w:val="auto"/>
        </w:rPr>
        <w:t>global presence.</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GLOBAL</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BUSINESS</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AND OTHER</w:t>
      </w:r>
    </w:p>
    <w:p>
      <w:pPr>
        <w:spacing w:after="0" w:line="12" w:lineRule="exact"/>
        <w:rPr>
          <w:sz w:val="20"/>
          <w:szCs w:val="20"/>
          <w:color w:val="auto"/>
        </w:rPr>
      </w:pPr>
    </w:p>
    <w:p>
      <w:pPr>
        <w:jc w:val="center"/>
        <w:ind w:right="5020"/>
        <w:spacing w:after="0"/>
        <w:rPr>
          <w:sz w:val="20"/>
          <w:szCs w:val="20"/>
          <w:color w:val="auto"/>
        </w:rPr>
      </w:pPr>
      <w:r>
        <w:rPr>
          <w:rFonts w:ascii="Arial" w:cs="Arial" w:eastAsia="Arial" w:hAnsi="Arial"/>
          <w:sz w:val="21"/>
          <w:szCs w:val="21"/>
          <w:b w:val="1"/>
          <w:bCs w:val="1"/>
          <w:color w:val="auto"/>
        </w:rPr>
        <w:t>INTERNATIONAL</w:t>
      </w:r>
    </w:p>
    <w:p>
      <w:pPr>
        <w:spacing w:after="0" w:line="2" w:lineRule="exact"/>
        <w:rPr>
          <w:sz w:val="20"/>
          <w:szCs w:val="20"/>
          <w:color w:val="auto"/>
        </w:rPr>
      </w:pPr>
    </w:p>
    <w:p>
      <w:pPr>
        <w:jc w:val="center"/>
        <w:ind w:right="5020"/>
        <w:spacing w:after="0"/>
        <w:rPr>
          <w:sz w:val="20"/>
          <w:szCs w:val="20"/>
          <w:color w:val="auto"/>
        </w:rPr>
      </w:pPr>
      <w:r>
        <w:rPr>
          <w:rFonts w:ascii="Arial" w:cs="Arial" w:eastAsia="Arial" w:hAnsi="Arial"/>
          <w:sz w:val="22"/>
          <w:szCs w:val="22"/>
          <w:b w:val="1"/>
          <w:bCs w:val="1"/>
          <w:color w:val="auto"/>
        </w:rPr>
        <w:t>EXPERIENCE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69" w:hanging="169"/>
        <w:spacing w:after="0"/>
        <w:tabs>
          <w:tab w:leader="none" w:pos="169" w:val="left"/>
        </w:tabs>
        <w:numPr>
          <w:ilvl w:val="0"/>
          <w:numId w:val="7"/>
        </w:numPr>
        <w:rPr>
          <w:rFonts w:ascii="Arial" w:cs="Arial" w:eastAsia="Arial" w:hAnsi="Arial"/>
          <w:sz w:val="22"/>
          <w:szCs w:val="22"/>
          <w:color w:val="582C83"/>
        </w:rPr>
      </w:pPr>
      <w:r>
        <w:rPr>
          <w:rFonts w:ascii="Arial" w:cs="Arial" w:eastAsia="Arial" w:hAnsi="Arial"/>
          <w:sz w:val="22"/>
          <w:szCs w:val="22"/>
          <w:color w:val="auto"/>
        </w:rPr>
        <w:t>Developed markets</w:t>
      </w:r>
    </w:p>
    <w:p>
      <w:pPr>
        <w:spacing w:after="0" w:line="30" w:lineRule="exact"/>
        <w:rPr>
          <w:rFonts w:ascii="Arial" w:cs="Arial" w:eastAsia="Arial" w:hAnsi="Arial"/>
          <w:sz w:val="22"/>
          <w:szCs w:val="22"/>
          <w:color w:val="582C83"/>
        </w:rPr>
      </w:pPr>
    </w:p>
    <w:p>
      <w:pPr>
        <w:ind w:left="169" w:hanging="169"/>
        <w:spacing w:after="0"/>
        <w:tabs>
          <w:tab w:leader="none" w:pos="169" w:val="left"/>
        </w:tabs>
        <w:numPr>
          <w:ilvl w:val="0"/>
          <w:numId w:val="7"/>
        </w:numPr>
        <w:rPr>
          <w:rFonts w:ascii="Arial" w:cs="Arial" w:eastAsia="Arial" w:hAnsi="Arial"/>
          <w:sz w:val="22"/>
          <w:szCs w:val="22"/>
          <w:color w:val="582C83"/>
        </w:rPr>
      </w:pPr>
      <w:r>
        <w:rPr>
          <w:rFonts w:ascii="Arial" w:cs="Arial" w:eastAsia="Arial" w:hAnsi="Arial"/>
          <w:sz w:val="22"/>
          <w:szCs w:val="22"/>
          <w:color w:val="auto"/>
        </w:rPr>
        <w:t>Emerging markets</w:t>
      </w:r>
    </w:p>
    <w:p>
      <w:pPr>
        <w:spacing w:after="0" w:line="30" w:lineRule="exact"/>
        <w:rPr>
          <w:rFonts w:ascii="Arial" w:cs="Arial" w:eastAsia="Arial" w:hAnsi="Arial"/>
          <w:sz w:val="22"/>
          <w:szCs w:val="22"/>
          <w:color w:val="582C83"/>
        </w:rPr>
      </w:pPr>
    </w:p>
    <w:p>
      <w:pPr>
        <w:ind w:left="169" w:right="400" w:hanging="169"/>
        <w:spacing w:after="0" w:line="249" w:lineRule="auto"/>
        <w:tabs>
          <w:tab w:leader="none" w:pos="169" w:val="left"/>
        </w:tabs>
        <w:numPr>
          <w:ilvl w:val="0"/>
          <w:numId w:val="7"/>
        </w:numPr>
        <w:rPr>
          <w:rFonts w:ascii="Arial" w:cs="Arial" w:eastAsia="Arial" w:hAnsi="Arial"/>
          <w:sz w:val="22"/>
          <w:szCs w:val="22"/>
          <w:color w:val="582C83"/>
        </w:rPr>
      </w:pPr>
      <w:r>
        <w:rPr>
          <w:rFonts w:ascii="Arial" w:cs="Arial" w:eastAsia="Arial" w:hAnsi="Arial"/>
          <w:sz w:val="22"/>
          <w:szCs w:val="22"/>
          <w:color w:val="auto"/>
        </w:rPr>
        <w:t>New media/digital technology/digital commerce</w:t>
      </w:r>
    </w:p>
    <w:p>
      <w:pPr>
        <w:spacing w:after="0" w:line="1" w:lineRule="exact"/>
        <w:rPr>
          <w:rFonts w:ascii="Arial" w:cs="Arial" w:eastAsia="Arial" w:hAnsi="Arial"/>
          <w:sz w:val="22"/>
          <w:szCs w:val="22"/>
          <w:color w:val="582C83"/>
        </w:rPr>
      </w:pPr>
    </w:p>
    <w:p>
      <w:pPr>
        <w:ind w:left="169" w:right="500" w:hanging="169"/>
        <w:spacing w:after="0" w:line="249" w:lineRule="auto"/>
        <w:tabs>
          <w:tab w:leader="none" w:pos="169" w:val="left"/>
        </w:tabs>
        <w:numPr>
          <w:ilvl w:val="0"/>
          <w:numId w:val="7"/>
        </w:numPr>
        <w:rPr>
          <w:rFonts w:ascii="Arial" w:cs="Arial" w:eastAsia="Arial" w:hAnsi="Arial"/>
          <w:sz w:val="22"/>
          <w:szCs w:val="22"/>
          <w:color w:val="582C83"/>
        </w:rPr>
      </w:pPr>
      <w:r>
        <w:rPr>
          <w:rFonts w:ascii="Arial" w:cs="Arial" w:eastAsia="Arial" w:hAnsi="Arial"/>
          <w:sz w:val="22"/>
          <w:szCs w:val="22"/>
          <w:color w:val="auto"/>
        </w:rPr>
        <w:t>Technology/information technology strategy</w:t>
      </w:r>
    </w:p>
    <w:p>
      <w:pPr>
        <w:spacing w:after="0" w:line="1" w:lineRule="exact"/>
        <w:rPr>
          <w:rFonts w:ascii="Arial" w:cs="Arial" w:eastAsia="Arial" w:hAnsi="Arial"/>
          <w:sz w:val="22"/>
          <w:szCs w:val="22"/>
          <w:color w:val="582C83"/>
        </w:rPr>
      </w:pPr>
    </w:p>
    <w:p>
      <w:pPr>
        <w:ind w:left="169" w:right="980" w:hanging="169"/>
        <w:spacing w:after="0" w:line="259" w:lineRule="auto"/>
        <w:tabs>
          <w:tab w:leader="none" w:pos="169" w:val="left"/>
        </w:tabs>
        <w:numPr>
          <w:ilvl w:val="0"/>
          <w:numId w:val="7"/>
        </w:numPr>
        <w:rPr>
          <w:rFonts w:ascii="Arial" w:cs="Arial" w:eastAsia="Arial" w:hAnsi="Arial"/>
          <w:sz w:val="22"/>
          <w:szCs w:val="22"/>
          <w:color w:val="582C83"/>
        </w:rPr>
      </w:pPr>
      <w:r>
        <w:rPr>
          <w:rFonts w:ascii="Arial" w:cs="Arial" w:eastAsia="Arial" w:hAnsi="Arial"/>
          <w:sz w:val="22"/>
          <w:szCs w:val="22"/>
          <w:color w:val="auto"/>
        </w:rPr>
        <w:t>Government affairs/regulatory compliance</w:t>
      </w:r>
    </w:p>
    <w:p>
      <w:pPr>
        <w:spacing w:after="0" w:line="41" w:lineRule="exact"/>
        <w:rPr>
          <w:sz w:val="20"/>
          <w:szCs w:val="20"/>
          <w:color w:val="auto"/>
        </w:rPr>
      </w:pPr>
    </w:p>
    <w:p>
      <w:pPr>
        <w:sectPr>
          <w:pgSz w:w="11900" w:h="16838" w:orient="portrait"/>
          <w:cols w:equalWidth="0" w:num="2">
            <w:col w:w="7060" w:space="211"/>
            <w:col w:w="3989"/>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98"/>
        </w:trPr>
        <w:tc>
          <w:tcPr>
            <w:tcW w:w="2040" w:type="dxa"/>
            <w:vAlign w:val="bottom"/>
            <w:tcBorders>
              <w:top w:val="single" w:sz="8" w:color="582C83"/>
            </w:tcBorders>
            <w:shd w:val="clear" w:color="auto" w:fill="EBE6F0"/>
          </w:tcPr>
          <w:p>
            <w:pPr>
              <w:spacing w:after="0"/>
              <w:rPr>
                <w:sz w:val="24"/>
                <w:szCs w:val="24"/>
                <w:color w:val="auto"/>
              </w:rPr>
            </w:pPr>
          </w:p>
        </w:tc>
        <w:tc>
          <w:tcPr>
            <w:tcW w:w="5170" w:type="dxa"/>
            <w:vAlign w:val="bottom"/>
            <w:tcBorders>
              <w:top w:val="single" w:sz="8" w:color="582C83"/>
            </w:tcBorders>
            <w:shd w:val="clear" w:color="auto" w:fill="EBE6F0"/>
          </w:tcPr>
          <w:p>
            <w:pPr>
              <w:ind w:left="80"/>
              <w:spacing w:after="0"/>
              <w:rPr>
                <w:sz w:val="20"/>
                <w:szCs w:val="20"/>
                <w:color w:val="auto"/>
              </w:rPr>
            </w:pPr>
            <w:r>
              <w:rPr>
                <w:rFonts w:ascii="Arial" w:cs="Arial" w:eastAsia="Arial" w:hAnsi="Arial"/>
                <w:sz w:val="22"/>
                <w:szCs w:val="22"/>
                <w:color w:val="auto"/>
              </w:rPr>
              <w:t>Accounting and Financial Expertise enables a</w:t>
            </w:r>
          </w:p>
        </w:tc>
        <w:tc>
          <w:tcPr>
            <w:tcW w:w="4050" w:type="dxa"/>
            <w:vAlign w:val="bottom"/>
            <w:tcBorders>
              <w:top w:val="single" w:sz="8" w:color="582C83"/>
            </w:tcBorders>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CFO</w:t>
            </w:r>
          </w:p>
        </w:tc>
        <w:tc>
          <w:tcPr>
            <w:tcW w:w="0" w:type="dxa"/>
            <w:vAlign w:val="bottom"/>
          </w:tcPr>
          <w:p>
            <w:pPr>
              <w:spacing w:after="0"/>
              <w:rPr>
                <w:sz w:val="1"/>
                <w:szCs w:val="1"/>
                <w:color w:val="auto"/>
              </w:rPr>
            </w:pPr>
          </w:p>
        </w:tc>
      </w:tr>
      <w:tr>
        <w:trPr>
          <w:trHeight w:val="256"/>
        </w:trPr>
        <w:tc>
          <w:tcPr>
            <w:tcW w:w="2040" w:type="dxa"/>
            <w:vAlign w:val="bottom"/>
            <w:shd w:val="clear" w:color="auto" w:fill="EBE6F0"/>
          </w:tcPr>
          <w:p>
            <w:pPr>
              <w:spacing w:after="0"/>
              <w:rPr>
                <w:sz w:val="22"/>
                <w:szCs w:val="22"/>
                <w:color w:val="auto"/>
              </w:rPr>
            </w:pP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director to analyze financial statements, capital</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M&amp;A/alliances/partnerships</w:t>
            </w:r>
          </w:p>
        </w:tc>
        <w:tc>
          <w:tcPr>
            <w:tcW w:w="0" w:type="dxa"/>
            <w:vAlign w:val="bottom"/>
          </w:tcPr>
          <w:p>
            <w:pPr>
              <w:spacing w:after="0"/>
              <w:rPr>
                <w:sz w:val="1"/>
                <w:szCs w:val="1"/>
                <w:color w:val="auto"/>
              </w:rPr>
            </w:pPr>
          </w:p>
        </w:tc>
      </w:tr>
      <w:tr>
        <w:trPr>
          <w:trHeight w:val="284"/>
        </w:trPr>
        <w:tc>
          <w:tcPr>
            <w:tcW w:w="2040" w:type="dxa"/>
            <w:vAlign w:val="bottom"/>
            <w:shd w:val="clear" w:color="auto" w:fill="EBE6F0"/>
          </w:tcPr>
          <w:p>
            <w:pPr>
              <w:jc w:val="center"/>
              <w:spacing w:after="0"/>
              <w:rPr>
                <w:sz w:val="20"/>
                <w:szCs w:val="20"/>
                <w:color w:val="auto"/>
              </w:rPr>
            </w:pPr>
            <w:r>
              <w:rPr>
                <w:rFonts w:ascii="Arial" w:cs="Arial" w:eastAsia="Arial" w:hAnsi="Arial"/>
                <w:sz w:val="22"/>
                <w:szCs w:val="22"/>
                <w:b w:val="1"/>
                <w:bCs w:val="1"/>
                <w:color w:val="auto"/>
                <w:w w:val="97"/>
              </w:rPr>
              <w:t>ACCOUNTING</w:t>
            </w: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structure and complex financial transactions, and</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Financial acumen/capital markets</w:t>
            </w:r>
          </w:p>
        </w:tc>
        <w:tc>
          <w:tcPr>
            <w:tcW w:w="0" w:type="dxa"/>
            <w:vAlign w:val="bottom"/>
          </w:tcPr>
          <w:p>
            <w:pPr>
              <w:spacing w:after="0"/>
              <w:rPr>
                <w:sz w:val="1"/>
                <w:szCs w:val="1"/>
                <w:color w:val="auto"/>
              </w:rPr>
            </w:pPr>
          </w:p>
        </w:tc>
      </w:tr>
      <w:tr>
        <w:trPr>
          <w:trHeight w:val="283"/>
        </w:trPr>
        <w:tc>
          <w:tcPr>
            <w:tcW w:w="2040" w:type="dxa"/>
            <w:vAlign w:val="bottom"/>
            <w:shd w:val="clear" w:color="auto" w:fill="EBE6F0"/>
          </w:tcPr>
          <w:p>
            <w:pPr>
              <w:jc w:val="center"/>
              <w:spacing w:after="0"/>
              <w:rPr>
                <w:sz w:val="20"/>
                <w:szCs w:val="20"/>
                <w:color w:val="auto"/>
              </w:rPr>
            </w:pPr>
            <w:r>
              <w:rPr>
                <w:rFonts w:ascii="Arial" w:cs="Arial" w:eastAsia="Arial" w:hAnsi="Arial"/>
                <w:sz w:val="22"/>
                <w:szCs w:val="22"/>
                <w:b w:val="1"/>
                <w:bCs w:val="1"/>
                <w:color w:val="auto"/>
                <w:w w:val="98"/>
              </w:rPr>
              <w:t>AND FINANCIAL</w:t>
            </w: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oversee accounting and financial reporting</w:t>
            </w:r>
          </w:p>
        </w:tc>
        <w:tc>
          <w:tcPr>
            <w:tcW w:w="4050" w:type="dxa"/>
            <w:vAlign w:val="bottom"/>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Cost management</w:t>
            </w:r>
          </w:p>
        </w:tc>
        <w:tc>
          <w:tcPr>
            <w:tcW w:w="0" w:type="dxa"/>
            <w:vAlign w:val="bottom"/>
          </w:tcPr>
          <w:p>
            <w:pPr>
              <w:spacing w:after="0"/>
              <w:rPr>
                <w:sz w:val="1"/>
                <w:szCs w:val="1"/>
                <w:color w:val="auto"/>
              </w:rPr>
            </w:pPr>
          </w:p>
        </w:tc>
      </w:tr>
      <w:tr>
        <w:trPr>
          <w:trHeight w:val="283"/>
        </w:trPr>
        <w:tc>
          <w:tcPr>
            <w:tcW w:w="2040" w:type="dxa"/>
            <w:vAlign w:val="bottom"/>
            <w:vMerge w:val="restart"/>
            <w:shd w:val="clear" w:color="auto" w:fill="EBE6F0"/>
          </w:tcPr>
          <w:p>
            <w:pPr>
              <w:jc w:val="center"/>
              <w:spacing w:after="0"/>
              <w:rPr>
                <w:sz w:val="20"/>
                <w:szCs w:val="20"/>
                <w:color w:val="auto"/>
              </w:rPr>
            </w:pPr>
            <w:r>
              <w:rPr>
                <w:rFonts w:ascii="Arial" w:cs="Arial" w:eastAsia="Arial" w:hAnsi="Arial"/>
                <w:sz w:val="22"/>
                <w:szCs w:val="22"/>
                <w:b w:val="1"/>
                <w:bCs w:val="1"/>
                <w:color w:val="auto"/>
                <w:w w:val="98"/>
              </w:rPr>
              <w:t>EXPERTISE</w:t>
            </w:r>
          </w:p>
        </w:tc>
        <w:tc>
          <w:tcPr>
            <w:tcW w:w="5170" w:type="dxa"/>
            <w:vAlign w:val="bottom"/>
            <w:shd w:val="clear" w:color="auto" w:fill="EBE6F0"/>
          </w:tcPr>
          <w:p>
            <w:pPr>
              <w:ind w:left="80"/>
              <w:spacing w:after="0"/>
              <w:rPr>
                <w:sz w:val="20"/>
                <w:szCs w:val="20"/>
                <w:color w:val="auto"/>
              </w:rPr>
            </w:pPr>
            <w:r>
              <w:rPr>
                <w:rFonts w:ascii="Arial" w:cs="Arial" w:eastAsia="Arial" w:hAnsi="Arial"/>
                <w:sz w:val="22"/>
                <w:szCs w:val="22"/>
                <w:color w:val="auto"/>
              </w:rPr>
              <w:t>processes.</w:t>
            </w:r>
          </w:p>
        </w:tc>
        <w:tc>
          <w:tcPr>
            <w:tcW w:w="405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Borders>
              <w:bottom w:val="single" w:sz="8" w:color="EBE6F0"/>
            </w:tcBorders>
            <w:vMerge w:val="continue"/>
            <w:shd w:val="clear" w:color="auto" w:fill="EBE6F0"/>
          </w:tcPr>
          <w:p>
            <w:pPr>
              <w:spacing w:after="0"/>
              <w:rPr>
                <w:sz w:val="11"/>
                <w:szCs w:val="11"/>
                <w:color w:val="auto"/>
              </w:rPr>
            </w:pPr>
          </w:p>
        </w:tc>
        <w:tc>
          <w:tcPr>
            <w:tcW w:w="5170" w:type="dxa"/>
            <w:vAlign w:val="bottom"/>
            <w:tcBorders>
              <w:bottom w:val="single" w:sz="8" w:color="EBE6F0"/>
            </w:tcBorders>
            <w:shd w:val="clear" w:color="auto" w:fill="EBE6F0"/>
          </w:tcPr>
          <w:p>
            <w:pPr>
              <w:spacing w:after="0"/>
              <w:rPr>
                <w:sz w:val="11"/>
                <w:szCs w:val="11"/>
                <w:color w:val="auto"/>
              </w:rPr>
            </w:pPr>
          </w:p>
        </w:tc>
        <w:tc>
          <w:tcPr>
            <w:tcW w:w="4050" w:type="dxa"/>
            <w:vAlign w:val="bottom"/>
            <w:tcBorders>
              <w:bottom w:val="single" w:sz="8" w:color="EBE6F0"/>
            </w:tcBorders>
            <w:shd w:val="clear" w:color="auto" w:fill="EBE6F0"/>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582C83"/>
          </w:tcPr>
          <w:p>
            <w:pPr>
              <w:spacing w:after="0"/>
              <w:rPr>
                <w:sz w:val="2"/>
                <w:szCs w:val="2"/>
                <w:color w:val="auto"/>
              </w:rPr>
            </w:pPr>
          </w:p>
        </w:tc>
        <w:tc>
          <w:tcPr>
            <w:tcW w:w="5170" w:type="dxa"/>
            <w:vAlign w:val="bottom"/>
            <w:shd w:val="clear" w:color="auto" w:fill="582C83"/>
          </w:tcPr>
          <w:p>
            <w:pPr>
              <w:spacing w:after="0"/>
              <w:rPr>
                <w:sz w:val="2"/>
                <w:szCs w:val="2"/>
                <w:color w:val="auto"/>
              </w:rPr>
            </w:pPr>
          </w:p>
        </w:tc>
        <w:tc>
          <w:tcPr>
            <w:tcW w:w="405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-951230</wp:posOffset>
            </wp:positionV>
            <wp:extent cx="360045"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0045" cy="29146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left="100"/>
        <w:spacing w:after="0"/>
        <w:rPr>
          <w:sz w:val="20"/>
          <w:szCs w:val="20"/>
          <w:color w:val="auto"/>
        </w:rPr>
      </w:pPr>
      <w:r>
        <w:rPr>
          <w:rFonts w:ascii="Arial" w:cs="Arial" w:eastAsia="Arial" w:hAnsi="Arial"/>
          <w:sz w:val="22"/>
          <w:szCs w:val="22"/>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-476250</wp:posOffset>
            </wp:positionV>
            <wp:extent cx="360045"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0045" cy="291465"/>
                    </a:xfrm>
                    <a:prstGeom prst="rect">
                      <a:avLst/>
                    </a:prstGeom>
                    <a:noFill/>
                  </pic:spPr>
                </pic:pic>
              </a:graphicData>
            </a:graphic>
          </wp:anchor>
        </w:drawing>
      </w:r>
    </w:p>
    <w:p>
      <w:pPr>
        <w:jc w:val="center"/>
        <w:ind w:left="100"/>
        <w:spacing w:after="0" w:line="319" w:lineRule="auto"/>
        <w:rPr>
          <w:sz w:val="20"/>
          <w:szCs w:val="20"/>
          <w:color w:val="auto"/>
        </w:rPr>
      </w:pPr>
      <w:r>
        <w:rPr>
          <w:rFonts w:ascii="Arial" w:cs="Arial" w:eastAsia="Arial" w:hAnsi="Arial"/>
          <w:sz w:val="21"/>
          <w:szCs w:val="21"/>
          <w:b w:val="1"/>
          <w:bCs w:val="1"/>
          <w:color w:val="auto"/>
        </w:rPr>
        <w:t>RESEARCH, DEVELOPMENT AND MARKETING EXPERIENCE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Product Research, Development and Marketing Experience in the food and beverage sector or a complementary industry contributes to a director’s ability to oversee efforts to identify and develop new food and beverage products and implement marketing strategies that will improve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347980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485140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69" w:hanging="169"/>
        <w:spacing w:after="0"/>
        <w:tabs>
          <w:tab w:leader="none" w:pos="169" w:val="left"/>
        </w:tabs>
        <w:numPr>
          <w:ilvl w:val="0"/>
          <w:numId w:val="8"/>
        </w:numPr>
        <w:rPr>
          <w:rFonts w:ascii="Arial" w:cs="Arial" w:eastAsia="Arial" w:hAnsi="Arial"/>
          <w:sz w:val="21"/>
          <w:szCs w:val="21"/>
          <w:color w:val="582C83"/>
        </w:rPr>
      </w:pPr>
      <w:r>
        <w:rPr>
          <w:rFonts w:ascii="Arial" w:cs="Arial" w:eastAsia="Arial" w:hAnsi="Arial"/>
          <w:sz w:val="21"/>
          <w:szCs w:val="21"/>
          <w:color w:val="auto"/>
        </w:rPr>
        <w:t>Consumer insights and analytics</w:t>
      </w:r>
    </w:p>
    <w:p>
      <w:pPr>
        <w:spacing w:after="0" w:line="42" w:lineRule="exact"/>
        <w:rPr>
          <w:rFonts w:ascii="Arial" w:cs="Arial" w:eastAsia="Arial" w:hAnsi="Arial"/>
          <w:sz w:val="21"/>
          <w:szCs w:val="21"/>
          <w:color w:val="582C83"/>
        </w:rPr>
      </w:pPr>
    </w:p>
    <w:p>
      <w:pPr>
        <w:ind w:left="169" w:hanging="169"/>
        <w:spacing w:after="0"/>
        <w:tabs>
          <w:tab w:leader="none" w:pos="169" w:val="left"/>
        </w:tabs>
        <w:numPr>
          <w:ilvl w:val="0"/>
          <w:numId w:val="8"/>
        </w:numPr>
        <w:rPr>
          <w:rFonts w:ascii="Arial" w:cs="Arial" w:eastAsia="Arial" w:hAnsi="Arial"/>
          <w:sz w:val="22"/>
          <w:szCs w:val="22"/>
          <w:color w:val="582C83"/>
        </w:rPr>
      </w:pPr>
      <w:r>
        <w:rPr>
          <w:rFonts w:ascii="Arial" w:cs="Arial" w:eastAsia="Arial" w:hAnsi="Arial"/>
          <w:sz w:val="22"/>
          <w:szCs w:val="22"/>
          <w:color w:val="auto"/>
        </w:rPr>
        <w:t>Research &amp; development</w:t>
      </w:r>
    </w:p>
    <w:p>
      <w:pPr>
        <w:spacing w:after="0" w:line="30" w:lineRule="exact"/>
        <w:rPr>
          <w:rFonts w:ascii="Arial" w:cs="Arial" w:eastAsia="Arial" w:hAnsi="Arial"/>
          <w:sz w:val="22"/>
          <w:szCs w:val="22"/>
          <w:color w:val="582C83"/>
        </w:rPr>
      </w:pPr>
    </w:p>
    <w:p>
      <w:pPr>
        <w:ind w:left="169" w:hanging="169"/>
        <w:spacing w:after="0"/>
        <w:tabs>
          <w:tab w:leader="none" w:pos="169" w:val="left"/>
        </w:tabs>
        <w:numPr>
          <w:ilvl w:val="0"/>
          <w:numId w:val="8"/>
        </w:numPr>
        <w:rPr>
          <w:rFonts w:ascii="Arial" w:cs="Arial" w:eastAsia="Arial" w:hAnsi="Arial"/>
          <w:sz w:val="22"/>
          <w:szCs w:val="22"/>
          <w:color w:val="582C83"/>
        </w:rPr>
      </w:pPr>
      <w:r>
        <w:rPr>
          <w:rFonts w:ascii="Arial" w:cs="Arial" w:eastAsia="Arial" w:hAnsi="Arial"/>
          <w:sz w:val="22"/>
          <w:szCs w:val="22"/>
          <w:color w:val="auto"/>
        </w:rPr>
        <w:t>Innovation</w:t>
      </w:r>
    </w:p>
    <w:p>
      <w:pPr>
        <w:spacing w:after="0" w:line="1453" w:lineRule="exact"/>
        <w:rPr>
          <w:sz w:val="20"/>
          <w:szCs w:val="20"/>
          <w:color w:val="auto"/>
        </w:rPr>
      </w:pPr>
    </w:p>
    <w:p>
      <w:pPr>
        <w:sectPr>
          <w:pgSz w:w="11900" w:h="16838" w:orient="portrait"/>
          <w:cols w:equalWidth="0" w:num="3">
            <w:col w:w="1940" w:space="160"/>
            <w:col w:w="4960" w:space="211"/>
            <w:col w:w="3989"/>
          </w:cols>
          <w:pgMar w:left="320" w:top="130" w:right="319" w:bottom="1440" w:gutter="0" w:footer="0" w:header="0"/>
          <w:type w:val="continuous"/>
        </w:sectPr>
      </w:pPr>
    </w:p>
    <w:p>
      <w:pPr>
        <w:spacing w:after="0" w:line="74"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4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w w:val="98"/>
              </w:rPr>
              <w:t>Key Competencies</w:t>
            </w:r>
          </w:p>
        </w:tc>
        <w:tc>
          <w:tcPr>
            <w:tcW w:w="2810" w:type="dxa"/>
            <w:vAlign w:val="bottom"/>
            <w:tcBorders>
              <w:bottom w:val="single" w:sz="8" w:color="582C83"/>
            </w:tcBorders>
          </w:tcPr>
          <w:p>
            <w:pPr>
              <w:spacing w:after="0"/>
              <w:rPr>
                <w:sz w:val="24"/>
                <w:szCs w:val="24"/>
                <w:color w:val="auto"/>
              </w:rPr>
            </w:pPr>
          </w:p>
        </w:tc>
        <w:tc>
          <w:tcPr>
            <w:tcW w:w="670" w:type="dxa"/>
            <w:vAlign w:val="bottom"/>
            <w:tcBorders>
              <w:bottom w:val="single" w:sz="8" w:color="582C83"/>
            </w:tcBorders>
          </w:tcPr>
          <w:p>
            <w:pPr>
              <w:spacing w:after="0"/>
              <w:rPr>
                <w:sz w:val="24"/>
                <w:szCs w:val="24"/>
                <w:color w:val="auto"/>
              </w:rPr>
            </w:pPr>
          </w:p>
        </w:tc>
        <w:tc>
          <w:tcPr>
            <w:tcW w:w="570" w:type="dxa"/>
            <w:vAlign w:val="bottom"/>
            <w:tcBorders>
              <w:bottom w:val="single" w:sz="8" w:color="582C83"/>
            </w:tcBorders>
          </w:tcPr>
          <w:p>
            <w:pPr>
              <w:spacing w:after="0"/>
              <w:rPr>
                <w:sz w:val="24"/>
                <w:szCs w:val="24"/>
                <w:color w:val="auto"/>
              </w:rPr>
            </w:pPr>
          </w:p>
        </w:tc>
        <w:tc>
          <w:tcPr>
            <w:tcW w:w="560" w:type="dxa"/>
            <w:vAlign w:val="bottom"/>
            <w:tcBorders>
              <w:bottom w:val="single" w:sz="8" w:color="582C83"/>
            </w:tcBorders>
          </w:tcPr>
          <w:p>
            <w:pPr>
              <w:spacing w:after="0"/>
              <w:rPr>
                <w:sz w:val="24"/>
                <w:szCs w:val="24"/>
                <w:color w:val="auto"/>
              </w:rPr>
            </w:pPr>
          </w:p>
        </w:tc>
        <w:tc>
          <w:tcPr>
            <w:tcW w:w="190" w:type="dxa"/>
            <w:vAlign w:val="bottom"/>
            <w:tcBorders>
              <w:bottom w:val="single" w:sz="8" w:color="582C83"/>
            </w:tcBorders>
          </w:tcPr>
          <w:p>
            <w:pPr>
              <w:spacing w:after="0"/>
              <w:rPr>
                <w:sz w:val="24"/>
                <w:szCs w:val="24"/>
                <w:color w:val="auto"/>
              </w:rPr>
            </w:pPr>
          </w:p>
        </w:tc>
        <w:tc>
          <w:tcPr>
            <w:tcW w:w="370" w:type="dxa"/>
            <w:vAlign w:val="bottom"/>
            <w:tcBorders>
              <w:bottom w:val="single" w:sz="8" w:color="582C83"/>
            </w:tcBorders>
          </w:tcPr>
          <w:p>
            <w:pPr>
              <w:spacing w:after="0"/>
              <w:rPr>
                <w:sz w:val="24"/>
                <w:szCs w:val="24"/>
                <w:color w:val="auto"/>
              </w:rPr>
            </w:pPr>
          </w:p>
        </w:tc>
        <w:tc>
          <w:tcPr>
            <w:tcW w:w="2250" w:type="dxa"/>
            <w:vAlign w:val="bottom"/>
            <w:tcBorders>
              <w:bottom w:val="single" w:sz="8" w:color="582C83"/>
            </w:tcBorders>
            <w:gridSpan w:val="5"/>
          </w:tcPr>
          <w:p>
            <w:pPr>
              <w:ind w:left="70"/>
              <w:spacing w:after="0"/>
              <w:rPr>
                <w:sz w:val="20"/>
                <w:szCs w:val="20"/>
                <w:color w:val="auto"/>
              </w:rPr>
            </w:pPr>
            <w:r>
              <w:rPr>
                <w:rFonts w:ascii="Arial" w:cs="Arial" w:eastAsia="Arial" w:hAnsi="Arial"/>
                <w:sz w:val="22"/>
                <w:szCs w:val="22"/>
                <w:b w:val="1"/>
                <w:bCs w:val="1"/>
                <w:color w:val="auto"/>
              </w:rPr>
              <w:t>Relevant Experience</w:t>
            </w:r>
          </w:p>
        </w:tc>
        <w:tc>
          <w:tcPr>
            <w:tcW w:w="470" w:type="dxa"/>
            <w:vAlign w:val="bottom"/>
            <w:tcBorders>
              <w:bottom w:val="single" w:sz="8" w:color="582C83"/>
            </w:tcBorders>
          </w:tcPr>
          <w:p>
            <w:pPr>
              <w:spacing w:after="0"/>
              <w:rPr>
                <w:sz w:val="24"/>
                <w:szCs w:val="24"/>
                <w:color w:val="auto"/>
              </w:rPr>
            </w:pPr>
          </w:p>
        </w:tc>
        <w:tc>
          <w:tcPr>
            <w:tcW w:w="660" w:type="dxa"/>
            <w:vAlign w:val="bottom"/>
            <w:tcBorders>
              <w:bottom w:val="single" w:sz="8" w:color="582C83"/>
            </w:tcBorders>
          </w:tcPr>
          <w:p>
            <w:pPr>
              <w:spacing w:after="0"/>
              <w:rPr>
                <w:sz w:val="24"/>
                <w:szCs w:val="24"/>
                <w:color w:val="auto"/>
              </w:rPr>
            </w:pPr>
          </w:p>
        </w:tc>
        <w:tc>
          <w:tcPr>
            <w:tcW w:w="67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EBE6F0"/>
          </w:tcPr>
          <w:p>
            <w:pPr>
              <w:spacing w:after="0"/>
              <w:rPr>
                <w:sz w:val="23"/>
                <w:szCs w:val="23"/>
                <w:color w:val="auto"/>
              </w:rPr>
            </w:pPr>
          </w:p>
        </w:tc>
        <w:tc>
          <w:tcPr>
            <w:tcW w:w="5170" w:type="dxa"/>
            <w:vAlign w:val="bottom"/>
            <w:gridSpan w:val="6"/>
            <w:shd w:val="clear" w:color="auto" w:fill="EBE6F0"/>
          </w:tcPr>
          <w:p>
            <w:pPr>
              <w:ind w:left="80"/>
              <w:spacing w:after="0"/>
              <w:rPr>
                <w:sz w:val="20"/>
                <w:szCs w:val="20"/>
                <w:color w:val="auto"/>
              </w:rPr>
            </w:pPr>
            <w:r>
              <w:rPr>
                <w:rFonts w:ascii="Arial" w:cs="Arial" w:eastAsia="Arial" w:hAnsi="Arial"/>
                <w:sz w:val="22"/>
                <w:szCs w:val="22"/>
                <w:color w:val="auto"/>
              </w:rPr>
              <w:t>Public Company Board and Corporate Governance</w:t>
            </w:r>
          </w:p>
        </w:tc>
        <w:tc>
          <w:tcPr>
            <w:tcW w:w="3380" w:type="dxa"/>
            <w:vAlign w:val="bottom"/>
            <w:gridSpan w:val="7"/>
            <w:shd w:val="clear" w:color="auto" w:fill="EBE6F0"/>
          </w:tcPr>
          <w:p>
            <w:pPr>
              <w:jc w:val="right"/>
              <w:ind w:right="248"/>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CEO/COO/other governance</w:t>
            </w:r>
          </w:p>
        </w:tc>
        <w:tc>
          <w:tcPr>
            <w:tcW w:w="670" w:type="dxa"/>
            <w:vAlign w:val="bottom"/>
            <w:shd w:val="clear" w:color="auto" w:fill="EBE6F0"/>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EBE6F0"/>
          </w:tcPr>
          <w:p>
            <w:pPr>
              <w:spacing w:after="0"/>
              <w:rPr>
                <w:sz w:val="21"/>
                <w:szCs w:val="21"/>
                <w:color w:val="auto"/>
              </w:rPr>
            </w:pPr>
          </w:p>
        </w:tc>
        <w:tc>
          <w:tcPr>
            <w:tcW w:w="4800" w:type="dxa"/>
            <w:vAlign w:val="bottom"/>
            <w:gridSpan w:val="5"/>
            <w:shd w:val="clear" w:color="auto" w:fill="EBE6F0"/>
          </w:tcPr>
          <w:p>
            <w:pPr>
              <w:ind w:left="80"/>
              <w:spacing w:after="0" w:line="243" w:lineRule="exact"/>
              <w:rPr>
                <w:sz w:val="20"/>
                <w:szCs w:val="20"/>
                <w:color w:val="auto"/>
              </w:rPr>
            </w:pPr>
            <w:r>
              <w:rPr>
                <w:rFonts w:ascii="Arial" w:cs="Arial" w:eastAsia="Arial" w:hAnsi="Arial"/>
                <w:sz w:val="22"/>
                <w:szCs w:val="22"/>
                <w:color w:val="auto"/>
              </w:rPr>
              <w:t>Experience at a large publicly traded company</w:t>
            </w:r>
          </w:p>
        </w:tc>
        <w:tc>
          <w:tcPr>
            <w:tcW w:w="370" w:type="dxa"/>
            <w:vAlign w:val="bottom"/>
            <w:shd w:val="clear" w:color="auto" w:fill="EBE6F0"/>
          </w:tcPr>
          <w:p>
            <w:pPr>
              <w:spacing w:after="0"/>
              <w:rPr>
                <w:sz w:val="21"/>
                <w:szCs w:val="21"/>
                <w:color w:val="auto"/>
              </w:rPr>
            </w:pPr>
          </w:p>
        </w:tc>
        <w:tc>
          <w:tcPr>
            <w:tcW w:w="130" w:type="dxa"/>
            <w:vAlign w:val="bottom"/>
            <w:shd w:val="clear" w:color="auto" w:fill="EBE6F0"/>
          </w:tcPr>
          <w:p>
            <w:pPr>
              <w:spacing w:after="0"/>
              <w:rPr>
                <w:sz w:val="21"/>
                <w:szCs w:val="21"/>
                <w:color w:val="auto"/>
              </w:rPr>
            </w:pPr>
          </w:p>
        </w:tc>
        <w:tc>
          <w:tcPr>
            <w:tcW w:w="2120" w:type="dxa"/>
            <w:vAlign w:val="bottom"/>
            <w:gridSpan w:val="4"/>
            <w:shd w:val="clear" w:color="auto" w:fill="EBE6F0"/>
          </w:tcPr>
          <w:p>
            <w:pPr>
              <w:ind w:left="100"/>
              <w:spacing w:after="0" w:line="243" w:lineRule="exact"/>
              <w:rPr>
                <w:sz w:val="20"/>
                <w:szCs w:val="20"/>
                <w:color w:val="auto"/>
              </w:rPr>
            </w:pPr>
            <w:r>
              <w:rPr>
                <w:rFonts w:ascii="Arial" w:cs="Arial" w:eastAsia="Arial" w:hAnsi="Arial"/>
                <w:sz w:val="22"/>
                <w:szCs w:val="22"/>
                <w:color w:val="auto"/>
              </w:rPr>
              <w:t>leadership positions</w:t>
            </w:r>
          </w:p>
        </w:tc>
        <w:tc>
          <w:tcPr>
            <w:tcW w:w="470" w:type="dxa"/>
            <w:vAlign w:val="bottom"/>
            <w:shd w:val="clear" w:color="auto" w:fill="EBE6F0"/>
          </w:tcPr>
          <w:p>
            <w:pPr>
              <w:spacing w:after="0"/>
              <w:rPr>
                <w:sz w:val="21"/>
                <w:szCs w:val="21"/>
                <w:color w:val="auto"/>
              </w:rPr>
            </w:pPr>
          </w:p>
        </w:tc>
        <w:tc>
          <w:tcPr>
            <w:tcW w:w="660" w:type="dxa"/>
            <w:vAlign w:val="bottom"/>
            <w:shd w:val="clear" w:color="auto" w:fill="EBE6F0"/>
          </w:tcPr>
          <w:p>
            <w:pPr>
              <w:spacing w:after="0"/>
              <w:rPr>
                <w:sz w:val="21"/>
                <w:szCs w:val="21"/>
                <w:color w:val="auto"/>
              </w:rPr>
            </w:pPr>
          </w:p>
        </w:tc>
        <w:tc>
          <w:tcPr>
            <w:tcW w:w="67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40" w:type="dxa"/>
            <w:vAlign w:val="bottom"/>
            <w:shd w:val="clear" w:color="auto" w:fill="EBE6F0"/>
          </w:tcPr>
          <w:p>
            <w:pPr>
              <w:jc w:val="center"/>
              <w:spacing w:after="0"/>
              <w:rPr>
                <w:sz w:val="20"/>
                <w:szCs w:val="20"/>
                <w:color w:val="auto"/>
              </w:rPr>
            </w:pPr>
            <w:r>
              <w:rPr>
                <w:rFonts w:ascii="Arial" w:cs="Arial" w:eastAsia="Arial" w:hAnsi="Arial"/>
                <w:sz w:val="22"/>
                <w:szCs w:val="22"/>
                <w:b w:val="1"/>
                <w:bCs w:val="1"/>
                <w:color w:val="auto"/>
                <w:w w:val="97"/>
              </w:rPr>
              <w:t>PUBLIC</w:t>
            </w:r>
          </w:p>
        </w:tc>
        <w:tc>
          <w:tcPr>
            <w:tcW w:w="5170" w:type="dxa"/>
            <w:vAlign w:val="bottom"/>
            <w:gridSpan w:val="6"/>
            <w:shd w:val="clear" w:color="auto" w:fill="EBE6F0"/>
          </w:tcPr>
          <w:p>
            <w:pPr>
              <w:ind w:left="80"/>
              <w:spacing w:after="0"/>
              <w:rPr>
                <w:sz w:val="20"/>
                <w:szCs w:val="20"/>
                <w:color w:val="auto"/>
              </w:rPr>
            </w:pPr>
            <w:r>
              <w:rPr>
                <w:rFonts w:ascii="Arial" w:cs="Arial" w:eastAsia="Arial" w:hAnsi="Arial"/>
                <w:sz w:val="22"/>
                <w:szCs w:val="22"/>
                <w:color w:val="auto"/>
              </w:rPr>
              <w:t>provides a director with a solid understanding of the</w:t>
            </w:r>
          </w:p>
        </w:tc>
        <w:tc>
          <w:tcPr>
            <w:tcW w:w="3380" w:type="dxa"/>
            <w:vAlign w:val="bottom"/>
            <w:gridSpan w:val="7"/>
            <w:shd w:val="clear" w:color="auto" w:fill="EBE6F0"/>
          </w:tcPr>
          <w:p>
            <w:pPr>
              <w:jc w:val="right"/>
              <w:ind w:right="148"/>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Government affairs/regulatory</w:t>
            </w:r>
          </w:p>
        </w:tc>
        <w:tc>
          <w:tcPr>
            <w:tcW w:w="670" w:type="dxa"/>
            <w:vAlign w:val="bottom"/>
            <w:shd w:val="clear" w:color="auto" w:fill="EBE6F0"/>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40" w:type="dxa"/>
            <w:vAlign w:val="bottom"/>
            <w:shd w:val="clear" w:color="auto" w:fill="EBE6F0"/>
          </w:tcPr>
          <w:p>
            <w:pPr>
              <w:jc w:val="center"/>
              <w:spacing w:after="0" w:line="250" w:lineRule="exact"/>
              <w:rPr>
                <w:sz w:val="20"/>
                <w:szCs w:val="20"/>
                <w:color w:val="auto"/>
              </w:rPr>
            </w:pPr>
            <w:r>
              <w:rPr>
                <w:rFonts w:ascii="Arial" w:cs="Arial" w:eastAsia="Arial" w:hAnsi="Arial"/>
                <w:sz w:val="22"/>
                <w:szCs w:val="22"/>
                <w:b w:val="1"/>
                <w:bCs w:val="1"/>
                <w:color w:val="auto"/>
                <w:w w:val="97"/>
              </w:rPr>
              <w:t>COMPANY</w:t>
            </w:r>
          </w:p>
        </w:tc>
        <w:tc>
          <w:tcPr>
            <w:tcW w:w="5170" w:type="dxa"/>
            <w:vAlign w:val="bottom"/>
            <w:gridSpan w:val="6"/>
            <w:shd w:val="clear" w:color="auto" w:fill="EBE6F0"/>
          </w:tcPr>
          <w:p>
            <w:pPr>
              <w:ind w:left="80"/>
              <w:spacing w:after="0" w:line="250" w:lineRule="exact"/>
              <w:rPr>
                <w:sz w:val="20"/>
                <w:szCs w:val="20"/>
                <w:color w:val="auto"/>
              </w:rPr>
            </w:pPr>
            <w:r>
              <w:rPr>
                <w:rFonts w:ascii="Arial" w:cs="Arial" w:eastAsia="Arial" w:hAnsi="Arial"/>
                <w:sz w:val="22"/>
                <w:szCs w:val="22"/>
                <w:color w:val="auto"/>
              </w:rPr>
              <w:t>extensive and complex oversight responsibilities of</w:t>
            </w:r>
          </w:p>
        </w:tc>
        <w:tc>
          <w:tcPr>
            <w:tcW w:w="130" w:type="dxa"/>
            <w:vAlign w:val="bottom"/>
            <w:shd w:val="clear" w:color="auto" w:fill="EBE6F0"/>
          </w:tcPr>
          <w:p>
            <w:pPr>
              <w:spacing w:after="0"/>
              <w:rPr>
                <w:sz w:val="21"/>
                <w:szCs w:val="21"/>
                <w:color w:val="auto"/>
              </w:rPr>
            </w:pPr>
          </w:p>
        </w:tc>
        <w:tc>
          <w:tcPr>
            <w:tcW w:w="1230" w:type="dxa"/>
            <w:vAlign w:val="bottom"/>
            <w:gridSpan w:val="2"/>
            <w:shd w:val="clear" w:color="auto" w:fill="EBE6F0"/>
          </w:tcPr>
          <w:p>
            <w:pPr>
              <w:ind w:left="100"/>
              <w:spacing w:after="0" w:line="250" w:lineRule="exact"/>
              <w:rPr>
                <w:sz w:val="20"/>
                <w:szCs w:val="20"/>
                <w:color w:val="auto"/>
              </w:rPr>
            </w:pPr>
            <w:r>
              <w:rPr>
                <w:rFonts w:ascii="Arial" w:cs="Arial" w:eastAsia="Arial" w:hAnsi="Arial"/>
                <w:sz w:val="22"/>
                <w:szCs w:val="22"/>
                <w:color w:val="auto"/>
              </w:rPr>
              <w:t>compliance</w:t>
            </w:r>
          </w:p>
        </w:tc>
        <w:tc>
          <w:tcPr>
            <w:tcW w:w="680" w:type="dxa"/>
            <w:vAlign w:val="bottom"/>
            <w:shd w:val="clear" w:color="auto" w:fill="EBE6F0"/>
          </w:tcPr>
          <w:p>
            <w:pPr>
              <w:spacing w:after="0"/>
              <w:rPr>
                <w:sz w:val="21"/>
                <w:szCs w:val="21"/>
                <w:color w:val="auto"/>
              </w:rPr>
            </w:pPr>
          </w:p>
        </w:tc>
        <w:tc>
          <w:tcPr>
            <w:tcW w:w="210" w:type="dxa"/>
            <w:vAlign w:val="bottom"/>
            <w:shd w:val="clear" w:color="auto" w:fill="EBE6F0"/>
          </w:tcPr>
          <w:p>
            <w:pPr>
              <w:spacing w:after="0"/>
              <w:rPr>
                <w:sz w:val="21"/>
                <w:szCs w:val="21"/>
                <w:color w:val="auto"/>
              </w:rPr>
            </w:pPr>
          </w:p>
        </w:tc>
        <w:tc>
          <w:tcPr>
            <w:tcW w:w="470" w:type="dxa"/>
            <w:vAlign w:val="bottom"/>
            <w:shd w:val="clear" w:color="auto" w:fill="EBE6F0"/>
          </w:tcPr>
          <w:p>
            <w:pPr>
              <w:spacing w:after="0"/>
              <w:rPr>
                <w:sz w:val="21"/>
                <w:szCs w:val="21"/>
                <w:color w:val="auto"/>
              </w:rPr>
            </w:pPr>
          </w:p>
        </w:tc>
        <w:tc>
          <w:tcPr>
            <w:tcW w:w="660" w:type="dxa"/>
            <w:vAlign w:val="bottom"/>
            <w:shd w:val="clear" w:color="auto" w:fill="EBE6F0"/>
          </w:tcPr>
          <w:p>
            <w:pPr>
              <w:spacing w:after="0"/>
              <w:rPr>
                <w:sz w:val="21"/>
                <w:szCs w:val="21"/>
                <w:color w:val="auto"/>
              </w:rPr>
            </w:pPr>
          </w:p>
        </w:tc>
        <w:tc>
          <w:tcPr>
            <w:tcW w:w="67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40" w:type="dxa"/>
            <w:vAlign w:val="bottom"/>
            <w:vMerge w:val="restart"/>
            <w:shd w:val="clear" w:color="auto" w:fill="EBE6F0"/>
          </w:tcPr>
          <w:p>
            <w:pPr>
              <w:jc w:val="center"/>
              <w:spacing w:after="0"/>
              <w:rPr>
                <w:sz w:val="20"/>
                <w:szCs w:val="20"/>
                <w:color w:val="auto"/>
              </w:rPr>
            </w:pPr>
            <w:r>
              <w:rPr>
                <w:rFonts w:ascii="Arial" w:cs="Arial" w:eastAsia="Arial" w:hAnsi="Arial"/>
                <w:sz w:val="22"/>
                <w:szCs w:val="22"/>
                <w:b w:val="1"/>
                <w:bCs w:val="1"/>
                <w:color w:val="auto"/>
                <w:w w:val="96"/>
              </w:rPr>
              <w:t>BOARD</w:t>
            </w:r>
          </w:p>
        </w:tc>
        <w:tc>
          <w:tcPr>
            <w:tcW w:w="4800" w:type="dxa"/>
            <w:vAlign w:val="bottom"/>
            <w:gridSpan w:val="5"/>
            <w:shd w:val="clear" w:color="auto" w:fill="EBE6F0"/>
          </w:tcPr>
          <w:p>
            <w:pPr>
              <w:ind w:left="80"/>
              <w:spacing w:after="0" w:line="223" w:lineRule="exact"/>
              <w:rPr>
                <w:sz w:val="20"/>
                <w:szCs w:val="20"/>
                <w:color w:val="auto"/>
              </w:rPr>
            </w:pPr>
            <w:r>
              <w:rPr>
                <w:rFonts w:ascii="Arial" w:cs="Arial" w:eastAsia="Arial" w:hAnsi="Arial"/>
                <w:sz w:val="22"/>
                <w:szCs w:val="22"/>
                <w:color w:val="auto"/>
              </w:rPr>
              <w:t>public company boards and furthers the goals of</w:t>
            </w:r>
          </w:p>
        </w:tc>
        <w:tc>
          <w:tcPr>
            <w:tcW w:w="370" w:type="dxa"/>
            <w:vAlign w:val="bottom"/>
            <w:shd w:val="clear" w:color="auto" w:fill="EBE6F0"/>
          </w:tcPr>
          <w:p>
            <w:pPr>
              <w:spacing w:after="0"/>
              <w:rPr>
                <w:sz w:val="19"/>
                <w:szCs w:val="19"/>
                <w:color w:val="auto"/>
              </w:rPr>
            </w:pPr>
          </w:p>
        </w:tc>
        <w:tc>
          <w:tcPr>
            <w:tcW w:w="130" w:type="dxa"/>
            <w:vAlign w:val="bottom"/>
            <w:shd w:val="clear" w:color="auto" w:fill="EBE6F0"/>
          </w:tcPr>
          <w:p>
            <w:pPr>
              <w:spacing w:after="0"/>
              <w:rPr>
                <w:sz w:val="19"/>
                <w:szCs w:val="19"/>
                <w:color w:val="auto"/>
              </w:rPr>
            </w:pPr>
          </w:p>
        </w:tc>
        <w:tc>
          <w:tcPr>
            <w:tcW w:w="670" w:type="dxa"/>
            <w:vAlign w:val="bottom"/>
            <w:shd w:val="clear" w:color="auto" w:fill="EBE6F0"/>
          </w:tcPr>
          <w:p>
            <w:pPr>
              <w:spacing w:after="0"/>
              <w:rPr>
                <w:sz w:val="19"/>
                <w:szCs w:val="19"/>
                <w:color w:val="auto"/>
              </w:rPr>
            </w:pPr>
          </w:p>
        </w:tc>
        <w:tc>
          <w:tcPr>
            <w:tcW w:w="560" w:type="dxa"/>
            <w:vAlign w:val="bottom"/>
            <w:shd w:val="clear" w:color="auto" w:fill="EBE6F0"/>
          </w:tcPr>
          <w:p>
            <w:pPr>
              <w:spacing w:after="0"/>
              <w:rPr>
                <w:sz w:val="19"/>
                <w:szCs w:val="19"/>
                <w:color w:val="auto"/>
              </w:rPr>
            </w:pPr>
          </w:p>
        </w:tc>
        <w:tc>
          <w:tcPr>
            <w:tcW w:w="680" w:type="dxa"/>
            <w:vAlign w:val="bottom"/>
            <w:shd w:val="clear" w:color="auto" w:fill="EBE6F0"/>
          </w:tcPr>
          <w:p>
            <w:pPr>
              <w:spacing w:after="0"/>
              <w:rPr>
                <w:sz w:val="19"/>
                <w:szCs w:val="19"/>
                <w:color w:val="auto"/>
              </w:rPr>
            </w:pPr>
          </w:p>
        </w:tc>
        <w:tc>
          <w:tcPr>
            <w:tcW w:w="210" w:type="dxa"/>
            <w:vAlign w:val="bottom"/>
            <w:shd w:val="clear" w:color="auto" w:fill="EBE6F0"/>
          </w:tcPr>
          <w:p>
            <w:pPr>
              <w:spacing w:after="0"/>
              <w:rPr>
                <w:sz w:val="19"/>
                <w:szCs w:val="19"/>
                <w:color w:val="auto"/>
              </w:rPr>
            </w:pPr>
          </w:p>
        </w:tc>
        <w:tc>
          <w:tcPr>
            <w:tcW w:w="470" w:type="dxa"/>
            <w:vAlign w:val="bottom"/>
            <w:shd w:val="clear" w:color="auto" w:fill="EBE6F0"/>
          </w:tcPr>
          <w:p>
            <w:pPr>
              <w:spacing w:after="0"/>
              <w:rPr>
                <w:sz w:val="19"/>
                <w:szCs w:val="19"/>
                <w:color w:val="auto"/>
              </w:rPr>
            </w:pPr>
          </w:p>
        </w:tc>
        <w:tc>
          <w:tcPr>
            <w:tcW w:w="660" w:type="dxa"/>
            <w:vAlign w:val="bottom"/>
            <w:shd w:val="clear" w:color="auto" w:fill="EBE6F0"/>
          </w:tcPr>
          <w:p>
            <w:pPr>
              <w:spacing w:after="0"/>
              <w:rPr>
                <w:sz w:val="19"/>
                <w:szCs w:val="19"/>
                <w:color w:val="auto"/>
              </w:rPr>
            </w:pPr>
          </w:p>
        </w:tc>
        <w:tc>
          <w:tcPr>
            <w:tcW w:w="67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040" w:type="dxa"/>
            <w:vAlign w:val="bottom"/>
            <w:vMerge w:val="continue"/>
            <w:shd w:val="clear" w:color="auto" w:fill="EBE6F0"/>
          </w:tcPr>
          <w:p>
            <w:pPr>
              <w:spacing w:after="0"/>
              <w:rPr>
                <w:sz w:val="13"/>
                <w:szCs w:val="13"/>
                <w:color w:val="auto"/>
              </w:rPr>
            </w:pPr>
          </w:p>
        </w:tc>
        <w:tc>
          <w:tcPr>
            <w:tcW w:w="5170" w:type="dxa"/>
            <w:vAlign w:val="bottom"/>
            <w:gridSpan w:val="6"/>
            <w:vMerge w:val="restart"/>
            <w:shd w:val="clear" w:color="auto" w:fill="EBE6F0"/>
          </w:tcPr>
          <w:p>
            <w:pPr>
              <w:ind w:left="80"/>
              <w:spacing w:after="0" w:line="243" w:lineRule="exact"/>
              <w:rPr>
                <w:sz w:val="20"/>
                <w:szCs w:val="20"/>
                <w:color w:val="auto"/>
              </w:rPr>
            </w:pPr>
            <w:r>
              <w:rPr>
                <w:rFonts w:ascii="Arial" w:cs="Arial" w:eastAsia="Arial" w:hAnsi="Arial"/>
                <w:sz w:val="22"/>
                <w:szCs w:val="22"/>
                <w:color w:val="auto"/>
              </w:rPr>
              <w:t>greater transparency, accountability and protection</w:t>
            </w:r>
          </w:p>
        </w:tc>
        <w:tc>
          <w:tcPr>
            <w:tcW w:w="130" w:type="dxa"/>
            <w:vAlign w:val="bottom"/>
            <w:shd w:val="clear" w:color="auto" w:fill="EBE6F0"/>
          </w:tcPr>
          <w:p>
            <w:pPr>
              <w:spacing w:after="0"/>
              <w:rPr>
                <w:sz w:val="13"/>
                <w:szCs w:val="13"/>
                <w:color w:val="auto"/>
              </w:rPr>
            </w:pPr>
          </w:p>
        </w:tc>
        <w:tc>
          <w:tcPr>
            <w:tcW w:w="670" w:type="dxa"/>
            <w:vAlign w:val="bottom"/>
            <w:shd w:val="clear" w:color="auto" w:fill="EBE6F0"/>
          </w:tcPr>
          <w:p>
            <w:pPr>
              <w:spacing w:after="0"/>
              <w:rPr>
                <w:sz w:val="13"/>
                <w:szCs w:val="13"/>
                <w:color w:val="auto"/>
              </w:rPr>
            </w:pPr>
          </w:p>
        </w:tc>
        <w:tc>
          <w:tcPr>
            <w:tcW w:w="560" w:type="dxa"/>
            <w:vAlign w:val="bottom"/>
            <w:shd w:val="clear" w:color="auto" w:fill="EBE6F0"/>
          </w:tcPr>
          <w:p>
            <w:pPr>
              <w:spacing w:after="0"/>
              <w:rPr>
                <w:sz w:val="13"/>
                <w:szCs w:val="13"/>
                <w:color w:val="auto"/>
              </w:rPr>
            </w:pPr>
          </w:p>
        </w:tc>
        <w:tc>
          <w:tcPr>
            <w:tcW w:w="680" w:type="dxa"/>
            <w:vAlign w:val="bottom"/>
            <w:shd w:val="clear" w:color="auto" w:fill="EBE6F0"/>
          </w:tcPr>
          <w:p>
            <w:pPr>
              <w:spacing w:after="0"/>
              <w:rPr>
                <w:sz w:val="13"/>
                <w:szCs w:val="13"/>
                <w:color w:val="auto"/>
              </w:rPr>
            </w:pPr>
          </w:p>
        </w:tc>
        <w:tc>
          <w:tcPr>
            <w:tcW w:w="210" w:type="dxa"/>
            <w:vAlign w:val="bottom"/>
            <w:shd w:val="clear" w:color="auto" w:fill="EBE6F0"/>
          </w:tcPr>
          <w:p>
            <w:pPr>
              <w:spacing w:after="0"/>
              <w:rPr>
                <w:sz w:val="13"/>
                <w:szCs w:val="13"/>
                <w:color w:val="auto"/>
              </w:rPr>
            </w:pPr>
          </w:p>
        </w:tc>
        <w:tc>
          <w:tcPr>
            <w:tcW w:w="470" w:type="dxa"/>
            <w:vAlign w:val="bottom"/>
            <w:shd w:val="clear" w:color="auto" w:fill="EBE6F0"/>
          </w:tcPr>
          <w:p>
            <w:pPr>
              <w:spacing w:after="0"/>
              <w:rPr>
                <w:sz w:val="13"/>
                <w:szCs w:val="13"/>
                <w:color w:val="auto"/>
              </w:rPr>
            </w:pPr>
          </w:p>
        </w:tc>
        <w:tc>
          <w:tcPr>
            <w:tcW w:w="660" w:type="dxa"/>
            <w:vAlign w:val="bottom"/>
            <w:shd w:val="clear" w:color="auto" w:fill="EBE6F0"/>
          </w:tcPr>
          <w:p>
            <w:pPr>
              <w:spacing w:after="0"/>
              <w:rPr>
                <w:sz w:val="13"/>
                <w:szCs w:val="13"/>
                <w:color w:val="auto"/>
              </w:rPr>
            </w:pPr>
          </w:p>
        </w:tc>
        <w:tc>
          <w:tcPr>
            <w:tcW w:w="670" w:type="dxa"/>
            <w:vAlign w:val="bottom"/>
            <w:shd w:val="clear" w:color="auto" w:fill="EBE6F0"/>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40" w:type="dxa"/>
            <w:vAlign w:val="bottom"/>
            <w:vMerge w:val="restart"/>
            <w:shd w:val="clear" w:color="auto" w:fill="EBE6F0"/>
          </w:tcPr>
          <w:p>
            <w:pPr>
              <w:jc w:val="center"/>
              <w:spacing w:after="0"/>
              <w:rPr>
                <w:sz w:val="20"/>
                <w:szCs w:val="20"/>
                <w:color w:val="auto"/>
              </w:rPr>
            </w:pPr>
            <w:r>
              <w:rPr>
                <w:rFonts w:ascii="Arial" w:cs="Arial" w:eastAsia="Arial" w:hAnsi="Arial"/>
                <w:sz w:val="22"/>
                <w:szCs w:val="22"/>
                <w:b w:val="1"/>
                <w:bCs w:val="1"/>
                <w:color w:val="auto"/>
                <w:w w:val="96"/>
              </w:rPr>
              <w:t>AND</w:t>
            </w:r>
          </w:p>
        </w:tc>
        <w:tc>
          <w:tcPr>
            <w:tcW w:w="5170" w:type="dxa"/>
            <w:vAlign w:val="bottom"/>
            <w:gridSpan w:val="6"/>
            <w:vMerge w:val="continue"/>
            <w:shd w:val="clear" w:color="auto" w:fill="EBE6F0"/>
          </w:tcPr>
          <w:p>
            <w:pPr>
              <w:spacing w:after="0"/>
              <w:rPr>
                <w:sz w:val="7"/>
                <w:szCs w:val="7"/>
                <w:color w:val="auto"/>
              </w:rPr>
            </w:pPr>
          </w:p>
        </w:tc>
        <w:tc>
          <w:tcPr>
            <w:tcW w:w="130" w:type="dxa"/>
            <w:vAlign w:val="bottom"/>
            <w:shd w:val="clear" w:color="auto" w:fill="EBE6F0"/>
          </w:tcPr>
          <w:p>
            <w:pPr>
              <w:spacing w:after="0"/>
              <w:rPr>
                <w:sz w:val="7"/>
                <w:szCs w:val="7"/>
                <w:color w:val="auto"/>
              </w:rPr>
            </w:pPr>
          </w:p>
        </w:tc>
        <w:tc>
          <w:tcPr>
            <w:tcW w:w="670" w:type="dxa"/>
            <w:vAlign w:val="bottom"/>
            <w:shd w:val="clear" w:color="auto" w:fill="EBE6F0"/>
          </w:tcPr>
          <w:p>
            <w:pPr>
              <w:spacing w:after="0"/>
              <w:rPr>
                <w:sz w:val="7"/>
                <w:szCs w:val="7"/>
                <w:color w:val="auto"/>
              </w:rPr>
            </w:pPr>
          </w:p>
        </w:tc>
        <w:tc>
          <w:tcPr>
            <w:tcW w:w="560" w:type="dxa"/>
            <w:vAlign w:val="bottom"/>
            <w:shd w:val="clear" w:color="auto" w:fill="EBE6F0"/>
          </w:tcPr>
          <w:p>
            <w:pPr>
              <w:spacing w:after="0"/>
              <w:rPr>
                <w:sz w:val="7"/>
                <w:szCs w:val="7"/>
                <w:color w:val="auto"/>
              </w:rPr>
            </w:pPr>
          </w:p>
        </w:tc>
        <w:tc>
          <w:tcPr>
            <w:tcW w:w="680" w:type="dxa"/>
            <w:vAlign w:val="bottom"/>
            <w:shd w:val="clear" w:color="auto" w:fill="EBE6F0"/>
          </w:tcPr>
          <w:p>
            <w:pPr>
              <w:spacing w:after="0"/>
              <w:rPr>
                <w:sz w:val="7"/>
                <w:szCs w:val="7"/>
                <w:color w:val="auto"/>
              </w:rPr>
            </w:pPr>
          </w:p>
        </w:tc>
        <w:tc>
          <w:tcPr>
            <w:tcW w:w="210" w:type="dxa"/>
            <w:vAlign w:val="bottom"/>
            <w:shd w:val="clear" w:color="auto" w:fill="EBE6F0"/>
          </w:tcPr>
          <w:p>
            <w:pPr>
              <w:spacing w:after="0"/>
              <w:rPr>
                <w:sz w:val="7"/>
                <w:szCs w:val="7"/>
                <w:color w:val="auto"/>
              </w:rPr>
            </w:pPr>
          </w:p>
        </w:tc>
        <w:tc>
          <w:tcPr>
            <w:tcW w:w="470" w:type="dxa"/>
            <w:vAlign w:val="bottom"/>
            <w:shd w:val="clear" w:color="auto" w:fill="EBE6F0"/>
          </w:tcPr>
          <w:p>
            <w:pPr>
              <w:spacing w:after="0"/>
              <w:rPr>
                <w:sz w:val="7"/>
                <w:szCs w:val="7"/>
                <w:color w:val="auto"/>
              </w:rPr>
            </w:pPr>
          </w:p>
        </w:tc>
        <w:tc>
          <w:tcPr>
            <w:tcW w:w="660" w:type="dxa"/>
            <w:vAlign w:val="bottom"/>
            <w:shd w:val="clear" w:color="auto" w:fill="EBE6F0"/>
          </w:tcPr>
          <w:p>
            <w:pPr>
              <w:spacing w:after="0"/>
              <w:rPr>
                <w:sz w:val="7"/>
                <w:szCs w:val="7"/>
                <w:color w:val="auto"/>
              </w:rPr>
            </w:pPr>
          </w:p>
        </w:tc>
        <w:tc>
          <w:tcPr>
            <w:tcW w:w="670" w:type="dxa"/>
            <w:vAlign w:val="bottom"/>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40" w:type="dxa"/>
            <w:vAlign w:val="bottom"/>
            <w:vMerge w:val="continue"/>
            <w:shd w:val="clear" w:color="auto" w:fill="EBE6F0"/>
          </w:tcPr>
          <w:p>
            <w:pPr>
              <w:spacing w:after="0"/>
              <w:rPr>
                <w:sz w:val="18"/>
                <w:szCs w:val="18"/>
                <w:color w:val="auto"/>
              </w:rPr>
            </w:pPr>
          </w:p>
        </w:tc>
        <w:tc>
          <w:tcPr>
            <w:tcW w:w="2810" w:type="dxa"/>
            <w:vAlign w:val="bottom"/>
            <w:shd w:val="clear" w:color="auto" w:fill="EBE6F0"/>
          </w:tcPr>
          <w:p>
            <w:pPr>
              <w:ind w:left="80"/>
              <w:spacing w:after="0" w:line="216" w:lineRule="exact"/>
              <w:rPr>
                <w:sz w:val="20"/>
                <w:szCs w:val="20"/>
                <w:color w:val="auto"/>
              </w:rPr>
            </w:pPr>
            <w:r>
              <w:rPr>
                <w:rFonts w:ascii="Arial" w:cs="Arial" w:eastAsia="Arial" w:hAnsi="Arial"/>
                <w:sz w:val="22"/>
                <w:szCs w:val="22"/>
                <w:color w:val="auto"/>
              </w:rPr>
              <w:t>of shareholders’ interests.</w:t>
            </w:r>
          </w:p>
        </w:tc>
        <w:tc>
          <w:tcPr>
            <w:tcW w:w="670" w:type="dxa"/>
            <w:vAlign w:val="bottom"/>
            <w:shd w:val="clear" w:color="auto" w:fill="EBE6F0"/>
          </w:tcPr>
          <w:p>
            <w:pPr>
              <w:spacing w:after="0"/>
              <w:rPr>
                <w:sz w:val="18"/>
                <w:szCs w:val="18"/>
                <w:color w:val="auto"/>
              </w:rPr>
            </w:pPr>
          </w:p>
        </w:tc>
        <w:tc>
          <w:tcPr>
            <w:tcW w:w="570" w:type="dxa"/>
            <w:vAlign w:val="bottom"/>
            <w:shd w:val="clear" w:color="auto" w:fill="EBE6F0"/>
          </w:tcPr>
          <w:p>
            <w:pPr>
              <w:spacing w:after="0"/>
              <w:rPr>
                <w:sz w:val="18"/>
                <w:szCs w:val="18"/>
                <w:color w:val="auto"/>
              </w:rPr>
            </w:pPr>
          </w:p>
        </w:tc>
        <w:tc>
          <w:tcPr>
            <w:tcW w:w="560" w:type="dxa"/>
            <w:vAlign w:val="bottom"/>
            <w:shd w:val="clear" w:color="auto" w:fill="EBE6F0"/>
          </w:tcPr>
          <w:p>
            <w:pPr>
              <w:spacing w:after="0"/>
              <w:rPr>
                <w:sz w:val="18"/>
                <w:szCs w:val="18"/>
                <w:color w:val="auto"/>
              </w:rPr>
            </w:pPr>
          </w:p>
        </w:tc>
        <w:tc>
          <w:tcPr>
            <w:tcW w:w="190" w:type="dxa"/>
            <w:vAlign w:val="bottom"/>
            <w:shd w:val="clear" w:color="auto" w:fill="EBE6F0"/>
          </w:tcPr>
          <w:p>
            <w:pPr>
              <w:spacing w:after="0"/>
              <w:rPr>
                <w:sz w:val="18"/>
                <w:szCs w:val="18"/>
                <w:color w:val="auto"/>
              </w:rPr>
            </w:pPr>
          </w:p>
        </w:tc>
        <w:tc>
          <w:tcPr>
            <w:tcW w:w="370" w:type="dxa"/>
            <w:vAlign w:val="bottom"/>
            <w:shd w:val="clear" w:color="auto" w:fill="EBE6F0"/>
          </w:tcPr>
          <w:p>
            <w:pPr>
              <w:spacing w:after="0"/>
              <w:rPr>
                <w:sz w:val="18"/>
                <w:szCs w:val="18"/>
                <w:color w:val="auto"/>
              </w:rPr>
            </w:pPr>
          </w:p>
        </w:tc>
        <w:tc>
          <w:tcPr>
            <w:tcW w:w="130" w:type="dxa"/>
            <w:vAlign w:val="bottom"/>
            <w:shd w:val="clear" w:color="auto" w:fill="EBE6F0"/>
          </w:tcPr>
          <w:p>
            <w:pPr>
              <w:spacing w:after="0"/>
              <w:rPr>
                <w:sz w:val="18"/>
                <w:szCs w:val="18"/>
                <w:color w:val="auto"/>
              </w:rPr>
            </w:pPr>
          </w:p>
        </w:tc>
        <w:tc>
          <w:tcPr>
            <w:tcW w:w="670" w:type="dxa"/>
            <w:vAlign w:val="bottom"/>
            <w:shd w:val="clear" w:color="auto" w:fill="EBE6F0"/>
          </w:tcPr>
          <w:p>
            <w:pPr>
              <w:spacing w:after="0"/>
              <w:rPr>
                <w:sz w:val="18"/>
                <w:szCs w:val="18"/>
                <w:color w:val="auto"/>
              </w:rPr>
            </w:pPr>
          </w:p>
        </w:tc>
        <w:tc>
          <w:tcPr>
            <w:tcW w:w="560" w:type="dxa"/>
            <w:vAlign w:val="bottom"/>
            <w:shd w:val="clear" w:color="auto" w:fill="EBE6F0"/>
          </w:tcPr>
          <w:p>
            <w:pPr>
              <w:spacing w:after="0"/>
              <w:rPr>
                <w:sz w:val="18"/>
                <w:szCs w:val="18"/>
                <w:color w:val="auto"/>
              </w:rPr>
            </w:pPr>
          </w:p>
        </w:tc>
        <w:tc>
          <w:tcPr>
            <w:tcW w:w="680" w:type="dxa"/>
            <w:vAlign w:val="bottom"/>
            <w:shd w:val="clear" w:color="auto" w:fill="EBE6F0"/>
          </w:tcPr>
          <w:p>
            <w:pPr>
              <w:spacing w:after="0"/>
              <w:rPr>
                <w:sz w:val="18"/>
                <w:szCs w:val="18"/>
                <w:color w:val="auto"/>
              </w:rPr>
            </w:pPr>
          </w:p>
        </w:tc>
        <w:tc>
          <w:tcPr>
            <w:tcW w:w="210" w:type="dxa"/>
            <w:vAlign w:val="bottom"/>
            <w:shd w:val="clear" w:color="auto" w:fill="EBE6F0"/>
          </w:tcPr>
          <w:p>
            <w:pPr>
              <w:spacing w:after="0"/>
              <w:rPr>
                <w:sz w:val="18"/>
                <w:szCs w:val="18"/>
                <w:color w:val="auto"/>
              </w:rPr>
            </w:pPr>
          </w:p>
        </w:tc>
        <w:tc>
          <w:tcPr>
            <w:tcW w:w="470" w:type="dxa"/>
            <w:vAlign w:val="bottom"/>
            <w:shd w:val="clear" w:color="auto" w:fill="EBE6F0"/>
          </w:tcPr>
          <w:p>
            <w:pPr>
              <w:spacing w:after="0"/>
              <w:rPr>
                <w:sz w:val="18"/>
                <w:szCs w:val="18"/>
                <w:color w:val="auto"/>
              </w:rPr>
            </w:pPr>
          </w:p>
        </w:tc>
        <w:tc>
          <w:tcPr>
            <w:tcW w:w="660" w:type="dxa"/>
            <w:vAlign w:val="bottom"/>
            <w:shd w:val="clear" w:color="auto" w:fill="EBE6F0"/>
          </w:tcPr>
          <w:p>
            <w:pPr>
              <w:spacing w:after="0"/>
              <w:rPr>
                <w:sz w:val="18"/>
                <w:szCs w:val="18"/>
                <w:color w:val="auto"/>
              </w:rPr>
            </w:pPr>
          </w:p>
        </w:tc>
        <w:tc>
          <w:tcPr>
            <w:tcW w:w="670" w:type="dxa"/>
            <w:vAlign w:val="bottom"/>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40" w:type="dxa"/>
            <w:vAlign w:val="bottom"/>
            <w:shd w:val="clear" w:color="auto" w:fill="EBE6F0"/>
          </w:tcPr>
          <w:p>
            <w:pPr>
              <w:jc w:val="center"/>
              <w:spacing w:after="0"/>
              <w:rPr>
                <w:sz w:val="20"/>
                <w:szCs w:val="20"/>
                <w:color w:val="auto"/>
              </w:rPr>
            </w:pPr>
            <w:r>
              <w:rPr>
                <w:rFonts w:ascii="Arial" w:cs="Arial" w:eastAsia="Arial" w:hAnsi="Arial"/>
                <w:sz w:val="22"/>
                <w:szCs w:val="22"/>
                <w:b w:val="1"/>
                <w:bCs w:val="1"/>
                <w:color w:val="auto"/>
                <w:w w:val="96"/>
              </w:rPr>
              <w:t>CORPORATE</w:t>
            </w:r>
          </w:p>
        </w:tc>
        <w:tc>
          <w:tcPr>
            <w:tcW w:w="2810" w:type="dxa"/>
            <w:vAlign w:val="bottom"/>
            <w:shd w:val="clear" w:color="auto" w:fill="EBE6F0"/>
          </w:tcPr>
          <w:p>
            <w:pPr>
              <w:spacing w:after="0"/>
              <w:rPr>
                <w:sz w:val="23"/>
                <w:szCs w:val="23"/>
                <w:color w:val="auto"/>
              </w:rPr>
            </w:pPr>
          </w:p>
        </w:tc>
        <w:tc>
          <w:tcPr>
            <w:tcW w:w="670" w:type="dxa"/>
            <w:vAlign w:val="bottom"/>
            <w:shd w:val="clear" w:color="auto" w:fill="EBE6F0"/>
          </w:tcPr>
          <w:p>
            <w:pPr>
              <w:spacing w:after="0"/>
              <w:rPr>
                <w:sz w:val="23"/>
                <w:szCs w:val="23"/>
                <w:color w:val="auto"/>
              </w:rPr>
            </w:pPr>
          </w:p>
        </w:tc>
        <w:tc>
          <w:tcPr>
            <w:tcW w:w="570" w:type="dxa"/>
            <w:vAlign w:val="bottom"/>
            <w:shd w:val="clear" w:color="auto" w:fill="EBE6F0"/>
          </w:tcPr>
          <w:p>
            <w:pPr>
              <w:spacing w:after="0"/>
              <w:rPr>
                <w:sz w:val="23"/>
                <w:szCs w:val="23"/>
                <w:color w:val="auto"/>
              </w:rPr>
            </w:pPr>
          </w:p>
        </w:tc>
        <w:tc>
          <w:tcPr>
            <w:tcW w:w="560" w:type="dxa"/>
            <w:vAlign w:val="bottom"/>
            <w:shd w:val="clear" w:color="auto" w:fill="EBE6F0"/>
          </w:tcPr>
          <w:p>
            <w:pPr>
              <w:spacing w:after="0"/>
              <w:rPr>
                <w:sz w:val="23"/>
                <w:szCs w:val="23"/>
                <w:color w:val="auto"/>
              </w:rPr>
            </w:pPr>
          </w:p>
        </w:tc>
        <w:tc>
          <w:tcPr>
            <w:tcW w:w="190" w:type="dxa"/>
            <w:vAlign w:val="bottom"/>
            <w:shd w:val="clear" w:color="auto" w:fill="EBE6F0"/>
          </w:tcPr>
          <w:p>
            <w:pPr>
              <w:spacing w:after="0"/>
              <w:rPr>
                <w:sz w:val="23"/>
                <w:szCs w:val="23"/>
                <w:color w:val="auto"/>
              </w:rPr>
            </w:pPr>
          </w:p>
        </w:tc>
        <w:tc>
          <w:tcPr>
            <w:tcW w:w="370" w:type="dxa"/>
            <w:vAlign w:val="bottom"/>
            <w:shd w:val="clear" w:color="auto" w:fill="EBE6F0"/>
          </w:tcPr>
          <w:p>
            <w:pPr>
              <w:spacing w:after="0"/>
              <w:rPr>
                <w:sz w:val="23"/>
                <w:szCs w:val="23"/>
                <w:color w:val="auto"/>
              </w:rPr>
            </w:pPr>
          </w:p>
        </w:tc>
        <w:tc>
          <w:tcPr>
            <w:tcW w:w="130" w:type="dxa"/>
            <w:vAlign w:val="bottom"/>
            <w:shd w:val="clear" w:color="auto" w:fill="EBE6F0"/>
          </w:tcPr>
          <w:p>
            <w:pPr>
              <w:spacing w:after="0"/>
              <w:rPr>
                <w:sz w:val="23"/>
                <w:szCs w:val="23"/>
                <w:color w:val="auto"/>
              </w:rPr>
            </w:pPr>
          </w:p>
        </w:tc>
        <w:tc>
          <w:tcPr>
            <w:tcW w:w="670" w:type="dxa"/>
            <w:vAlign w:val="bottom"/>
            <w:shd w:val="clear" w:color="auto" w:fill="EBE6F0"/>
          </w:tcPr>
          <w:p>
            <w:pPr>
              <w:spacing w:after="0"/>
              <w:rPr>
                <w:sz w:val="23"/>
                <w:szCs w:val="23"/>
                <w:color w:val="auto"/>
              </w:rPr>
            </w:pPr>
          </w:p>
        </w:tc>
        <w:tc>
          <w:tcPr>
            <w:tcW w:w="560" w:type="dxa"/>
            <w:vAlign w:val="bottom"/>
            <w:shd w:val="clear" w:color="auto" w:fill="EBE6F0"/>
          </w:tcPr>
          <w:p>
            <w:pPr>
              <w:spacing w:after="0"/>
              <w:rPr>
                <w:sz w:val="23"/>
                <w:szCs w:val="23"/>
                <w:color w:val="auto"/>
              </w:rPr>
            </w:pPr>
          </w:p>
        </w:tc>
        <w:tc>
          <w:tcPr>
            <w:tcW w:w="680" w:type="dxa"/>
            <w:vAlign w:val="bottom"/>
            <w:shd w:val="clear" w:color="auto" w:fill="EBE6F0"/>
          </w:tcPr>
          <w:p>
            <w:pPr>
              <w:spacing w:after="0"/>
              <w:rPr>
                <w:sz w:val="23"/>
                <w:szCs w:val="23"/>
                <w:color w:val="auto"/>
              </w:rPr>
            </w:pPr>
          </w:p>
        </w:tc>
        <w:tc>
          <w:tcPr>
            <w:tcW w:w="210" w:type="dxa"/>
            <w:vAlign w:val="bottom"/>
            <w:shd w:val="clear" w:color="auto" w:fill="EBE6F0"/>
          </w:tcPr>
          <w:p>
            <w:pPr>
              <w:spacing w:after="0"/>
              <w:rPr>
                <w:sz w:val="23"/>
                <w:szCs w:val="23"/>
                <w:color w:val="auto"/>
              </w:rPr>
            </w:pPr>
          </w:p>
        </w:tc>
        <w:tc>
          <w:tcPr>
            <w:tcW w:w="470" w:type="dxa"/>
            <w:vAlign w:val="bottom"/>
            <w:shd w:val="clear" w:color="auto" w:fill="EBE6F0"/>
          </w:tcPr>
          <w:p>
            <w:pPr>
              <w:spacing w:after="0"/>
              <w:rPr>
                <w:sz w:val="23"/>
                <w:szCs w:val="23"/>
                <w:color w:val="auto"/>
              </w:rPr>
            </w:pPr>
          </w:p>
        </w:tc>
        <w:tc>
          <w:tcPr>
            <w:tcW w:w="660" w:type="dxa"/>
            <w:vAlign w:val="bottom"/>
            <w:shd w:val="clear" w:color="auto" w:fill="EBE6F0"/>
          </w:tcPr>
          <w:p>
            <w:pPr>
              <w:spacing w:after="0"/>
              <w:rPr>
                <w:sz w:val="23"/>
                <w:szCs w:val="23"/>
                <w:color w:val="auto"/>
              </w:rPr>
            </w:pPr>
          </w:p>
        </w:tc>
        <w:tc>
          <w:tcPr>
            <w:tcW w:w="670" w:type="dxa"/>
            <w:vAlign w:val="bottom"/>
            <w:shd w:val="clear" w:color="auto" w:fill="EBE6F0"/>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40" w:type="dxa"/>
            <w:vAlign w:val="bottom"/>
            <w:shd w:val="clear" w:color="auto" w:fill="EBE6F0"/>
          </w:tcPr>
          <w:p>
            <w:pPr>
              <w:jc w:val="center"/>
              <w:spacing w:after="0"/>
              <w:rPr>
                <w:sz w:val="20"/>
                <w:szCs w:val="20"/>
                <w:color w:val="auto"/>
              </w:rPr>
            </w:pPr>
            <w:r>
              <w:rPr>
                <w:rFonts w:ascii="Arial" w:cs="Arial" w:eastAsia="Arial" w:hAnsi="Arial"/>
                <w:sz w:val="22"/>
                <w:szCs w:val="22"/>
                <w:b w:val="1"/>
                <w:bCs w:val="1"/>
                <w:color w:val="auto"/>
                <w:w w:val="97"/>
              </w:rPr>
              <w:t>GOVERNANCE</w:t>
            </w:r>
          </w:p>
        </w:tc>
        <w:tc>
          <w:tcPr>
            <w:tcW w:w="2810" w:type="dxa"/>
            <w:vAlign w:val="bottom"/>
            <w:shd w:val="clear" w:color="auto" w:fill="EBE6F0"/>
          </w:tcPr>
          <w:p>
            <w:pPr>
              <w:spacing w:after="0"/>
              <w:rPr>
                <w:sz w:val="24"/>
                <w:szCs w:val="24"/>
                <w:color w:val="auto"/>
              </w:rPr>
            </w:pPr>
          </w:p>
        </w:tc>
        <w:tc>
          <w:tcPr>
            <w:tcW w:w="670" w:type="dxa"/>
            <w:vAlign w:val="bottom"/>
            <w:shd w:val="clear" w:color="auto" w:fill="EBE6F0"/>
          </w:tcPr>
          <w:p>
            <w:pPr>
              <w:spacing w:after="0"/>
              <w:rPr>
                <w:sz w:val="24"/>
                <w:szCs w:val="24"/>
                <w:color w:val="auto"/>
              </w:rPr>
            </w:pPr>
          </w:p>
        </w:tc>
        <w:tc>
          <w:tcPr>
            <w:tcW w:w="570" w:type="dxa"/>
            <w:vAlign w:val="bottom"/>
            <w:shd w:val="clear" w:color="auto" w:fill="EBE6F0"/>
          </w:tcPr>
          <w:p>
            <w:pPr>
              <w:spacing w:after="0"/>
              <w:rPr>
                <w:sz w:val="24"/>
                <w:szCs w:val="24"/>
                <w:color w:val="auto"/>
              </w:rPr>
            </w:pPr>
          </w:p>
        </w:tc>
        <w:tc>
          <w:tcPr>
            <w:tcW w:w="560" w:type="dxa"/>
            <w:vAlign w:val="bottom"/>
            <w:shd w:val="clear" w:color="auto" w:fill="EBE6F0"/>
          </w:tcPr>
          <w:p>
            <w:pPr>
              <w:spacing w:after="0"/>
              <w:rPr>
                <w:sz w:val="24"/>
                <w:szCs w:val="24"/>
                <w:color w:val="auto"/>
              </w:rPr>
            </w:pPr>
          </w:p>
        </w:tc>
        <w:tc>
          <w:tcPr>
            <w:tcW w:w="190" w:type="dxa"/>
            <w:vAlign w:val="bottom"/>
            <w:shd w:val="clear" w:color="auto" w:fill="EBE6F0"/>
          </w:tcPr>
          <w:p>
            <w:pPr>
              <w:spacing w:after="0"/>
              <w:rPr>
                <w:sz w:val="24"/>
                <w:szCs w:val="24"/>
                <w:color w:val="auto"/>
              </w:rPr>
            </w:pPr>
          </w:p>
        </w:tc>
        <w:tc>
          <w:tcPr>
            <w:tcW w:w="370" w:type="dxa"/>
            <w:vAlign w:val="bottom"/>
            <w:shd w:val="clear" w:color="auto" w:fill="EBE6F0"/>
          </w:tcPr>
          <w:p>
            <w:pPr>
              <w:spacing w:after="0"/>
              <w:rPr>
                <w:sz w:val="24"/>
                <w:szCs w:val="24"/>
                <w:color w:val="auto"/>
              </w:rPr>
            </w:pPr>
          </w:p>
        </w:tc>
        <w:tc>
          <w:tcPr>
            <w:tcW w:w="130" w:type="dxa"/>
            <w:vAlign w:val="bottom"/>
            <w:shd w:val="clear" w:color="auto" w:fill="EBE6F0"/>
          </w:tcPr>
          <w:p>
            <w:pPr>
              <w:spacing w:after="0"/>
              <w:rPr>
                <w:sz w:val="24"/>
                <w:szCs w:val="24"/>
                <w:color w:val="auto"/>
              </w:rPr>
            </w:pPr>
          </w:p>
        </w:tc>
        <w:tc>
          <w:tcPr>
            <w:tcW w:w="670" w:type="dxa"/>
            <w:vAlign w:val="bottom"/>
            <w:shd w:val="clear" w:color="auto" w:fill="EBE6F0"/>
          </w:tcPr>
          <w:p>
            <w:pPr>
              <w:spacing w:after="0"/>
              <w:rPr>
                <w:sz w:val="24"/>
                <w:szCs w:val="24"/>
                <w:color w:val="auto"/>
              </w:rPr>
            </w:pPr>
          </w:p>
        </w:tc>
        <w:tc>
          <w:tcPr>
            <w:tcW w:w="560" w:type="dxa"/>
            <w:vAlign w:val="bottom"/>
            <w:shd w:val="clear" w:color="auto" w:fill="EBE6F0"/>
          </w:tcPr>
          <w:p>
            <w:pPr>
              <w:spacing w:after="0"/>
              <w:rPr>
                <w:sz w:val="24"/>
                <w:szCs w:val="24"/>
                <w:color w:val="auto"/>
              </w:rPr>
            </w:pPr>
          </w:p>
        </w:tc>
        <w:tc>
          <w:tcPr>
            <w:tcW w:w="680" w:type="dxa"/>
            <w:vAlign w:val="bottom"/>
            <w:shd w:val="clear" w:color="auto" w:fill="EBE6F0"/>
          </w:tcPr>
          <w:p>
            <w:pPr>
              <w:spacing w:after="0"/>
              <w:rPr>
                <w:sz w:val="24"/>
                <w:szCs w:val="24"/>
                <w:color w:val="auto"/>
              </w:rPr>
            </w:pPr>
          </w:p>
        </w:tc>
        <w:tc>
          <w:tcPr>
            <w:tcW w:w="210" w:type="dxa"/>
            <w:vAlign w:val="bottom"/>
            <w:shd w:val="clear" w:color="auto" w:fill="EBE6F0"/>
          </w:tcPr>
          <w:p>
            <w:pPr>
              <w:spacing w:after="0"/>
              <w:rPr>
                <w:sz w:val="24"/>
                <w:szCs w:val="24"/>
                <w:color w:val="auto"/>
              </w:rPr>
            </w:pPr>
          </w:p>
        </w:tc>
        <w:tc>
          <w:tcPr>
            <w:tcW w:w="470" w:type="dxa"/>
            <w:vAlign w:val="bottom"/>
            <w:shd w:val="clear" w:color="auto" w:fill="EBE6F0"/>
          </w:tcPr>
          <w:p>
            <w:pPr>
              <w:spacing w:after="0"/>
              <w:rPr>
                <w:sz w:val="24"/>
                <w:szCs w:val="24"/>
                <w:color w:val="auto"/>
              </w:rPr>
            </w:pPr>
          </w:p>
        </w:tc>
        <w:tc>
          <w:tcPr>
            <w:tcW w:w="660" w:type="dxa"/>
            <w:vAlign w:val="bottom"/>
            <w:shd w:val="clear" w:color="auto" w:fill="EBE6F0"/>
          </w:tcPr>
          <w:p>
            <w:pPr>
              <w:spacing w:after="0"/>
              <w:rPr>
                <w:sz w:val="24"/>
                <w:szCs w:val="24"/>
                <w:color w:val="auto"/>
              </w:rPr>
            </w:pPr>
          </w:p>
        </w:tc>
        <w:tc>
          <w:tcPr>
            <w:tcW w:w="67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40" w:type="dxa"/>
            <w:vAlign w:val="bottom"/>
            <w:tcBorders>
              <w:bottom w:val="single" w:sz="8" w:color="EBE6F0"/>
            </w:tcBorders>
            <w:shd w:val="clear" w:color="auto" w:fill="EBE6F0"/>
          </w:tcPr>
          <w:p>
            <w:pPr>
              <w:jc w:val="center"/>
              <w:spacing w:after="0"/>
              <w:rPr>
                <w:sz w:val="20"/>
                <w:szCs w:val="20"/>
                <w:color w:val="auto"/>
              </w:rPr>
            </w:pPr>
            <w:r>
              <w:rPr>
                <w:rFonts w:ascii="Arial" w:cs="Arial" w:eastAsia="Arial" w:hAnsi="Arial"/>
                <w:sz w:val="22"/>
                <w:szCs w:val="22"/>
                <w:b w:val="1"/>
                <w:bCs w:val="1"/>
                <w:color w:val="auto"/>
                <w:w w:val="97"/>
              </w:rPr>
              <w:t>EXPERIENCE</w:t>
            </w:r>
          </w:p>
        </w:tc>
        <w:tc>
          <w:tcPr>
            <w:tcW w:w="2810" w:type="dxa"/>
            <w:vAlign w:val="bottom"/>
            <w:tcBorders>
              <w:bottom w:val="single" w:sz="8" w:color="EBE6F0"/>
            </w:tcBorders>
            <w:shd w:val="clear" w:color="auto" w:fill="EBE6F0"/>
          </w:tcPr>
          <w:p>
            <w:pPr>
              <w:spacing w:after="0"/>
              <w:rPr>
                <w:sz w:val="24"/>
                <w:szCs w:val="24"/>
                <w:color w:val="auto"/>
              </w:rPr>
            </w:pPr>
          </w:p>
        </w:tc>
        <w:tc>
          <w:tcPr>
            <w:tcW w:w="670" w:type="dxa"/>
            <w:vAlign w:val="bottom"/>
            <w:tcBorders>
              <w:bottom w:val="single" w:sz="8" w:color="EBE6F0"/>
            </w:tcBorders>
            <w:shd w:val="clear" w:color="auto" w:fill="EBE6F0"/>
          </w:tcPr>
          <w:p>
            <w:pPr>
              <w:spacing w:after="0"/>
              <w:rPr>
                <w:sz w:val="24"/>
                <w:szCs w:val="24"/>
                <w:color w:val="auto"/>
              </w:rPr>
            </w:pPr>
          </w:p>
        </w:tc>
        <w:tc>
          <w:tcPr>
            <w:tcW w:w="570" w:type="dxa"/>
            <w:vAlign w:val="bottom"/>
            <w:tcBorders>
              <w:bottom w:val="single" w:sz="8" w:color="EBE6F0"/>
            </w:tcBorders>
            <w:shd w:val="clear" w:color="auto" w:fill="EBE6F0"/>
          </w:tcPr>
          <w:p>
            <w:pPr>
              <w:spacing w:after="0"/>
              <w:rPr>
                <w:sz w:val="24"/>
                <w:szCs w:val="24"/>
                <w:color w:val="auto"/>
              </w:rPr>
            </w:pPr>
          </w:p>
        </w:tc>
        <w:tc>
          <w:tcPr>
            <w:tcW w:w="560" w:type="dxa"/>
            <w:vAlign w:val="bottom"/>
            <w:tcBorders>
              <w:bottom w:val="single" w:sz="8" w:color="EBE6F0"/>
            </w:tcBorders>
            <w:shd w:val="clear" w:color="auto" w:fill="EBE6F0"/>
          </w:tcPr>
          <w:p>
            <w:pPr>
              <w:spacing w:after="0"/>
              <w:rPr>
                <w:sz w:val="24"/>
                <w:szCs w:val="24"/>
                <w:color w:val="auto"/>
              </w:rPr>
            </w:pPr>
          </w:p>
        </w:tc>
        <w:tc>
          <w:tcPr>
            <w:tcW w:w="190" w:type="dxa"/>
            <w:vAlign w:val="bottom"/>
            <w:tcBorders>
              <w:bottom w:val="single" w:sz="8" w:color="EBE6F0"/>
            </w:tcBorders>
            <w:shd w:val="clear" w:color="auto" w:fill="EBE6F0"/>
          </w:tcPr>
          <w:p>
            <w:pPr>
              <w:spacing w:after="0"/>
              <w:rPr>
                <w:sz w:val="24"/>
                <w:szCs w:val="24"/>
                <w:color w:val="auto"/>
              </w:rPr>
            </w:pPr>
          </w:p>
        </w:tc>
        <w:tc>
          <w:tcPr>
            <w:tcW w:w="370" w:type="dxa"/>
            <w:vAlign w:val="bottom"/>
            <w:tcBorders>
              <w:bottom w:val="single" w:sz="8" w:color="EBE6F0"/>
            </w:tcBorders>
            <w:shd w:val="clear" w:color="auto" w:fill="EBE6F0"/>
          </w:tcPr>
          <w:p>
            <w:pPr>
              <w:spacing w:after="0"/>
              <w:rPr>
                <w:sz w:val="24"/>
                <w:szCs w:val="24"/>
                <w:color w:val="auto"/>
              </w:rPr>
            </w:pPr>
          </w:p>
        </w:tc>
        <w:tc>
          <w:tcPr>
            <w:tcW w:w="130" w:type="dxa"/>
            <w:vAlign w:val="bottom"/>
            <w:tcBorders>
              <w:bottom w:val="single" w:sz="8" w:color="EBE6F0"/>
            </w:tcBorders>
            <w:shd w:val="clear" w:color="auto" w:fill="EBE6F0"/>
          </w:tcPr>
          <w:p>
            <w:pPr>
              <w:spacing w:after="0"/>
              <w:rPr>
                <w:sz w:val="24"/>
                <w:szCs w:val="24"/>
                <w:color w:val="auto"/>
              </w:rPr>
            </w:pPr>
          </w:p>
        </w:tc>
        <w:tc>
          <w:tcPr>
            <w:tcW w:w="670" w:type="dxa"/>
            <w:vAlign w:val="bottom"/>
            <w:tcBorders>
              <w:bottom w:val="single" w:sz="8" w:color="EBE6F0"/>
            </w:tcBorders>
            <w:shd w:val="clear" w:color="auto" w:fill="EBE6F0"/>
          </w:tcPr>
          <w:p>
            <w:pPr>
              <w:spacing w:after="0"/>
              <w:rPr>
                <w:sz w:val="24"/>
                <w:szCs w:val="24"/>
                <w:color w:val="auto"/>
              </w:rPr>
            </w:pPr>
          </w:p>
        </w:tc>
        <w:tc>
          <w:tcPr>
            <w:tcW w:w="560" w:type="dxa"/>
            <w:vAlign w:val="bottom"/>
            <w:tcBorders>
              <w:bottom w:val="single" w:sz="8" w:color="EBE6F0"/>
            </w:tcBorders>
            <w:shd w:val="clear" w:color="auto" w:fill="EBE6F0"/>
          </w:tcPr>
          <w:p>
            <w:pPr>
              <w:spacing w:after="0"/>
              <w:rPr>
                <w:sz w:val="24"/>
                <w:szCs w:val="24"/>
                <w:color w:val="auto"/>
              </w:rPr>
            </w:pPr>
          </w:p>
        </w:tc>
        <w:tc>
          <w:tcPr>
            <w:tcW w:w="680" w:type="dxa"/>
            <w:vAlign w:val="bottom"/>
            <w:tcBorders>
              <w:bottom w:val="single" w:sz="8" w:color="EBE6F0"/>
            </w:tcBorders>
            <w:shd w:val="clear" w:color="auto" w:fill="EBE6F0"/>
          </w:tcPr>
          <w:p>
            <w:pPr>
              <w:spacing w:after="0"/>
              <w:rPr>
                <w:sz w:val="24"/>
                <w:szCs w:val="24"/>
                <w:color w:val="auto"/>
              </w:rPr>
            </w:pPr>
          </w:p>
        </w:tc>
        <w:tc>
          <w:tcPr>
            <w:tcW w:w="210" w:type="dxa"/>
            <w:vAlign w:val="bottom"/>
            <w:tcBorders>
              <w:bottom w:val="single" w:sz="8" w:color="EBE6F0"/>
            </w:tcBorders>
            <w:shd w:val="clear" w:color="auto" w:fill="EBE6F0"/>
          </w:tcPr>
          <w:p>
            <w:pPr>
              <w:spacing w:after="0"/>
              <w:rPr>
                <w:sz w:val="24"/>
                <w:szCs w:val="24"/>
                <w:color w:val="auto"/>
              </w:rPr>
            </w:pPr>
          </w:p>
        </w:tc>
        <w:tc>
          <w:tcPr>
            <w:tcW w:w="470" w:type="dxa"/>
            <w:vAlign w:val="bottom"/>
            <w:tcBorders>
              <w:bottom w:val="single" w:sz="8" w:color="EBE6F0"/>
            </w:tcBorders>
            <w:shd w:val="clear" w:color="auto" w:fill="EBE6F0"/>
          </w:tcPr>
          <w:p>
            <w:pPr>
              <w:spacing w:after="0"/>
              <w:rPr>
                <w:sz w:val="24"/>
                <w:szCs w:val="24"/>
                <w:color w:val="auto"/>
              </w:rPr>
            </w:pPr>
          </w:p>
        </w:tc>
        <w:tc>
          <w:tcPr>
            <w:tcW w:w="660" w:type="dxa"/>
            <w:vAlign w:val="bottom"/>
            <w:tcBorders>
              <w:bottom w:val="single" w:sz="8" w:color="EBE6F0"/>
            </w:tcBorders>
            <w:shd w:val="clear" w:color="auto" w:fill="EBE6F0"/>
          </w:tcPr>
          <w:p>
            <w:pPr>
              <w:spacing w:after="0"/>
              <w:rPr>
                <w:sz w:val="24"/>
                <w:szCs w:val="24"/>
                <w:color w:val="auto"/>
              </w:rPr>
            </w:pPr>
          </w:p>
        </w:tc>
        <w:tc>
          <w:tcPr>
            <w:tcW w:w="67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832"/>
        </w:trPr>
        <w:tc>
          <w:tcPr>
            <w:tcW w:w="4850" w:type="dxa"/>
            <w:vAlign w:val="bottom"/>
            <w:tcBorders>
              <w:top w:val="single" w:sz="8" w:color="582C83"/>
            </w:tcBorders>
            <w:gridSpan w:val="2"/>
          </w:tcPr>
          <w:p>
            <w:pPr>
              <w:ind w:left="340"/>
              <w:spacing w:after="0"/>
              <w:rPr>
                <w:sz w:val="20"/>
                <w:szCs w:val="20"/>
                <w:color w:val="auto"/>
              </w:rPr>
            </w:pPr>
            <w:r>
              <w:rPr>
                <w:rFonts w:ascii="Arial" w:cs="Arial" w:eastAsia="Arial" w:hAnsi="Arial"/>
                <w:sz w:val="31"/>
                <w:szCs w:val="31"/>
                <w:b w:val="1"/>
                <w:bCs w:val="1"/>
                <w:color w:val="auto"/>
              </w:rPr>
              <w:t>Director Skills</w:t>
            </w:r>
          </w:p>
        </w:tc>
        <w:tc>
          <w:tcPr>
            <w:tcW w:w="670" w:type="dxa"/>
            <w:vAlign w:val="bottom"/>
            <w:tcBorders>
              <w:top w:val="single" w:sz="8" w:color="582C83"/>
            </w:tcBorders>
          </w:tcPr>
          <w:p>
            <w:pPr>
              <w:spacing w:after="0"/>
              <w:rPr>
                <w:sz w:val="24"/>
                <w:szCs w:val="24"/>
                <w:color w:val="auto"/>
              </w:rPr>
            </w:pPr>
          </w:p>
        </w:tc>
        <w:tc>
          <w:tcPr>
            <w:tcW w:w="570" w:type="dxa"/>
            <w:vAlign w:val="bottom"/>
            <w:tcBorders>
              <w:top w:val="single" w:sz="8" w:color="582C83"/>
            </w:tcBorders>
          </w:tcPr>
          <w:p>
            <w:pPr>
              <w:spacing w:after="0"/>
              <w:rPr>
                <w:sz w:val="24"/>
                <w:szCs w:val="24"/>
                <w:color w:val="auto"/>
              </w:rPr>
            </w:pPr>
          </w:p>
        </w:tc>
        <w:tc>
          <w:tcPr>
            <w:tcW w:w="560" w:type="dxa"/>
            <w:vAlign w:val="bottom"/>
            <w:tcBorders>
              <w:top w:val="single" w:sz="8" w:color="582C83"/>
            </w:tcBorders>
          </w:tcPr>
          <w:p>
            <w:pPr>
              <w:spacing w:after="0"/>
              <w:rPr>
                <w:sz w:val="24"/>
                <w:szCs w:val="24"/>
                <w:color w:val="auto"/>
              </w:rPr>
            </w:pPr>
          </w:p>
        </w:tc>
        <w:tc>
          <w:tcPr>
            <w:tcW w:w="190" w:type="dxa"/>
            <w:vAlign w:val="bottom"/>
            <w:tcBorders>
              <w:top w:val="single" w:sz="8" w:color="582C83"/>
            </w:tcBorders>
          </w:tcPr>
          <w:p>
            <w:pPr>
              <w:spacing w:after="0"/>
              <w:rPr>
                <w:sz w:val="24"/>
                <w:szCs w:val="24"/>
                <w:color w:val="auto"/>
              </w:rPr>
            </w:pPr>
          </w:p>
        </w:tc>
        <w:tc>
          <w:tcPr>
            <w:tcW w:w="370" w:type="dxa"/>
            <w:vAlign w:val="bottom"/>
            <w:tcBorders>
              <w:top w:val="single" w:sz="8" w:color="582C83"/>
            </w:tcBorders>
          </w:tcPr>
          <w:p>
            <w:pPr>
              <w:spacing w:after="0"/>
              <w:rPr>
                <w:sz w:val="24"/>
                <w:szCs w:val="24"/>
                <w:color w:val="auto"/>
              </w:rPr>
            </w:pPr>
          </w:p>
        </w:tc>
        <w:tc>
          <w:tcPr>
            <w:tcW w:w="130" w:type="dxa"/>
            <w:vAlign w:val="bottom"/>
            <w:tcBorders>
              <w:top w:val="single" w:sz="8" w:color="582C83"/>
            </w:tcBorders>
          </w:tcPr>
          <w:p>
            <w:pPr>
              <w:spacing w:after="0"/>
              <w:rPr>
                <w:sz w:val="24"/>
                <w:szCs w:val="24"/>
                <w:color w:val="auto"/>
              </w:rPr>
            </w:pPr>
          </w:p>
        </w:tc>
        <w:tc>
          <w:tcPr>
            <w:tcW w:w="670" w:type="dxa"/>
            <w:vAlign w:val="bottom"/>
            <w:tcBorders>
              <w:top w:val="single" w:sz="8" w:color="582C83"/>
            </w:tcBorders>
          </w:tcPr>
          <w:p>
            <w:pPr>
              <w:spacing w:after="0"/>
              <w:rPr>
                <w:sz w:val="24"/>
                <w:szCs w:val="24"/>
                <w:color w:val="auto"/>
              </w:rPr>
            </w:pPr>
          </w:p>
        </w:tc>
        <w:tc>
          <w:tcPr>
            <w:tcW w:w="560" w:type="dxa"/>
            <w:vAlign w:val="bottom"/>
            <w:tcBorders>
              <w:top w:val="single" w:sz="8" w:color="582C83"/>
            </w:tcBorders>
          </w:tcPr>
          <w:p>
            <w:pPr>
              <w:spacing w:after="0"/>
              <w:rPr>
                <w:sz w:val="24"/>
                <w:szCs w:val="24"/>
                <w:color w:val="auto"/>
              </w:rPr>
            </w:pPr>
          </w:p>
        </w:tc>
        <w:tc>
          <w:tcPr>
            <w:tcW w:w="680" w:type="dxa"/>
            <w:vAlign w:val="bottom"/>
            <w:tcBorders>
              <w:top w:val="single" w:sz="8" w:color="582C83"/>
            </w:tcBorders>
          </w:tcPr>
          <w:p>
            <w:pPr>
              <w:spacing w:after="0"/>
              <w:rPr>
                <w:sz w:val="24"/>
                <w:szCs w:val="24"/>
                <w:color w:val="auto"/>
              </w:rPr>
            </w:pPr>
          </w:p>
        </w:tc>
        <w:tc>
          <w:tcPr>
            <w:tcW w:w="210" w:type="dxa"/>
            <w:vAlign w:val="bottom"/>
            <w:tcBorders>
              <w:top w:val="single" w:sz="8" w:color="582C83"/>
            </w:tcBorders>
          </w:tcPr>
          <w:p>
            <w:pPr>
              <w:spacing w:after="0"/>
              <w:rPr>
                <w:sz w:val="24"/>
                <w:szCs w:val="24"/>
                <w:color w:val="auto"/>
              </w:rPr>
            </w:pPr>
          </w:p>
        </w:tc>
        <w:tc>
          <w:tcPr>
            <w:tcW w:w="470" w:type="dxa"/>
            <w:vAlign w:val="bottom"/>
            <w:tcBorders>
              <w:top w:val="single" w:sz="8" w:color="582C83"/>
            </w:tcBorders>
          </w:tcPr>
          <w:p>
            <w:pPr>
              <w:spacing w:after="0"/>
              <w:rPr>
                <w:sz w:val="24"/>
                <w:szCs w:val="24"/>
                <w:color w:val="auto"/>
              </w:rPr>
            </w:pPr>
          </w:p>
        </w:tc>
        <w:tc>
          <w:tcPr>
            <w:tcW w:w="660" w:type="dxa"/>
            <w:vAlign w:val="bottom"/>
            <w:tcBorders>
              <w:top w:val="single" w:sz="8" w:color="582C83"/>
            </w:tcBorders>
          </w:tcPr>
          <w:p>
            <w:pPr>
              <w:spacing w:after="0"/>
              <w:rPr>
                <w:sz w:val="24"/>
                <w:szCs w:val="24"/>
                <w:color w:val="auto"/>
              </w:rPr>
            </w:pPr>
          </w:p>
        </w:tc>
        <w:tc>
          <w:tcPr>
            <w:tcW w:w="670" w:type="dxa"/>
            <w:vAlign w:val="bottom"/>
            <w:tcBorders>
              <w:top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944"/>
        </w:trPr>
        <w:tc>
          <w:tcPr>
            <w:tcW w:w="4850" w:type="dxa"/>
            <w:vAlign w:val="bottom"/>
            <w:tcBorders>
              <w:bottom w:val="single" w:sz="8" w:color="582C83"/>
            </w:tcBorders>
            <w:gridSpan w:val="2"/>
          </w:tcPr>
          <w:p>
            <w:pPr>
              <w:ind w:left="80"/>
              <w:spacing w:after="0"/>
              <w:rPr>
                <w:sz w:val="20"/>
                <w:szCs w:val="20"/>
                <w:color w:val="auto"/>
              </w:rPr>
            </w:pPr>
            <w:r>
              <w:rPr>
                <w:rFonts w:ascii="Arial" w:cs="Arial" w:eastAsia="Arial" w:hAnsi="Arial"/>
                <w:sz w:val="18"/>
                <w:szCs w:val="18"/>
                <w:b w:val="1"/>
                <w:bCs w:val="1"/>
                <w:color w:val="auto"/>
              </w:rPr>
              <w:t>Director Nominee Skills &amp; Experience</w:t>
            </w:r>
          </w:p>
        </w:tc>
        <w:tc>
          <w:tcPr>
            <w:tcW w:w="670" w:type="dxa"/>
            <w:vAlign w:val="bottom"/>
            <w:tcBorders>
              <w:bottom w:val="single" w:sz="8" w:color="582C83"/>
            </w:tcBorders>
          </w:tcPr>
          <w:p>
            <w:pPr>
              <w:spacing w:after="0"/>
              <w:rPr>
                <w:sz w:val="24"/>
                <w:szCs w:val="24"/>
                <w:color w:val="auto"/>
              </w:rPr>
            </w:pPr>
          </w:p>
        </w:tc>
        <w:tc>
          <w:tcPr>
            <w:tcW w:w="570" w:type="dxa"/>
            <w:vAlign w:val="bottom"/>
            <w:tcBorders>
              <w:bottom w:val="single" w:sz="8" w:color="582C83"/>
            </w:tcBorders>
          </w:tcPr>
          <w:p>
            <w:pPr>
              <w:spacing w:after="0"/>
              <w:rPr>
                <w:sz w:val="24"/>
                <w:szCs w:val="24"/>
                <w:color w:val="auto"/>
              </w:rPr>
            </w:pPr>
          </w:p>
        </w:tc>
        <w:tc>
          <w:tcPr>
            <w:tcW w:w="560" w:type="dxa"/>
            <w:vAlign w:val="bottom"/>
            <w:tcBorders>
              <w:bottom w:val="single" w:sz="8" w:color="582C83"/>
            </w:tcBorders>
          </w:tcPr>
          <w:p>
            <w:pPr>
              <w:spacing w:after="0"/>
              <w:rPr>
                <w:sz w:val="24"/>
                <w:szCs w:val="24"/>
                <w:color w:val="auto"/>
              </w:rPr>
            </w:pPr>
          </w:p>
        </w:tc>
        <w:tc>
          <w:tcPr>
            <w:tcW w:w="190" w:type="dxa"/>
            <w:vAlign w:val="bottom"/>
            <w:tcBorders>
              <w:bottom w:val="single" w:sz="8" w:color="582C83"/>
            </w:tcBorders>
          </w:tcPr>
          <w:p>
            <w:pPr>
              <w:spacing w:after="0"/>
              <w:rPr>
                <w:sz w:val="24"/>
                <w:szCs w:val="24"/>
                <w:color w:val="auto"/>
              </w:rPr>
            </w:pPr>
          </w:p>
        </w:tc>
        <w:tc>
          <w:tcPr>
            <w:tcW w:w="370" w:type="dxa"/>
            <w:vAlign w:val="bottom"/>
            <w:tcBorders>
              <w:bottom w:val="single" w:sz="8" w:color="582C83"/>
            </w:tcBorders>
          </w:tcPr>
          <w:p>
            <w:pPr>
              <w:spacing w:after="0"/>
              <w:rPr>
                <w:sz w:val="24"/>
                <w:szCs w:val="24"/>
                <w:color w:val="auto"/>
              </w:rPr>
            </w:pPr>
          </w:p>
        </w:tc>
        <w:tc>
          <w:tcPr>
            <w:tcW w:w="130" w:type="dxa"/>
            <w:vAlign w:val="bottom"/>
            <w:tcBorders>
              <w:bottom w:val="single" w:sz="8" w:color="582C83"/>
            </w:tcBorders>
          </w:tcPr>
          <w:p>
            <w:pPr>
              <w:spacing w:after="0"/>
              <w:rPr>
                <w:sz w:val="24"/>
                <w:szCs w:val="24"/>
                <w:color w:val="auto"/>
              </w:rPr>
            </w:pPr>
          </w:p>
        </w:tc>
        <w:tc>
          <w:tcPr>
            <w:tcW w:w="670" w:type="dxa"/>
            <w:vAlign w:val="bottom"/>
            <w:tcBorders>
              <w:bottom w:val="single" w:sz="8" w:color="582C83"/>
            </w:tcBorders>
          </w:tcPr>
          <w:p>
            <w:pPr>
              <w:spacing w:after="0"/>
              <w:rPr>
                <w:sz w:val="24"/>
                <w:szCs w:val="24"/>
                <w:color w:val="auto"/>
              </w:rPr>
            </w:pPr>
          </w:p>
        </w:tc>
        <w:tc>
          <w:tcPr>
            <w:tcW w:w="560" w:type="dxa"/>
            <w:vAlign w:val="bottom"/>
            <w:tcBorders>
              <w:bottom w:val="single" w:sz="8" w:color="582C83"/>
            </w:tcBorders>
          </w:tcPr>
          <w:p>
            <w:pPr>
              <w:spacing w:after="0"/>
              <w:rPr>
                <w:sz w:val="24"/>
                <w:szCs w:val="24"/>
                <w:color w:val="auto"/>
              </w:rPr>
            </w:pPr>
          </w:p>
        </w:tc>
        <w:tc>
          <w:tcPr>
            <w:tcW w:w="680" w:type="dxa"/>
            <w:vAlign w:val="bottom"/>
            <w:tcBorders>
              <w:bottom w:val="single" w:sz="8" w:color="582C83"/>
            </w:tcBorders>
          </w:tcPr>
          <w:p>
            <w:pPr>
              <w:spacing w:after="0"/>
              <w:rPr>
                <w:sz w:val="24"/>
                <w:szCs w:val="24"/>
                <w:color w:val="auto"/>
              </w:rPr>
            </w:pPr>
          </w:p>
        </w:tc>
        <w:tc>
          <w:tcPr>
            <w:tcW w:w="210" w:type="dxa"/>
            <w:vAlign w:val="bottom"/>
            <w:tcBorders>
              <w:bottom w:val="single" w:sz="8" w:color="582C83"/>
            </w:tcBorders>
          </w:tcPr>
          <w:p>
            <w:pPr>
              <w:spacing w:after="0"/>
              <w:rPr>
                <w:sz w:val="24"/>
                <w:szCs w:val="24"/>
                <w:color w:val="auto"/>
              </w:rPr>
            </w:pPr>
          </w:p>
        </w:tc>
        <w:tc>
          <w:tcPr>
            <w:tcW w:w="470" w:type="dxa"/>
            <w:vAlign w:val="bottom"/>
            <w:tcBorders>
              <w:bottom w:val="single" w:sz="8" w:color="582C83"/>
            </w:tcBorders>
          </w:tcPr>
          <w:p>
            <w:pPr>
              <w:spacing w:after="0"/>
              <w:rPr>
                <w:sz w:val="24"/>
                <w:szCs w:val="24"/>
                <w:color w:val="auto"/>
              </w:rPr>
            </w:pPr>
          </w:p>
        </w:tc>
        <w:tc>
          <w:tcPr>
            <w:tcW w:w="660" w:type="dxa"/>
            <w:vAlign w:val="bottom"/>
            <w:tcBorders>
              <w:bottom w:val="single" w:sz="8" w:color="582C83"/>
            </w:tcBorders>
          </w:tcPr>
          <w:p>
            <w:pPr>
              <w:spacing w:after="0"/>
              <w:rPr>
                <w:sz w:val="24"/>
                <w:szCs w:val="24"/>
                <w:color w:val="auto"/>
              </w:rPr>
            </w:pPr>
          </w:p>
        </w:tc>
        <w:tc>
          <w:tcPr>
            <w:tcW w:w="670" w:type="dxa"/>
            <w:vAlign w:val="bottom"/>
            <w:tcBorders>
              <w:bottom w:val="single" w:sz="8" w:color="582C83"/>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4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Industry Experience</w:t>
            </w:r>
          </w:p>
        </w:tc>
        <w:tc>
          <w:tcPr>
            <w:tcW w:w="281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spacing w:after="0"/>
              <w:rPr>
                <w:sz w:val="24"/>
                <w:szCs w:val="24"/>
                <w:color w:val="auto"/>
              </w:rPr>
            </w:pPr>
          </w:p>
        </w:tc>
        <w:tc>
          <w:tcPr>
            <w:tcW w:w="570" w:type="dxa"/>
            <w:vAlign w:val="bottom"/>
            <w:tcBorders>
              <w:bottom w:val="single" w:sz="8" w:color="582C83"/>
            </w:tcBorders>
            <w:shd w:val="clear" w:color="auto" w:fill="EBE6F0"/>
          </w:tcPr>
          <w:p>
            <w:pPr>
              <w:spacing w:after="0"/>
              <w:rPr>
                <w:sz w:val="24"/>
                <w:szCs w:val="24"/>
                <w:color w:val="auto"/>
              </w:rPr>
            </w:pPr>
          </w:p>
        </w:tc>
        <w:tc>
          <w:tcPr>
            <w:tcW w:w="560" w:type="dxa"/>
            <w:vAlign w:val="bottom"/>
            <w:tcBorders>
              <w:bottom w:val="single" w:sz="8" w:color="582C83"/>
            </w:tcBorders>
            <w:shd w:val="clear" w:color="auto" w:fill="EBE6F0"/>
          </w:tcPr>
          <w:p>
            <w:pPr>
              <w:spacing w:after="0"/>
              <w:rPr>
                <w:sz w:val="24"/>
                <w:szCs w:val="24"/>
                <w:color w:val="auto"/>
              </w:rPr>
            </w:pPr>
          </w:p>
        </w:tc>
        <w:tc>
          <w:tcPr>
            <w:tcW w:w="190" w:type="dxa"/>
            <w:vAlign w:val="bottom"/>
            <w:tcBorders>
              <w:bottom w:val="single" w:sz="8" w:color="582C83"/>
            </w:tcBorders>
            <w:shd w:val="clear" w:color="auto" w:fill="EBE6F0"/>
          </w:tcPr>
          <w:p>
            <w:pPr>
              <w:spacing w:after="0"/>
              <w:rPr>
                <w:sz w:val="24"/>
                <w:szCs w:val="24"/>
                <w:color w:val="auto"/>
              </w:rPr>
            </w:pPr>
          </w:p>
        </w:tc>
        <w:tc>
          <w:tcPr>
            <w:tcW w:w="370" w:type="dxa"/>
            <w:vAlign w:val="bottom"/>
            <w:tcBorders>
              <w:bottom w:val="single" w:sz="8" w:color="582C83"/>
            </w:tcBorders>
            <w:shd w:val="clear" w:color="auto" w:fill="EBE6F0"/>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680" w:type="dxa"/>
            <w:vAlign w:val="bottom"/>
            <w:tcBorders>
              <w:bottom w:val="single" w:sz="8" w:color="582C83"/>
            </w:tcBorders>
            <w:shd w:val="clear" w:color="auto" w:fill="EBE6F0"/>
          </w:tcPr>
          <w:p>
            <w:pPr>
              <w:spacing w:after="0"/>
              <w:rPr>
                <w:sz w:val="24"/>
                <w:szCs w:val="24"/>
                <w:color w:val="auto"/>
              </w:rPr>
            </w:pPr>
          </w:p>
        </w:tc>
        <w:tc>
          <w:tcPr>
            <w:tcW w:w="210" w:type="dxa"/>
            <w:vAlign w:val="bottom"/>
            <w:tcBorders>
              <w:bottom w:val="single" w:sz="8" w:color="582C83"/>
            </w:tcBorders>
            <w:shd w:val="clear" w:color="auto" w:fill="EBE6F0"/>
          </w:tcPr>
          <w:p>
            <w:pPr>
              <w:spacing w:after="0"/>
              <w:rPr>
                <w:sz w:val="24"/>
                <w:szCs w:val="24"/>
                <w:color w:val="auto"/>
              </w:rPr>
            </w:pPr>
          </w:p>
        </w:tc>
        <w:tc>
          <w:tcPr>
            <w:tcW w:w="470" w:type="dxa"/>
            <w:vAlign w:val="bottom"/>
            <w:tcBorders>
              <w:bottom w:val="single" w:sz="8" w:color="582C83"/>
            </w:tcBorders>
            <w:shd w:val="clear" w:color="auto" w:fill="EBE6F0"/>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372"/>
        </w:trPr>
        <w:tc>
          <w:tcPr>
            <w:tcW w:w="4850" w:type="dxa"/>
            <w:vAlign w:val="bottom"/>
            <w:tcBorders>
              <w:bottom w:val="single" w:sz="8" w:color="582C83"/>
            </w:tcBorders>
            <w:gridSpan w:val="2"/>
          </w:tcPr>
          <w:p>
            <w:pPr>
              <w:ind w:left="80"/>
              <w:spacing w:after="0"/>
              <w:rPr>
                <w:sz w:val="20"/>
                <w:szCs w:val="20"/>
                <w:color w:val="auto"/>
              </w:rPr>
            </w:pPr>
            <w:r>
              <w:rPr>
                <w:rFonts w:ascii="Arial" w:cs="Arial" w:eastAsia="Arial" w:hAnsi="Arial"/>
                <w:sz w:val="18"/>
                <w:szCs w:val="18"/>
                <w:color w:val="auto"/>
              </w:rPr>
              <w:t>Significant Operating Experience</w:t>
            </w:r>
          </w:p>
        </w:tc>
        <w:tc>
          <w:tcPr>
            <w:tcW w:w="670" w:type="dxa"/>
            <w:vAlign w:val="bottom"/>
            <w:tcBorders>
              <w:bottom w:val="single" w:sz="8" w:color="582C83"/>
            </w:tcBorders>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570" w:type="dxa"/>
            <w:vAlign w:val="bottom"/>
            <w:tcBorders>
              <w:bottom w:val="single" w:sz="8" w:color="582C83"/>
            </w:tcBorders>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tcPr>
          <w:p>
            <w:pPr>
              <w:spacing w:after="0"/>
              <w:rPr>
                <w:sz w:val="24"/>
                <w:szCs w:val="24"/>
                <w:color w:val="auto"/>
              </w:rPr>
            </w:pPr>
          </w:p>
        </w:tc>
        <w:tc>
          <w:tcPr>
            <w:tcW w:w="190" w:type="dxa"/>
            <w:vAlign w:val="bottom"/>
            <w:tcBorders>
              <w:bottom w:val="single" w:sz="8" w:color="582C83"/>
            </w:tcBorders>
          </w:tcPr>
          <w:p>
            <w:pPr>
              <w:spacing w:after="0"/>
              <w:rPr>
                <w:sz w:val="24"/>
                <w:szCs w:val="24"/>
                <w:color w:val="auto"/>
              </w:rPr>
            </w:pPr>
          </w:p>
        </w:tc>
        <w:tc>
          <w:tcPr>
            <w:tcW w:w="370" w:type="dxa"/>
            <w:vAlign w:val="bottom"/>
            <w:tcBorders>
              <w:bottom w:val="single" w:sz="8" w:color="582C83"/>
            </w:tcBorders>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Borders>
              <w:bottom w:val="single" w:sz="8" w:color="582C83"/>
            </w:tcBorders>
          </w:tcPr>
          <w:p>
            <w:pPr>
              <w:spacing w:after="0"/>
              <w:rPr>
                <w:sz w:val="24"/>
                <w:szCs w:val="24"/>
                <w:color w:val="auto"/>
              </w:rPr>
            </w:pPr>
          </w:p>
        </w:tc>
        <w:tc>
          <w:tcPr>
            <w:tcW w:w="670" w:type="dxa"/>
            <w:vAlign w:val="bottom"/>
            <w:tcBorders>
              <w:bottom w:val="single" w:sz="8" w:color="582C83"/>
            </w:tcBorders>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890" w:type="dxa"/>
            <w:vAlign w:val="bottom"/>
            <w:tcBorders>
              <w:bottom w:val="single" w:sz="8" w:color="582C83"/>
            </w:tcBorders>
            <w:gridSpan w:val="2"/>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470" w:type="dxa"/>
            <w:vAlign w:val="bottom"/>
            <w:tcBorders>
              <w:bottom w:val="single" w:sz="8" w:color="582C83"/>
            </w:tcBorders>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tcBorders>
              <w:bottom w:val="single" w:sz="8" w:color="582C83"/>
            </w:tcBorders>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tcBorders>
              <w:bottom w:val="single" w:sz="8" w:color="582C83"/>
            </w:tcBorders>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372"/>
        </w:trPr>
        <w:tc>
          <w:tcPr>
            <w:tcW w:w="204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Leadership Experience</w:t>
            </w:r>
          </w:p>
        </w:tc>
        <w:tc>
          <w:tcPr>
            <w:tcW w:w="281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570" w:type="dxa"/>
            <w:vAlign w:val="bottom"/>
            <w:tcBorders>
              <w:bottom w:val="single" w:sz="8" w:color="582C83"/>
            </w:tcBorders>
            <w:shd w:val="clear" w:color="auto" w:fill="EBE6F0"/>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190" w:type="dxa"/>
            <w:vAlign w:val="bottom"/>
            <w:tcBorders>
              <w:bottom w:val="single" w:sz="8" w:color="582C83"/>
            </w:tcBorders>
            <w:shd w:val="clear" w:color="auto" w:fill="EBE6F0"/>
          </w:tcPr>
          <w:p>
            <w:pPr>
              <w:spacing w:after="0"/>
              <w:rPr>
                <w:sz w:val="24"/>
                <w:szCs w:val="24"/>
                <w:color w:val="auto"/>
              </w:rPr>
            </w:pPr>
          </w:p>
        </w:tc>
        <w:tc>
          <w:tcPr>
            <w:tcW w:w="370" w:type="dxa"/>
            <w:vAlign w:val="bottom"/>
            <w:tcBorders>
              <w:bottom w:val="single" w:sz="8" w:color="582C83"/>
            </w:tcBorders>
            <w:shd w:val="clear" w:color="auto" w:fill="EBE6F0"/>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680" w:type="dxa"/>
            <w:vAlign w:val="bottom"/>
            <w:tcBorders>
              <w:bottom w:val="single" w:sz="8" w:color="582C83"/>
            </w:tcBorders>
            <w:shd w:val="clear" w:color="auto" w:fill="EBE6F0"/>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210" w:type="dxa"/>
            <w:vAlign w:val="bottom"/>
            <w:tcBorders>
              <w:bottom w:val="single" w:sz="8" w:color="582C83"/>
            </w:tcBorders>
            <w:shd w:val="clear" w:color="auto" w:fill="EBE6F0"/>
          </w:tcPr>
          <w:p>
            <w:pPr>
              <w:spacing w:after="0"/>
              <w:rPr>
                <w:sz w:val="24"/>
                <w:szCs w:val="24"/>
                <w:color w:val="auto"/>
              </w:rPr>
            </w:pPr>
          </w:p>
        </w:tc>
        <w:tc>
          <w:tcPr>
            <w:tcW w:w="470" w:type="dxa"/>
            <w:vAlign w:val="bottom"/>
            <w:tcBorders>
              <w:bottom w:val="single" w:sz="8" w:color="582C83"/>
            </w:tcBorders>
            <w:shd w:val="clear" w:color="auto" w:fill="EBE6F0"/>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tcBorders>
              <w:bottom w:val="single" w:sz="8" w:color="582C83"/>
            </w:tcBorders>
            <w:shd w:val="clear" w:color="auto" w:fill="EBE6F0"/>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tcBorders>
              <w:bottom w:val="single" w:sz="8" w:color="582C83"/>
            </w:tcBorders>
            <w:shd w:val="clear" w:color="auto" w:fill="EBE6F0"/>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244"/>
        </w:trPr>
        <w:tc>
          <w:tcPr>
            <w:tcW w:w="4850" w:type="dxa"/>
            <w:vAlign w:val="bottom"/>
            <w:gridSpan w:val="2"/>
          </w:tcPr>
          <w:p>
            <w:pPr>
              <w:ind w:left="80"/>
              <w:spacing w:after="0"/>
              <w:rPr>
                <w:sz w:val="20"/>
                <w:szCs w:val="20"/>
                <w:color w:val="auto"/>
              </w:rPr>
            </w:pPr>
            <w:r>
              <w:rPr>
                <w:rFonts w:ascii="Arial" w:cs="Arial" w:eastAsia="Arial" w:hAnsi="Arial"/>
                <w:sz w:val="18"/>
                <w:szCs w:val="18"/>
                <w:color w:val="auto"/>
              </w:rPr>
              <w:t>Substantial Global Business and Other International</w:t>
            </w:r>
          </w:p>
        </w:tc>
        <w:tc>
          <w:tcPr>
            <w:tcW w:w="670" w:type="dxa"/>
            <w:vAlign w:val="bottom"/>
            <w:vMerge w:val="restart"/>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570" w:type="dxa"/>
            <w:vAlign w:val="bottom"/>
            <w:vMerge w:val="restart"/>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750" w:type="dxa"/>
            <w:vAlign w:val="bottom"/>
            <w:gridSpan w:val="2"/>
            <w:vMerge w:val="restart"/>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37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Pr>
          <w:p>
            <w:pPr>
              <w:spacing w:after="0"/>
              <w:rPr>
                <w:sz w:val="21"/>
                <w:szCs w:val="21"/>
                <w:color w:val="auto"/>
              </w:rPr>
            </w:pPr>
          </w:p>
        </w:tc>
        <w:tc>
          <w:tcPr>
            <w:tcW w:w="670" w:type="dxa"/>
            <w:vAlign w:val="bottom"/>
            <w:vMerge w:val="restart"/>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vMerge w:val="restart"/>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890" w:type="dxa"/>
            <w:vAlign w:val="bottom"/>
            <w:gridSpan w:val="2"/>
            <w:vMerge w:val="restart"/>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47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vMerge w:val="restart"/>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166"/>
        </w:trPr>
        <w:tc>
          <w:tcPr>
            <w:tcW w:w="2040" w:type="dxa"/>
            <w:vAlign w:val="bottom"/>
            <w:vMerge w:val="restart"/>
          </w:tcPr>
          <w:p>
            <w:pPr>
              <w:ind w:left="80"/>
              <w:spacing w:after="0"/>
              <w:rPr>
                <w:sz w:val="20"/>
                <w:szCs w:val="20"/>
                <w:color w:val="auto"/>
              </w:rPr>
            </w:pPr>
            <w:r>
              <w:rPr>
                <w:rFonts w:ascii="Arial" w:cs="Arial" w:eastAsia="Arial" w:hAnsi="Arial"/>
                <w:sz w:val="18"/>
                <w:szCs w:val="18"/>
                <w:color w:val="auto"/>
              </w:rPr>
              <w:t>Experience</w:t>
            </w:r>
          </w:p>
        </w:tc>
        <w:tc>
          <w:tcPr>
            <w:tcW w:w="2810" w:type="dxa"/>
            <w:vAlign w:val="bottom"/>
          </w:tcPr>
          <w:p>
            <w:pPr>
              <w:spacing w:after="0"/>
              <w:rPr>
                <w:sz w:val="14"/>
                <w:szCs w:val="14"/>
                <w:color w:val="auto"/>
              </w:rPr>
            </w:pPr>
          </w:p>
        </w:tc>
        <w:tc>
          <w:tcPr>
            <w:tcW w:w="670" w:type="dxa"/>
            <w:vAlign w:val="bottom"/>
            <w:vMerge w:val="continue"/>
          </w:tcPr>
          <w:p>
            <w:pPr>
              <w:spacing w:after="0"/>
              <w:rPr>
                <w:sz w:val="14"/>
                <w:szCs w:val="14"/>
                <w:color w:val="auto"/>
              </w:rPr>
            </w:pPr>
          </w:p>
        </w:tc>
        <w:tc>
          <w:tcPr>
            <w:tcW w:w="570" w:type="dxa"/>
            <w:vAlign w:val="bottom"/>
            <w:vMerge w:val="continue"/>
          </w:tcPr>
          <w:p>
            <w:pPr>
              <w:spacing w:after="0"/>
              <w:rPr>
                <w:sz w:val="14"/>
                <w:szCs w:val="14"/>
                <w:color w:val="auto"/>
              </w:rPr>
            </w:pPr>
          </w:p>
        </w:tc>
        <w:tc>
          <w:tcPr>
            <w:tcW w:w="750" w:type="dxa"/>
            <w:vAlign w:val="bottom"/>
            <w:gridSpan w:val="2"/>
            <w:vMerge w:val="continue"/>
          </w:tcPr>
          <w:p>
            <w:pPr>
              <w:spacing w:after="0"/>
              <w:rPr>
                <w:sz w:val="14"/>
                <w:szCs w:val="14"/>
                <w:color w:val="auto"/>
              </w:rPr>
            </w:pPr>
          </w:p>
        </w:tc>
        <w:tc>
          <w:tcPr>
            <w:tcW w:w="370" w:type="dxa"/>
            <w:vAlign w:val="bottom"/>
            <w:vMerge w:val="continue"/>
          </w:tcPr>
          <w:p>
            <w:pPr>
              <w:spacing w:after="0"/>
              <w:rPr>
                <w:sz w:val="14"/>
                <w:szCs w:val="14"/>
                <w:color w:val="auto"/>
              </w:rPr>
            </w:pPr>
          </w:p>
        </w:tc>
        <w:tc>
          <w:tcPr>
            <w:tcW w:w="130" w:type="dxa"/>
            <w:vAlign w:val="bottom"/>
          </w:tcPr>
          <w:p>
            <w:pPr>
              <w:spacing w:after="0"/>
              <w:rPr>
                <w:sz w:val="14"/>
                <w:szCs w:val="14"/>
                <w:color w:val="auto"/>
              </w:rPr>
            </w:pPr>
          </w:p>
        </w:tc>
        <w:tc>
          <w:tcPr>
            <w:tcW w:w="67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90" w:type="dxa"/>
            <w:vAlign w:val="bottom"/>
            <w:gridSpan w:val="2"/>
            <w:vMerge w:val="continue"/>
          </w:tcPr>
          <w:p>
            <w:pPr>
              <w:spacing w:after="0"/>
              <w:rPr>
                <w:sz w:val="14"/>
                <w:szCs w:val="14"/>
                <w:color w:val="auto"/>
              </w:rPr>
            </w:pPr>
          </w:p>
        </w:tc>
        <w:tc>
          <w:tcPr>
            <w:tcW w:w="47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7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40" w:type="dxa"/>
            <w:vAlign w:val="bottom"/>
            <w:vMerge w:val="continue"/>
          </w:tcPr>
          <w:p>
            <w:pPr>
              <w:spacing w:after="0"/>
              <w:rPr>
                <w:sz w:val="5"/>
                <w:szCs w:val="5"/>
                <w:color w:val="auto"/>
              </w:rPr>
            </w:pPr>
          </w:p>
        </w:tc>
        <w:tc>
          <w:tcPr>
            <w:tcW w:w="2810" w:type="dxa"/>
            <w:vAlign w:val="bottom"/>
          </w:tcPr>
          <w:p>
            <w:pPr>
              <w:spacing w:after="0"/>
              <w:rPr>
                <w:sz w:val="5"/>
                <w:szCs w:val="5"/>
                <w:color w:val="auto"/>
              </w:rPr>
            </w:pPr>
          </w:p>
        </w:tc>
        <w:tc>
          <w:tcPr>
            <w:tcW w:w="670" w:type="dxa"/>
            <w:vAlign w:val="bottom"/>
          </w:tcPr>
          <w:p>
            <w:pPr>
              <w:spacing w:after="0"/>
              <w:rPr>
                <w:sz w:val="5"/>
                <w:szCs w:val="5"/>
                <w:color w:val="auto"/>
              </w:rPr>
            </w:pPr>
          </w:p>
        </w:tc>
        <w:tc>
          <w:tcPr>
            <w:tcW w:w="57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0" w:type="dxa"/>
            <w:vAlign w:val="bottom"/>
          </w:tcPr>
          <w:p>
            <w:pPr>
              <w:spacing w:after="0"/>
              <w:rPr>
                <w:sz w:val="5"/>
                <w:szCs w:val="5"/>
                <w:color w:val="auto"/>
              </w:rPr>
            </w:pPr>
          </w:p>
        </w:tc>
        <w:tc>
          <w:tcPr>
            <w:tcW w:w="370" w:type="dxa"/>
            <w:vAlign w:val="bottom"/>
          </w:tcPr>
          <w:p>
            <w:pPr>
              <w:spacing w:after="0"/>
              <w:rPr>
                <w:sz w:val="5"/>
                <w:szCs w:val="5"/>
                <w:color w:val="auto"/>
              </w:rPr>
            </w:pPr>
          </w:p>
        </w:tc>
        <w:tc>
          <w:tcPr>
            <w:tcW w:w="130" w:type="dxa"/>
            <w:vAlign w:val="bottom"/>
          </w:tcPr>
          <w:p>
            <w:pPr>
              <w:spacing w:after="0"/>
              <w:rPr>
                <w:sz w:val="5"/>
                <w:szCs w:val="5"/>
                <w:color w:val="auto"/>
              </w:rPr>
            </w:pPr>
          </w:p>
        </w:tc>
        <w:tc>
          <w:tcPr>
            <w:tcW w:w="67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10" w:type="dxa"/>
            <w:vAlign w:val="bottom"/>
          </w:tcPr>
          <w:p>
            <w:pPr>
              <w:spacing w:after="0"/>
              <w:rPr>
                <w:sz w:val="5"/>
                <w:szCs w:val="5"/>
                <w:color w:val="auto"/>
              </w:rPr>
            </w:pPr>
          </w:p>
        </w:tc>
        <w:tc>
          <w:tcPr>
            <w:tcW w:w="470" w:type="dxa"/>
            <w:vAlign w:val="bottom"/>
          </w:tcPr>
          <w:p>
            <w:pPr>
              <w:spacing w:after="0"/>
              <w:rPr>
                <w:sz w:val="5"/>
                <w:szCs w:val="5"/>
                <w:color w:val="auto"/>
              </w:rPr>
            </w:pPr>
          </w:p>
        </w:tc>
        <w:tc>
          <w:tcPr>
            <w:tcW w:w="660" w:type="dxa"/>
            <w:vAlign w:val="bottom"/>
          </w:tcPr>
          <w:p>
            <w:pPr>
              <w:spacing w:after="0"/>
              <w:rPr>
                <w:sz w:val="5"/>
                <w:szCs w:val="5"/>
                <w:color w:val="auto"/>
              </w:rPr>
            </w:pPr>
          </w:p>
        </w:tc>
        <w:tc>
          <w:tcPr>
            <w:tcW w:w="67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850" w:type="dxa"/>
            <w:vAlign w:val="bottom"/>
            <w:tcBorders>
              <w:bottom w:val="single" w:sz="8" w:color="582C83"/>
            </w:tcBorders>
            <w:gridSpan w:val="2"/>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57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190" w:type="dxa"/>
            <w:vAlign w:val="bottom"/>
            <w:tcBorders>
              <w:bottom w:val="single" w:sz="8" w:color="582C83"/>
            </w:tcBorders>
          </w:tcPr>
          <w:p>
            <w:pPr>
              <w:spacing w:after="0"/>
              <w:rPr>
                <w:sz w:val="3"/>
                <w:szCs w:val="3"/>
                <w:color w:val="auto"/>
              </w:rPr>
            </w:pPr>
          </w:p>
        </w:tc>
        <w:tc>
          <w:tcPr>
            <w:tcW w:w="370" w:type="dxa"/>
            <w:vAlign w:val="bottom"/>
            <w:tcBorders>
              <w:bottom w:val="single" w:sz="8" w:color="582C83"/>
            </w:tcBorders>
          </w:tcPr>
          <w:p>
            <w:pPr>
              <w:spacing w:after="0"/>
              <w:rPr>
                <w:sz w:val="3"/>
                <w:szCs w:val="3"/>
                <w:color w:val="auto"/>
              </w:rPr>
            </w:pPr>
          </w:p>
        </w:tc>
        <w:tc>
          <w:tcPr>
            <w:tcW w:w="130" w:type="dxa"/>
            <w:vAlign w:val="bottom"/>
            <w:tcBorders>
              <w:bottom w:val="single" w:sz="8" w:color="582C83"/>
            </w:tcBorders>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210" w:type="dxa"/>
            <w:vAlign w:val="bottom"/>
            <w:tcBorders>
              <w:bottom w:val="single" w:sz="8" w:color="582C83"/>
            </w:tcBorders>
          </w:tcPr>
          <w:p>
            <w:pPr>
              <w:spacing w:after="0"/>
              <w:rPr>
                <w:sz w:val="3"/>
                <w:szCs w:val="3"/>
                <w:color w:val="auto"/>
              </w:rPr>
            </w:pPr>
          </w:p>
        </w:tc>
        <w:tc>
          <w:tcPr>
            <w:tcW w:w="47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4850" w:type="dxa"/>
            <w:vAlign w:val="bottom"/>
            <w:tcBorders>
              <w:bottom w:val="single" w:sz="8" w:color="582C83"/>
            </w:tcBorders>
            <w:gridSpan w:val="2"/>
            <w:shd w:val="clear" w:color="auto" w:fill="EBE6F0"/>
          </w:tcPr>
          <w:p>
            <w:pPr>
              <w:ind w:left="80"/>
              <w:spacing w:after="0"/>
              <w:rPr>
                <w:sz w:val="20"/>
                <w:szCs w:val="20"/>
                <w:color w:val="auto"/>
              </w:rPr>
            </w:pPr>
            <w:r>
              <w:rPr>
                <w:rFonts w:ascii="Arial" w:cs="Arial" w:eastAsia="Arial" w:hAnsi="Arial"/>
                <w:sz w:val="18"/>
                <w:szCs w:val="18"/>
                <w:color w:val="auto"/>
              </w:rPr>
              <w:t>Accounting and Financial Expertise</w:t>
            </w:r>
          </w:p>
        </w:tc>
        <w:tc>
          <w:tcPr>
            <w:tcW w:w="670" w:type="dxa"/>
            <w:vAlign w:val="bottom"/>
            <w:tcBorders>
              <w:bottom w:val="single" w:sz="8" w:color="582C83"/>
            </w:tcBorders>
            <w:shd w:val="clear" w:color="auto" w:fill="EBE6F0"/>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570" w:type="dxa"/>
            <w:vAlign w:val="bottom"/>
            <w:tcBorders>
              <w:bottom w:val="single" w:sz="8" w:color="582C83"/>
            </w:tcBorders>
            <w:shd w:val="clear" w:color="auto" w:fill="EBE6F0"/>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Borders>
              <w:bottom w:val="single" w:sz="8" w:color="582C83"/>
            </w:tcBorders>
            <w:shd w:val="clear" w:color="auto" w:fill="EBE6F0"/>
          </w:tcPr>
          <w:p>
            <w:pPr>
              <w:spacing w:after="0"/>
              <w:rPr>
                <w:sz w:val="24"/>
                <w:szCs w:val="24"/>
                <w:color w:val="auto"/>
              </w:rPr>
            </w:pPr>
          </w:p>
        </w:tc>
        <w:tc>
          <w:tcPr>
            <w:tcW w:w="190" w:type="dxa"/>
            <w:vAlign w:val="bottom"/>
            <w:tcBorders>
              <w:bottom w:val="single" w:sz="8" w:color="582C83"/>
            </w:tcBorders>
            <w:shd w:val="clear" w:color="auto" w:fill="EBE6F0"/>
          </w:tcPr>
          <w:p>
            <w:pPr>
              <w:spacing w:after="0"/>
              <w:rPr>
                <w:sz w:val="24"/>
                <w:szCs w:val="24"/>
                <w:color w:val="auto"/>
              </w:rPr>
            </w:pPr>
          </w:p>
        </w:tc>
        <w:tc>
          <w:tcPr>
            <w:tcW w:w="370" w:type="dxa"/>
            <w:vAlign w:val="bottom"/>
            <w:tcBorders>
              <w:bottom w:val="single" w:sz="8" w:color="582C83"/>
            </w:tcBorders>
            <w:shd w:val="clear" w:color="auto" w:fill="EBE6F0"/>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Borders>
              <w:bottom w:val="single" w:sz="8" w:color="582C83"/>
            </w:tcBorders>
            <w:shd w:val="clear" w:color="auto" w:fill="EBE6F0"/>
          </w:tcPr>
          <w:p>
            <w:pPr>
              <w:spacing w:after="0"/>
              <w:rPr>
                <w:sz w:val="24"/>
                <w:szCs w:val="24"/>
                <w:color w:val="auto"/>
              </w:rPr>
            </w:pPr>
          </w:p>
        </w:tc>
        <w:tc>
          <w:tcPr>
            <w:tcW w:w="670" w:type="dxa"/>
            <w:vAlign w:val="bottom"/>
            <w:tcBorders>
              <w:bottom w:val="single" w:sz="8" w:color="582C83"/>
            </w:tcBorders>
            <w:shd w:val="clear" w:color="auto" w:fill="EBE6F0"/>
          </w:tcPr>
          <w:p>
            <w:pPr>
              <w:spacing w:after="0"/>
              <w:rPr>
                <w:sz w:val="24"/>
                <w:szCs w:val="24"/>
                <w:color w:val="auto"/>
              </w:rPr>
            </w:pPr>
          </w:p>
        </w:tc>
        <w:tc>
          <w:tcPr>
            <w:tcW w:w="560" w:type="dxa"/>
            <w:vAlign w:val="bottom"/>
            <w:tcBorders>
              <w:bottom w:val="single" w:sz="8" w:color="582C83"/>
            </w:tcBorders>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680" w:type="dxa"/>
            <w:vAlign w:val="bottom"/>
            <w:tcBorders>
              <w:bottom w:val="single" w:sz="8" w:color="582C83"/>
            </w:tcBorders>
            <w:shd w:val="clear" w:color="auto" w:fill="EBE6F0"/>
          </w:tcPr>
          <w:p>
            <w:pPr>
              <w:spacing w:after="0"/>
              <w:rPr>
                <w:sz w:val="24"/>
                <w:szCs w:val="24"/>
                <w:color w:val="auto"/>
              </w:rPr>
            </w:pPr>
          </w:p>
        </w:tc>
        <w:tc>
          <w:tcPr>
            <w:tcW w:w="210" w:type="dxa"/>
            <w:vAlign w:val="bottom"/>
            <w:tcBorders>
              <w:bottom w:val="single" w:sz="8" w:color="582C83"/>
            </w:tcBorders>
            <w:shd w:val="clear" w:color="auto" w:fill="EBE6F0"/>
          </w:tcPr>
          <w:p>
            <w:pPr>
              <w:spacing w:after="0"/>
              <w:rPr>
                <w:sz w:val="24"/>
                <w:szCs w:val="24"/>
                <w:color w:val="auto"/>
              </w:rPr>
            </w:pPr>
          </w:p>
        </w:tc>
        <w:tc>
          <w:tcPr>
            <w:tcW w:w="470" w:type="dxa"/>
            <w:vAlign w:val="bottom"/>
            <w:tcBorders>
              <w:bottom w:val="single" w:sz="8" w:color="582C83"/>
            </w:tcBorders>
            <w:shd w:val="clear" w:color="auto" w:fill="EBE6F0"/>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tcBorders>
              <w:bottom w:val="single" w:sz="8" w:color="582C83"/>
            </w:tcBorders>
            <w:shd w:val="clear" w:color="auto" w:fill="EBE6F0"/>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tcBorders>
              <w:bottom w:val="single" w:sz="8" w:color="582C83"/>
            </w:tcBorders>
            <w:shd w:val="clear" w:color="auto" w:fill="EBE6F0"/>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272"/>
        </w:trPr>
        <w:tc>
          <w:tcPr>
            <w:tcW w:w="4850" w:type="dxa"/>
            <w:vAlign w:val="bottom"/>
            <w:gridSpan w:val="2"/>
          </w:tcPr>
          <w:p>
            <w:pPr>
              <w:ind w:left="80"/>
              <w:spacing w:after="0"/>
              <w:rPr>
                <w:sz w:val="20"/>
                <w:szCs w:val="20"/>
                <w:color w:val="auto"/>
              </w:rPr>
            </w:pPr>
            <w:r>
              <w:rPr>
                <w:rFonts w:ascii="Arial" w:cs="Arial" w:eastAsia="Arial" w:hAnsi="Arial"/>
                <w:sz w:val="18"/>
                <w:szCs w:val="18"/>
                <w:color w:val="auto"/>
              </w:rPr>
              <w:t>Product Research, Development and Marketing</w:t>
            </w:r>
          </w:p>
        </w:tc>
        <w:tc>
          <w:tcPr>
            <w:tcW w:w="670" w:type="dxa"/>
            <w:vAlign w:val="bottom"/>
          </w:tcPr>
          <w:p>
            <w:pPr>
              <w:spacing w:after="0"/>
              <w:rPr>
                <w:sz w:val="23"/>
                <w:szCs w:val="23"/>
                <w:color w:val="auto"/>
              </w:rPr>
            </w:pPr>
          </w:p>
        </w:tc>
        <w:tc>
          <w:tcPr>
            <w:tcW w:w="570" w:type="dxa"/>
            <w:vAlign w:val="bottom"/>
            <w:vMerge w:val="restart"/>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Pr>
          <w:p>
            <w:pPr>
              <w:spacing w:after="0"/>
              <w:rPr>
                <w:sz w:val="23"/>
                <w:szCs w:val="23"/>
                <w:color w:val="auto"/>
              </w:rPr>
            </w:pPr>
          </w:p>
        </w:tc>
        <w:tc>
          <w:tcPr>
            <w:tcW w:w="190" w:type="dxa"/>
            <w:vAlign w:val="bottom"/>
          </w:tcPr>
          <w:p>
            <w:pPr>
              <w:spacing w:after="0"/>
              <w:rPr>
                <w:sz w:val="23"/>
                <w:szCs w:val="23"/>
                <w:color w:val="auto"/>
              </w:rPr>
            </w:pPr>
          </w:p>
        </w:tc>
        <w:tc>
          <w:tcPr>
            <w:tcW w:w="370" w:type="dxa"/>
            <w:vAlign w:val="bottom"/>
            <w:vMerge w:val="restart"/>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tcPr>
          <w:p>
            <w:pPr>
              <w:spacing w:after="0"/>
              <w:rPr>
                <w:sz w:val="23"/>
                <w:szCs w:val="23"/>
                <w:color w:val="auto"/>
              </w:rPr>
            </w:pPr>
          </w:p>
        </w:tc>
        <w:tc>
          <w:tcPr>
            <w:tcW w:w="670" w:type="dxa"/>
            <w:vAlign w:val="bottom"/>
            <w:vMerge w:val="restart"/>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tcPr>
          <w:p>
            <w:pPr>
              <w:spacing w:after="0"/>
              <w:rPr>
                <w:sz w:val="23"/>
                <w:szCs w:val="23"/>
                <w:color w:val="auto"/>
              </w:rPr>
            </w:pPr>
          </w:p>
        </w:tc>
        <w:tc>
          <w:tcPr>
            <w:tcW w:w="890" w:type="dxa"/>
            <w:vAlign w:val="bottom"/>
            <w:gridSpan w:val="2"/>
            <w:vMerge w:val="restart"/>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470" w:type="dxa"/>
            <w:vAlign w:val="bottom"/>
            <w:vMerge w:val="restart"/>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vMerge w:val="restart"/>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138"/>
        </w:trPr>
        <w:tc>
          <w:tcPr>
            <w:tcW w:w="2040" w:type="dxa"/>
            <w:vAlign w:val="bottom"/>
            <w:vMerge w:val="restart"/>
          </w:tcPr>
          <w:p>
            <w:pPr>
              <w:ind w:left="80"/>
              <w:spacing w:after="0"/>
              <w:rPr>
                <w:sz w:val="20"/>
                <w:szCs w:val="20"/>
                <w:color w:val="auto"/>
              </w:rPr>
            </w:pPr>
            <w:r>
              <w:rPr>
                <w:rFonts w:ascii="Arial" w:cs="Arial" w:eastAsia="Arial" w:hAnsi="Arial"/>
                <w:sz w:val="18"/>
                <w:szCs w:val="18"/>
                <w:color w:val="auto"/>
              </w:rPr>
              <w:t>Experience</w:t>
            </w:r>
          </w:p>
        </w:tc>
        <w:tc>
          <w:tcPr>
            <w:tcW w:w="281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57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370" w:type="dxa"/>
            <w:vAlign w:val="bottom"/>
            <w:vMerge w:val="continue"/>
          </w:tcPr>
          <w:p>
            <w:pPr>
              <w:spacing w:after="0"/>
              <w:rPr>
                <w:sz w:val="12"/>
                <w:szCs w:val="12"/>
                <w:color w:val="auto"/>
              </w:rPr>
            </w:pPr>
          </w:p>
        </w:tc>
        <w:tc>
          <w:tcPr>
            <w:tcW w:w="130" w:type="dxa"/>
            <w:vAlign w:val="bottom"/>
          </w:tcPr>
          <w:p>
            <w:pPr>
              <w:spacing w:after="0"/>
              <w:rPr>
                <w:sz w:val="12"/>
                <w:szCs w:val="12"/>
                <w:color w:val="auto"/>
              </w:rPr>
            </w:pPr>
          </w:p>
        </w:tc>
        <w:tc>
          <w:tcPr>
            <w:tcW w:w="67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90" w:type="dxa"/>
            <w:vAlign w:val="bottom"/>
            <w:gridSpan w:val="2"/>
            <w:vMerge w:val="continue"/>
          </w:tcPr>
          <w:p>
            <w:pPr>
              <w:spacing w:after="0"/>
              <w:rPr>
                <w:sz w:val="12"/>
                <w:szCs w:val="12"/>
                <w:color w:val="auto"/>
              </w:rPr>
            </w:pPr>
          </w:p>
        </w:tc>
        <w:tc>
          <w:tcPr>
            <w:tcW w:w="47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7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40" w:type="dxa"/>
            <w:vAlign w:val="bottom"/>
            <w:vMerge w:val="continue"/>
          </w:tcPr>
          <w:p>
            <w:pPr>
              <w:spacing w:after="0"/>
              <w:rPr>
                <w:sz w:val="9"/>
                <w:szCs w:val="9"/>
                <w:color w:val="auto"/>
              </w:rPr>
            </w:pPr>
          </w:p>
        </w:tc>
        <w:tc>
          <w:tcPr>
            <w:tcW w:w="2810" w:type="dxa"/>
            <w:vAlign w:val="bottom"/>
          </w:tcPr>
          <w:p>
            <w:pPr>
              <w:spacing w:after="0"/>
              <w:rPr>
                <w:sz w:val="9"/>
                <w:szCs w:val="9"/>
                <w:color w:val="auto"/>
              </w:rPr>
            </w:pPr>
          </w:p>
        </w:tc>
        <w:tc>
          <w:tcPr>
            <w:tcW w:w="670" w:type="dxa"/>
            <w:vAlign w:val="bottom"/>
          </w:tcPr>
          <w:p>
            <w:pPr>
              <w:spacing w:after="0"/>
              <w:rPr>
                <w:sz w:val="9"/>
                <w:szCs w:val="9"/>
                <w:color w:val="auto"/>
              </w:rPr>
            </w:pPr>
          </w:p>
        </w:tc>
        <w:tc>
          <w:tcPr>
            <w:tcW w:w="570" w:type="dxa"/>
            <w:vAlign w:val="bottom"/>
          </w:tcPr>
          <w:p>
            <w:pPr>
              <w:spacing w:after="0"/>
              <w:rPr>
                <w:sz w:val="9"/>
                <w:szCs w:val="9"/>
                <w:color w:val="auto"/>
              </w:rPr>
            </w:pPr>
          </w:p>
        </w:tc>
        <w:tc>
          <w:tcPr>
            <w:tcW w:w="560" w:type="dxa"/>
            <w:vAlign w:val="bottom"/>
          </w:tcPr>
          <w:p>
            <w:pPr>
              <w:spacing w:after="0"/>
              <w:rPr>
                <w:sz w:val="9"/>
                <w:szCs w:val="9"/>
                <w:color w:val="auto"/>
              </w:rPr>
            </w:pPr>
          </w:p>
        </w:tc>
        <w:tc>
          <w:tcPr>
            <w:tcW w:w="190" w:type="dxa"/>
            <w:vAlign w:val="bottom"/>
          </w:tcPr>
          <w:p>
            <w:pPr>
              <w:spacing w:after="0"/>
              <w:rPr>
                <w:sz w:val="9"/>
                <w:szCs w:val="9"/>
                <w:color w:val="auto"/>
              </w:rPr>
            </w:pPr>
          </w:p>
        </w:tc>
        <w:tc>
          <w:tcPr>
            <w:tcW w:w="370" w:type="dxa"/>
            <w:vAlign w:val="bottom"/>
          </w:tcPr>
          <w:p>
            <w:pPr>
              <w:spacing w:after="0"/>
              <w:rPr>
                <w:sz w:val="9"/>
                <w:szCs w:val="9"/>
                <w:color w:val="auto"/>
              </w:rPr>
            </w:pPr>
          </w:p>
        </w:tc>
        <w:tc>
          <w:tcPr>
            <w:tcW w:w="130" w:type="dxa"/>
            <w:vAlign w:val="bottom"/>
          </w:tcPr>
          <w:p>
            <w:pPr>
              <w:spacing w:after="0"/>
              <w:rPr>
                <w:sz w:val="9"/>
                <w:szCs w:val="9"/>
                <w:color w:val="auto"/>
              </w:rPr>
            </w:pPr>
          </w:p>
        </w:tc>
        <w:tc>
          <w:tcPr>
            <w:tcW w:w="67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10" w:type="dxa"/>
            <w:vAlign w:val="bottom"/>
          </w:tcPr>
          <w:p>
            <w:pPr>
              <w:spacing w:after="0"/>
              <w:rPr>
                <w:sz w:val="9"/>
                <w:szCs w:val="9"/>
                <w:color w:val="auto"/>
              </w:rPr>
            </w:pPr>
          </w:p>
        </w:tc>
        <w:tc>
          <w:tcPr>
            <w:tcW w:w="470" w:type="dxa"/>
            <w:vAlign w:val="bottom"/>
          </w:tcPr>
          <w:p>
            <w:pPr>
              <w:spacing w:after="0"/>
              <w:rPr>
                <w:sz w:val="9"/>
                <w:szCs w:val="9"/>
                <w:color w:val="auto"/>
              </w:rPr>
            </w:pPr>
          </w:p>
        </w:tc>
        <w:tc>
          <w:tcPr>
            <w:tcW w:w="660" w:type="dxa"/>
            <w:vAlign w:val="bottom"/>
          </w:tcPr>
          <w:p>
            <w:pPr>
              <w:spacing w:after="0"/>
              <w:rPr>
                <w:sz w:val="9"/>
                <w:szCs w:val="9"/>
                <w:color w:val="auto"/>
              </w:rPr>
            </w:pPr>
          </w:p>
        </w:tc>
        <w:tc>
          <w:tcPr>
            <w:tcW w:w="67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4850" w:type="dxa"/>
            <w:vAlign w:val="bottom"/>
            <w:tcBorders>
              <w:bottom w:val="single" w:sz="8" w:color="582C83"/>
            </w:tcBorders>
            <w:gridSpan w:val="2"/>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57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190" w:type="dxa"/>
            <w:vAlign w:val="bottom"/>
            <w:tcBorders>
              <w:bottom w:val="single" w:sz="8" w:color="582C83"/>
            </w:tcBorders>
          </w:tcPr>
          <w:p>
            <w:pPr>
              <w:spacing w:after="0"/>
              <w:rPr>
                <w:sz w:val="3"/>
                <w:szCs w:val="3"/>
                <w:color w:val="auto"/>
              </w:rPr>
            </w:pPr>
          </w:p>
        </w:tc>
        <w:tc>
          <w:tcPr>
            <w:tcW w:w="370" w:type="dxa"/>
            <w:vAlign w:val="bottom"/>
            <w:tcBorders>
              <w:bottom w:val="single" w:sz="8" w:color="582C83"/>
            </w:tcBorders>
          </w:tcPr>
          <w:p>
            <w:pPr>
              <w:spacing w:after="0"/>
              <w:rPr>
                <w:sz w:val="3"/>
                <w:szCs w:val="3"/>
                <w:color w:val="auto"/>
              </w:rPr>
            </w:pPr>
          </w:p>
        </w:tc>
        <w:tc>
          <w:tcPr>
            <w:tcW w:w="130" w:type="dxa"/>
            <w:vAlign w:val="bottom"/>
            <w:tcBorders>
              <w:bottom w:val="single" w:sz="8" w:color="582C83"/>
            </w:tcBorders>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680" w:type="dxa"/>
            <w:vAlign w:val="bottom"/>
            <w:tcBorders>
              <w:bottom w:val="single" w:sz="8" w:color="582C83"/>
            </w:tcBorders>
          </w:tcPr>
          <w:p>
            <w:pPr>
              <w:spacing w:after="0"/>
              <w:rPr>
                <w:sz w:val="3"/>
                <w:szCs w:val="3"/>
                <w:color w:val="auto"/>
              </w:rPr>
            </w:pPr>
          </w:p>
        </w:tc>
        <w:tc>
          <w:tcPr>
            <w:tcW w:w="210" w:type="dxa"/>
            <w:vAlign w:val="bottom"/>
            <w:tcBorders>
              <w:bottom w:val="single" w:sz="8" w:color="582C83"/>
            </w:tcBorders>
          </w:tcPr>
          <w:p>
            <w:pPr>
              <w:spacing w:after="0"/>
              <w:rPr>
                <w:sz w:val="3"/>
                <w:szCs w:val="3"/>
                <w:color w:val="auto"/>
              </w:rPr>
            </w:pPr>
          </w:p>
        </w:tc>
        <w:tc>
          <w:tcPr>
            <w:tcW w:w="470" w:type="dxa"/>
            <w:vAlign w:val="bottom"/>
            <w:tcBorders>
              <w:bottom w:val="single" w:sz="8" w:color="582C83"/>
            </w:tcBorders>
          </w:tcPr>
          <w:p>
            <w:pPr>
              <w:spacing w:after="0"/>
              <w:rPr>
                <w:sz w:val="3"/>
                <w:szCs w:val="3"/>
                <w:color w:val="auto"/>
              </w:rPr>
            </w:pPr>
          </w:p>
        </w:tc>
        <w:tc>
          <w:tcPr>
            <w:tcW w:w="660" w:type="dxa"/>
            <w:vAlign w:val="bottom"/>
            <w:tcBorders>
              <w:bottom w:val="single" w:sz="8" w:color="582C83"/>
            </w:tcBorders>
          </w:tcPr>
          <w:p>
            <w:pPr>
              <w:spacing w:after="0"/>
              <w:rPr>
                <w:sz w:val="3"/>
                <w:szCs w:val="3"/>
                <w:color w:val="auto"/>
              </w:rPr>
            </w:pPr>
          </w:p>
        </w:tc>
        <w:tc>
          <w:tcPr>
            <w:tcW w:w="670" w:type="dxa"/>
            <w:vAlign w:val="bottom"/>
            <w:tcBorders>
              <w:bottom w:val="single" w:sz="8" w:color="582C83"/>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850" w:type="dxa"/>
            <w:vAlign w:val="bottom"/>
            <w:gridSpan w:val="2"/>
            <w:shd w:val="clear" w:color="auto" w:fill="EBE6F0"/>
          </w:tcPr>
          <w:p>
            <w:pPr>
              <w:ind w:left="80"/>
              <w:spacing w:after="0"/>
              <w:rPr>
                <w:sz w:val="20"/>
                <w:szCs w:val="20"/>
                <w:color w:val="auto"/>
              </w:rPr>
            </w:pPr>
            <w:r>
              <w:rPr>
                <w:rFonts w:ascii="Arial" w:cs="Arial" w:eastAsia="Arial" w:hAnsi="Arial"/>
                <w:sz w:val="18"/>
                <w:szCs w:val="18"/>
                <w:color w:val="auto"/>
              </w:rPr>
              <w:t>Public Company Board and Corporate Governance</w:t>
            </w:r>
          </w:p>
        </w:tc>
        <w:tc>
          <w:tcPr>
            <w:tcW w:w="670" w:type="dxa"/>
            <w:vAlign w:val="bottom"/>
            <w:vMerge w:val="restart"/>
            <w:shd w:val="clear" w:color="auto" w:fill="EBE6F0"/>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570" w:type="dxa"/>
            <w:vAlign w:val="bottom"/>
            <w:vMerge w:val="restart"/>
            <w:shd w:val="clear" w:color="auto" w:fill="EBE6F0"/>
          </w:tcPr>
          <w:p>
            <w:pPr>
              <w:ind w:left="24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vMerge w:val="restart"/>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190" w:type="dxa"/>
            <w:vAlign w:val="bottom"/>
            <w:shd w:val="clear" w:color="auto" w:fill="EBE6F0"/>
          </w:tcPr>
          <w:p>
            <w:pPr>
              <w:spacing w:after="0"/>
              <w:rPr>
                <w:sz w:val="21"/>
                <w:szCs w:val="21"/>
                <w:color w:val="auto"/>
              </w:rPr>
            </w:pPr>
          </w:p>
        </w:tc>
        <w:tc>
          <w:tcPr>
            <w:tcW w:w="370" w:type="dxa"/>
            <w:vAlign w:val="bottom"/>
            <w:vMerge w:val="restart"/>
            <w:shd w:val="clear" w:color="auto" w:fill="EBE6F0"/>
          </w:tcPr>
          <w:p>
            <w:pPr>
              <w:ind w:left="100"/>
              <w:spacing w:after="0"/>
              <w:rPr>
                <w:sz w:val="20"/>
                <w:szCs w:val="20"/>
                <w:color w:val="auto"/>
              </w:rPr>
            </w:pPr>
            <w:r>
              <w:rPr>
                <w:rFonts w:ascii="Times New Roman" w:cs="Times New Roman" w:eastAsia="Times New Roman" w:hAnsi="Times New Roman"/>
                <w:sz w:val="28"/>
                <w:szCs w:val="28"/>
                <w:color w:val="572C83"/>
              </w:rPr>
              <w:t>•</w:t>
            </w:r>
          </w:p>
        </w:tc>
        <w:tc>
          <w:tcPr>
            <w:tcW w:w="130" w:type="dxa"/>
            <w:vAlign w:val="bottom"/>
            <w:shd w:val="clear" w:color="auto" w:fill="EBE6F0"/>
          </w:tcPr>
          <w:p>
            <w:pPr>
              <w:spacing w:after="0"/>
              <w:rPr>
                <w:sz w:val="21"/>
                <w:szCs w:val="21"/>
                <w:color w:val="auto"/>
              </w:rPr>
            </w:pPr>
          </w:p>
        </w:tc>
        <w:tc>
          <w:tcPr>
            <w:tcW w:w="670" w:type="dxa"/>
            <w:vAlign w:val="bottom"/>
            <w:vMerge w:val="restart"/>
            <w:shd w:val="clear" w:color="auto" w:fill="EBE6F0"/>
          </w:tcPr>
          <w:p>
            <w:pPr>
              <w:ind w:left="280"/>
              <w:spacing w:after="0"/>
              <w:rPr>
                <w:sz w:val="20"/>
                <w:szCs w:val="20"/>
                <w:color w:val="auto"/>
              </w:rPr>
            </w:pPr>
            <w:r>
              <w:rPr>
                <w:rFonts w:ascii="Times New Roman" w:cs="Times New Roman" w:eastAsia="Times New Roman" w:hAnsi="Times New Roman"/>
                <w:sz w:val="28"/>
                <w:szCs w:val="28"/>
                <w:color w:val="572C83"/>
              </w:rPr>
              <w:t>•</w:t>
            </w:r>
          </w:p>
        </w:tc>
        <w:tc>
          <w:tcPr>
            <w:tcW w:w="560" w:type="dxa"/>
            <w:vAlign w:val="bottom"/>
            <w:vMerge w:val="restart"/>
            <w:shd w:val="clear" w:color="auto" w:fill="EBE6F0"/>
          </w:tcPr>
          <w:p>
            <w:pPr>
              <w:ind w:left="230"/>
              <w:spacing w:after="0"/>
              <w:rPr>
                <w:sz w:val="20"/>
                <w:szCs w:val="20"/>
                <w:color w:val="auto"/>
              </w:rPr>
            </w:pPr>
            <w:r>
              <w:rPr>
                <w:rFonts w:ascii="Times New Roman" w:cs="Times New Roman" w:eastAsia="Times New Roman" w:hAnsi="Times New Roman"/>
                <w:sz w:val="28"/>
                <w:szCs w:val="28"/>
                <w:color w:val="572C83"/>
              </w:rPr>
              <w:t>•</w:t>
            </w:r>
          </w:p>
        </w:tc>
        <w:tc>
          <w:tcPr>
            <w:tcW w:w="680" w:type="dxa"/>
            <w:vAlign w:val="bottom"/>
            <w:vMerge w:val="restart"/>
            <w:shd w:val="clear" w:color="auto" w:fill="EBE6F0"/>
          </w:tcPr>
          <w:p>
            <w:pPr>
              <w:ind w:left="290"/>
              <w:spacing w:after="0"/>
              <w:rPr>
                <w:sz w:val="20"/>
                <w:szCs w:val="20"/>
                <w:color w:val="auto"/>
              </w:rPr>
            </w:pPr>
            <w:r>
              <w:rPr>
                <w:rFonts w:ascii="Times New Roman" w:cs="Times New Roman" w:eastAsia="Times New Roman" w:hAnsi="Times New Roman"/>
                <w:sz w:val="28"/>
                <w:szCs w:val="28"/>
                <w:color w:val="572C83"/>
              </w:rPr>
              <w:t>•</w:t>
            </w:r>
          </w:p>
        </w:tc>
        <w:tc>
          <w:tcPr>
            <w:tcW w:w="210" w:type="dxa"/>
            <w:vAlign w:val="bottom"/>
            <w:shd w:val="clear" w:color="auto" w:fill="EBE6F0"/>
          </w:tcPr>
          <w:p>
            <w:pPr>
              <w:spacing w:after="0"/>
              <w:rPr>
                <w:sz w:val="21"/>
                <w:szCs w:val="21"/>
                <w:color w:val="auto"/>
              </w:rPr>
            </w:pPr>
          </w:p>
        </w:tc>
        <w:tc>
          <w:tcPr>
            <w:tcW w:w="470" w:type="dxa"/>
            <w:vAlign w:val="bottom"/>
            <w:vMerge w:val="restart"/>
            <w:shd w:val="clear" w:color="auto" w:fill="EBE6F0"/>
          </w:tcPr>
          <w:p>
            <w:pPr>
              <w:ind w:left="80"/>
              <w:spacing w:after="0"/>
              <w:rPr>
                <w:sz w:val="20"/>
                <w:szCs w:val="20"/>
                <w:color w:val="auto"/>
              </w:rPr>
            </w:pPr>
            <w:r>
              <w:rPr>
                <w:rFonts w:ascii="Times New Roman" w:cs="Times New Roman" w:eastAsia="Times New Roman" w:hAnsi="Times New Roman"/>
                <w:sz w:val="28"/>
                <w:szCs w:val="28"/>
                <w:color w:val="572C83"/>
              </w:rPr>
              <w:t>•</w:t>
            </w:r>
          </w:p>
        </w:tc>
        <w:tc>
          <w:tcPr>
            <w:tcW w:w="660" w:type="dxa"/>
            <w:vAlign w:val="bottom"/>
            <w:vMerge w:val="restart"/>
            <w:shd w:val="clear" w:color="auto" w:fill="EBE6F0"/>
          </w:tcPr>
          <w:p>
            <w:pPr>
              <w:jc w:val="right"/>
              <w:ind w:right="148"/>
              <w:spacing w:after="0"/>
              <w:rPr>
                <w:sz w:val="20"/>
                <w:szCs w:val="20"/>
                <w:color w:val="auto"/>
              </w:rPr>
            </w:pPr>
            <w:r>
              <w:rPr>
                <w:rFonts w:ascii="Times New Roman" w:cs="Times New Roman" w:eastAsia="Times New Roman" w:hAnsi="Times New Roman"/>
                <w:sz w:val="28"/>
                <w:szCs w:val="28"/>
                <w:color w:val="572C83"/>
              </w:rPr>
              <w:t>•</w:t>
            </w:r>
          </w:p>
        </w:tc>
        <w:tc>
          <w:tcPr>
            <w:tcW w:w="670" w:type="dxa"/>
            <w:vAlign w:val="bottom"/>
            <w:vMerge w:val="restart"/>
            <w:shd w:val="clear" w:color="auto" w:fill="EBE6F0"/>
          </w:tcPr>
          <w:p>
            <w:pPr>
              <w:ind w:left="270"/>
              <w:spacing w:after="0"/>
              <w:rPr>
                <w:sz w:val="20"/>
                <w:szCs w:val="20"/>
                <w:color w:val="auto"/>
              </w:rPr>
            </w:pPr>
            <w:r>
              <w:rPr>
                <w:rFonts w:ascii="Times New Roman" w:cs="Times New Roman" w:eastAsia="Times New Roman" w:hAnsi="Times New Roman"/>
                <w:sz w:val="28"/>
                <w:szCs w:val="28"/>
                <w:color w:val="572C83"/>
              </w:rPr>
              <w:t>•</w:t>
            </w:r>
          </w:p>
        </w:tc>
        <w:tc>
          <w:tcPr>
            <w:tcW w:w="0" w:type="dxa"/>
            <w:vAlign w:val="bottom"/>
          </w:tcPr>
          <w:p>
            <w:pPr>
              <w:spacing w:after="0"/>
              <w:rPr>
                <w:sz w:val="1"/>
                <w:szCs w:val="1"/>
                <w:color w:val="auto"/>
              </w:rPr>
            </w:pPr>
          </w:p>
        </w:tc>
      </w:tr>
      <w:tr>
        <w:trPr>
          <w:trHeight w:val="166"/>
        </w:trPr>
        <w:tc>
          <w:tcPr>
            <w:tcW w:w="2040" w:type="dxa"/>
            <w:vAlign w:val="bottom"/>
            <w:vMerge w:val="restart"/>
            <w:shd w:val="clear" w:color="auto" w:fill="EBE6F0"/>
          </w:tcPr>
          <w:p>
            <w:pPr>
              <w:ind w:left="80"/>
              <w:spacing w:after="0"/>
              <w:rPr>
                <w:sz w:val="20"/>
                <w:szCs w:val="20"/>
                <w:color w:val="auto"/>
              </w:rPr>
            </w:pPr>
            <w:r>
              <w:rPr>
                <w:rFonts w:ascii="Arial" w:cs="Arial" w:eastAsia="Arial" w:hAnsi="Arial"/>
                <w:sz w:val="18"/>
                <w:szCs w:val="18"/>
                <w:color w:val="auto"/>
              </w:rPr>
              <w:t>Experience</w:t>
            </w:r>
          </w:p>
        </w:tc>
        <w:tc>
          <w:tcPr>
            <w:tcW w:w="2810" w:type="dxa"/>
            <w:vAlign w:val="bottom"/>
            <w:shd w:val="clear" w:color="auto" w:fill="EBE6F0"/>
          </w:tcPr>
          <w:p>
            <w:pPr>
              <w:spacing w:after="0"/>
              <w:rPr>
                <w:sz w:val="14"/>
                <w:szCs w:val="14"/>
                <w:color w:val="auto"/>
              </w:rPr>
            </w:pPr>
          </w:p>
        </w:tc>
        <w:tc>
          <w:tcPr>
            <w:tcW w:w="670" w:type="dxa"/>
            <w:vAlign w:val="bottom"/>
            <w:vMerge w:val="continue"/>
            <w:shd w:val="clear" w:color="auto" w:fill="EBE6F0"/>
          </w:tcPr>
          <w:p>
            <w:pPr>
              <w:spacing w:after="0"/>
              <w:rPr>
                <w:sz w:val="14"/>
                <w:szCs w:val="14"/>
                <w:color w:val="auto"/>
              </w:rPr>
            </w:pPr>
          </w:p>
        </w:tc>
        <w:tc>
          <w:tcPr>
            <w:tcW w:w="570" w:type="dxa"/>
            <w:vAlign w:val="bottom"/>
            <w:vMerge w:val="continue"/>
            <w:shd w:val="clear" w:color="auto" w:fill="EBE6F0"/>
          </w:tcPr>
          <w:p>
            <w:pPr>
              <w:spacing w:after="0"/>
              <w:rPr>
                <w:sz w:val="14"/>
                <w:szCs w:val="14"/>
                <w:color w:val="auto"/>
              </w:rPr>
            </w:pPr>
          </w:p>
        </w:tc>
        <w:tc>
          <w:tcPr>
            <w:tcW w:w="560" w:type="dxa"/>
            <w:vAlign w:val="bottom"/>
            <w:vMerge w:val="continue"/>
            <w:shd w:val="clear" w:color="auto" w:fill="EBE6F0"/>
          </w:tcPr>
          <w:p>
            <w:pPr>
              <w:spacing w:after="0"/>
              <w:rPr>
                <w:sz w:val="14"/>
                <w:szCs w:val="14"/>
                <w:color w:val="auto"/>
              </w:rPr>
            </w:pPr>
          </w:p>
        </w:tc>
        <w:tc>
          <w:tcPr>
            <w:tcW w:w="190" w:type="dxa"/>
            <w:vAlign w:val="bottom"/>
            <w:shd w:val="clear" w:color="auto" w:fill="EBE6F0"/>
          </w:tcPr>
          <w:p>
            <w:pPr>
              <w:spacing w:after="0"/>
              <w:rPr>
                <w:sz w:val="14"/>
                <w:szCs w:val="14"/>
                <w:color w:val="auto"/>
              </w:rPr>
            </w:pPr>
          </w:p>
        </w:tc>
        <w:tc>
          <w:tcPr>
            <w:tcW w:w="370" w:type="dxa"/>
            <w:vAlign w:val="bottom"/>
            <w:vMerge w:val="continue"/>
            <w:shd w:val="clear" w:color="auto" w:fill="EBE6F0"/>
          </w:tcPr>
          <w:p>
            <w:pPr>
              <w:spacing w:after="0"/>
              <w:rPr>
                <w:sz w:val="14"/>
                <w:szCs w:val="14"/>
                <w:color w:val="auto"/>
              </w:rPr>
            </w:pPr>
          </w:p>
        </w:tc>
        <w:tc>
          <w:tcPr>
            <w:tcW w:w="130" w:type="dxa"/>
            <w:vAlign w:val="bottom"/>
            <w:shd w:val="clear" w:color="auto" w:fill="EBE6F0"/>
          </w:tcPr>
          <w:p>
            <w:pPr>
              <w:spacing w:after="0"/>
              <w:rPr>
                <w:sz w:val="14"/>
                <w:szCs w:val="14"/>
                <w:color w:val="auto"/>
              </w:rPr>
            </w:pPr>
          </w:p>
        </w:tc>
        <w:tc>
          <w:tcPr>
            <w:tcW w:w="670" w:type="dxa"/>
            <w:vAlign w:val="bottom"/>
            <w:vMerge w:val="continue"/>
            <w:shd w:val="clear" w:color="auto" w:fill="EBE6F0"/>
          </w:tcPr>
          <w:p>
            <w:pPr>
              <w:spacing w:after="0"/>
              <w:rPr>
                <w:sz w:val="14"/>
                <w:szCs w:val="14"/>
                <w:color w:val="auto"/>
              </w:rPr>
            </w:pPr>
          </w:p>
        </w:tc>
        <w:tc>
          <w:tcPr>
            <w:tcW w:w="560" w:type="dxa"/>
            <w:vAlign w:val="bottom"/>
            <w:vMerge w:val="continue"/>
            <w:shd w:val="clear" w:color="auto" w:fill="EBE6F0"/>
          </w:tcPr>
          <w:p>
            <w:pPr>
              <w:spacing w:after="0"/>
              <w:rPr>
                <w:sz w:val="14"/>
                <w:szCs w:val="14"/>
                <w:color w:val="auto"/>
              </w:rPr>
            </w:pPr>
          </w:p>
        </w:tc>
        <w:tc>
          <w:tcPr>
            <w:tcW w:w="680" w:type="dxa"/>
            <w:vAlign w:val="bottom"/>
            <w:vMerge w:val="continue"/>
            <w:shd w:val="clear" w:color="auto" w:fill="EBE6F0"/>
          </w:tcPr>
          <w:p>
            <w:pPr>
              <w:spacing w:after="0"/>
              <w:rPr>
                <w:sz w:val="14"/>
                <w:szCs w:val="14"/>
                <w:color w:val="auto"/>
              </w:rPr>
            </w:pPr>
          </w:p>
        </w:tc>
        <w:tc>
          <w:tcPr>
            <w:tcW w:w="210" w:type="dxa"/>
            <w:vAlign w:val="bottom"/>
            <w:shd w:val="clear" w:color="auto" w:fill="EBE6F0"/>
          </w:tcPr>
          <w:p>
            <w:pPr>
              <w:spacing w:after="0"/>
              <w:rPr>
                <w:sz w:val="14"/>
                <w:szCs w:val="14"/>
                <w:color w:val="auto"/>
              </w:rPr>
            </w:pPr>
          </w:p>
        </w:tc>
        <w:tc>
          <w:tcPr>
            <w:tcW w:w="470" w:type="dxa"/>
            <w:vAlign w:val="bottom"/>
            <w:vMerge w:val="continue"/>
            <w:shd w:val="clear" w:color="auto" w:fill="EBE6F0"/>
          </w:tcPr>
          <w:p>
            <w:pPr>
              <w:spacing w:after="0"/>
              <w:rPr>
                <w:sz w:val="14"/>
                <w:szCs w:val="14"/>
                <w:color w:val="auto"/>
              </w:rPr>
            </w:pPr>
          </w:p>
        </w:tc>
        <w:tc>
          <w:tcPr>
            <w:tcW w:w="660" w:type="dxa"/>
            <w:vAlign w:val="bottom"/>
            <w:vMerge w:val="continue"/>
            <w:shd w:val="clear" w:color="auto" w:fill="EBE6F0"/>
          </w:tcPr>
          <w:p>
            <w:pPr>
              <w:spacing w:after="0"/>
              <w:rPr>
                <w:sz w:val="14"/>
                <w:szCs w:val="14"/>
                <w:color w:val="auto"/>
              </w:rPr>
            </w:pPr>
          </w:p>
        </w:tc>
        <w:tc>
          <w:tcPr>
            <w:tcW w:w="670" w:type="dxa"/>
            <w:vAlign w:val="bottom"/>
            <w:vMerge w:val="continue"/>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40" w:type="dxa"/>
            <w:vAlign w:val="bottom"/>
            <w:tcBorders>
              <w:bottom w:val="single" w:sz="8" w:color="EBE6F0"/>
            </w:tcBorders>
            <w:vMerge w:val="continue"/>
            <w:shd w:val="clear" w:color="auto" w:fill="EBE6F0"/>
          </w:tcPr>
          <w:p>
            <w:pPr>
              <w:spacing w:after="0"/>
              <w:rPr>
                <w:sz w:val="7"/>
                <w:szCs w:val="7"/>
                <w:color w:val="auto"/>
              </w:rPr>
            </w:pPr>
          </w:p>
        </w:tc>
        <w:tc>
          <w:tcPr>
            <w:tcW w:w="2810" w:type="dxa"/>
            <w:vAlign w:val="bottom"/>
            <w:tcBorders>
              <w:bottom w:val="single" w:sz="8" w:color="EBE6F0"/>
            </w:tcBorders>
            <w:shd w:val="clear" w:color="auto" w:fill="EBE6F0"/>
          </w:tcPr>
          <w:p>
            <w:pPr>
              <w:spacing w:after="0"/>
              <w:rPr>
                <w:sz w:val="7"/>
                <w:szCs w:val="7"/>
                <w:color w:val="auto"/>
              </w:rPr>
            </w:pPr>
          </w:p>
        </w:tc>
        <w:tc>
          <w:tcPr>
            <w:tcW w:w="670" w:type="dxa"/>
            <w:vAlign w:val="bottom"/>
            <w:tcBorders>
              <w:bottom w:val="single" w:sz="8" w:color="EBE6F0"/>
            </w:tcBorders>
            <w:shd w:val="clear" w:color="auto" w:fill="EBE6F0"/>
          </w:tcPr>
          <w:p>
            <w:pPr>
              <w:spacing w:after="0"/>
              <w:rPr>
                <w:sz w:val="7"/>
                <w:szCs w:val="7"/>
                <w:color w:val="auto"/>
              </w:rPr>
            </w:pPr>
          </w:p>
        </w:tc>
        <w:tc>
          <w:tcPr>
            <w:tcW w:w="570" w:type="dxa"/>
            <w:vAlign w:val="bottom"/>
            <w:tcBorders>
              <w:bottom w:val="single" w:sz="8" w:color="EBE6F0"/>
            </w:tcBorders>
            <w:shd w:val="clear" w:color="auto" w:fill="EBE6F0"/>
          </w:tcPr>
          <w:p>
            <w:pPr>
              <w:spacing w:after="0"/>
              <w:rPr>
                <w:sz w:val="7"/>
                <w:szCs w:val="7"/>
                <w:color w:val="auto"/>
              </w:rPr>
            </w:pPr>
          </w:p>
        </w:tc>
        <w:tc>
          <w:tcPr>
            <w:tcW w:w="560" w:type="dxa"/>
            <w:vAlign w:val="bottom"/>
            <w:tcBorders>
              <w:bottom w:val="single" w:sz="8" w:color="EBE6F0"/>
            </w:tcBorders>
            <w:shd w:val="clear" w:color="auto" w:fill="EBE6F0"/>
          </w:tcPr>
          <w:p>
            <w:pPr>
              <w:spacing w:after="0"/>
              <w:rPr>
                <w:sz w:val="7"/>
                <w:szCs w:val="7"/>
                <w:color w:val="auto"/>
              </w:rPr>
            </w:pPr>
          </w:p>
        </w:tc>
        <w:tc>
          <w:tcPr>
            <w:tcW w:w="190" w:type="dxa"/>
            <w:vAlign w:val="bottom"/>
            <w:tcBorders>
              <w:bottom w:val="single" w:sz="8" w:color="EBE6F0"/>
            </w:tcBorders>
            <w:shd w:val="clear" w:color="auto" w:fill="EBE6F0"/>
          </w:tcPr>
          <w:p>
            <w:pPr>
              <w:spacing w:after="0"/>
              <w:rPr>
                <w:sz w:val="7"/>
                <w:szCs w:val="7"/>
                <w:color w:val="auto"/>
              </w:rPr>
            </w:pPr>
          </w:p>
        </w:tc>
        <w:tc>
          <w:tcPr>
            <w:tcW w:w="370" w:type="dxa"/>
            <w:vAlign w:val="bottom"/>
            <w:tcBorders>
              <w:bottom w:val="single" w:sz="8" w:color="EBE6F0"/>
            </w:tcBorders>
            <w:shd w:val="clear" w:color="auto" w:fill="EBE6F0"/>
          </w:tcPr>
          <w:p>
            <w:pPr>
              <w:spacing w:after="0"/>
              <w:rPr>
                <w:sz w:val="7"/>
                <w:szCs w:val="7"/>
                <w:color w:val="auto"/>
              </w:rPr>
            </w:pPr>
          </w:p>
        </w:tc>
        <w:tc>
          <w:tcPr>
            <w:tcW w:w="130" w:type="dxa"/>
            <w:vAlign w:val="bottom"/>
            <w:tcBorders>
              <w:bottom w:val="single" w:sz="8" w:color="EBE6F0"/>
            </w:tcBorders>
            <w:shd w:val="clear" w:color="auto" w:fill="EBE6F0"/>
          </w:tcPr>
          <w:p>
            <w:pPr>
              <w:spacing w:after="0"/>
              <w:rPr>
                <w:sz w:val="7"/>
                <w:szCs w:val="7"/>
                <w:color w:val="auto"/>
              </w:rPr>
            </w:pPr>
          </w:p>
        </w:tc>
        <w:tc>
          <w:tcPr>
            <w:tcW w:w="670" w:type="dxa"/>
            <w:vAlign w:val="bottom"/>
            <w:tcBorders>
              <w:bottom w:val="single" w:sz="8" w:color="EBE6F0"/>
            </w:tcBorders>
            <w:shd w:val="clear" w:color="auto" w:fill="EBE6F0"/>
          </w:tcPr>
          <w:p>
            <w:pPr>
              <w:spacing w:after="0"/>
              <w:rPr>
                <w:sz w:val="7"/>
                <w:szCs w:val="7"/>
                <w:color w:val="auto"/>
              </w:rPr>
            </w:pPr>
          </w:p>
        </w:tc>
        <w:tc>
          <w:tcPr>
            <w:tcW w:w="560" w:type="dxa"/>
            <w:vAlign w:val="bottom"/>
            <w:tcBorders>
              <w:bottom w:val="single" w:sz="8" w:color="EBE6F0"/>
            </w:tcBorders>
            <w:shd w:val="clear" w:color="auto" w:fill="EBE6F0"/>
          </w:tcPr>
          <w:p>
            <w:pPr>
              <w:spacing w:after="0"/>
              <w:rPr>
                <w:sz w:val="7"/>
                <w:szCs w:val="7"/>
                <w:color w:val="auto"/>
              </w:rPr>
            </w:pPr>
          </w:p>
        </w:tc>
        <w:tc>
          <w:tcPr>
            <w:tcW w:w="680" w:type="dxa"/>
            <w:vAlign w:val="bottom"/>
            <w:tcBorders>
              <w:bottom w:val="single" w:sz="8" w:color="EBE6F0"/>
            </w:tcBorders>
            <w:shd w:val="clear" w:color="auto" w:fill="EBE6F0"/>
          </w:tcPr>
          <w:p>
            <w:pPr>
              <w:spacing w:after="0"/>
              <w:rPr>
                <w:sz w:val="7"/>
                <w:szCs w:val="7"/>
                <w:color w:val="auto"/>
              </w:rPr>
            </w:pPr>
          </w:p>
        </w:tc>
        <w:tc>
          <w:tcPr>
            <w:tcW w:w="210" w:type="dxa"/>
            <w:vAlign w:val="bottom"/>
            <w:tcBorders>
              <w:bottom w:val="single" w:sz="8" w:color="EBE6F0"/>
            </w:tcBorders>
            <w:shd w:val="clear" w:color="auto" w:fill="EBE6F0"/>
          </w:tcPr>
          <w:p>
            <w:pPr>
              <w:spacing w:after="0"/>
              <w:rPr>
                <w:sz w:val="7"/>
                <w:szCs w:val="7"/>
                <w:color w:val="auto"/>
              </w:rPr>
            </w:pPr>
          </w:p>
        </w:tc>
        <w:tc>
          <w:tcPr>
            <w:tcW w:w="470" w:type="dxa"/>
            <w:vAlign w:val="bottom"/>
            <w:tcBorders>
              <w:bottom w:val="single" w:sz="8" w:color="EBE6F0"/>
            </w:tcBorders>
            <w:shd w:val="clear" w:color="auto" w:fill="EBE6F0"/>
          </w:tcPr>
          <w:p>
            <w:pPr>
              <w:spacing w:after="0"/>
              <w:rPr>
                <w:sz w:val="7"/>
                <w:szCs w:val="7"/>
                <w:color w:val="auto"/>
              </w:rPr>
            </w:pPr>
          </w:p>
        </w:tc>
        <w:tc>
          <w:tcPr>
            <w:tcW w:w="660" w:type="dxa"/>
            <w:vAlign w:val="bottom"/>
            <w:tcBorders>
              <w:bottom w:val="single" w:sz="8" w:color="EBE6F0"/>
            </w:tcBorders>
            <w:shd w:val="clear" w:color="auto" w:fill="EBE6F0"/>
          </w:tcPr>
          <w:p>
            <w:pPr>
              <w:spacing w:after="0"/>
              <w:rPr>
                <w:sz w:val="7"/>
                <w:szCs w:val="7"/>
                <w:color w:val="auto"/>
              </w:rPr>
            </w:pPr>
          </w:p>
        </w:tc>
        <w:tc>
          <w:tcPr>
            <w:tcW w:w="670" w:type="dxa"/>
            <w:vAlign w:val="bottom"/>
            <w:tcBorders>
              <w:bottom w:val="single" w:sz="8" w:color="EBE6F0"/>
            </w:tcBorders>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582C83"/>
          </w:tcPr>
          <w:p>
            <w:pPr>
              <w:spacing w:after="0"/>
              <w:rPr>
                <w:sz w:val="2"/>
                <w:szCs w:val="2"/>
                <w:color w:val="auto"/>
              </w:rPr>
            </w:pPr>
          </w:p>
        </w:tc>
        <w:tc>
          <w:tcPr>
            <w:tcW w:w="2810" w:type="dxa"/>
            <w:vAlign w:val="bottom"/>
            <w:shd w:val="clear" w:color="auto" w:fill="582C83"/>
          </w:tcPr>
          <w:p>
            <w:pPr>
              <w:spacing w:after="0"/>
              <w:rPr>
                <w:sz w:val="2"/>
                <w:szCs w:val="2"/>
                <w:color w:val="auto"/>
              </w:rPr>
            </w:pPr>
          </w:p>
        </w:tc>
        <w:tc>
          <w:tcPr>
            <w:tcW w:w="670" w:type="dxa"/>
            <w:vAlign w:val="bottom"/>
            <w:shd w:val="clear" w:color="auto" w:fill="582C83"/>
          </w:tcPr>
          <w:p>
            <w:pPr>
              <w:spacing w:after="0"/>
              <w:rPr>
                <w:sz w:val="2"/>
                <w:szCs w:val="2"/>
                <w:color w:val="auto"/>
              </w:rPr>
            </w:pPr>
          </w:p>
        </w:tc>
        <w:tc>
          <w:tcPr>
            <w:tcW w:w="570" w:type="dxa"/>
            <w:vAlign w:val="bottom"/>
            <w:shd w:val="clear" w:color="auto" w:fill="582C83"/>
          </w:tcPr>
          <w:p>
            <w:pPr>
              <w:spacing w:after="0"/>
              <w:rPr>
                <w:sz w:val="2"/>
                <w:szCs w:val="2"/>
                <w:color w:val="auto"/>
              </w:rPr>
            </w:pPr>
          </w:p>
        </w:tc>
        <w:tc>
          <w:tcPr>
            <w:tcW w:w="560" w:type="dxa"/>
            <w:vAlign w:val="bottom"/>
            <w:shd w:val="clear" w:color="auto" w:fill="582C83"/>
          </w:tcPr>
          <w:p>
            <w:pPr>
              <w:spacing w:after="0"/>
              <w:rPr>
                <w:sz w:val="2"/>
                <w:szCs w:val="2"/>
                <w:color w:val="auto"/>
              </w:rPr>
            </w:pPr>
          </w:p>
        </w:tc>
        <w:tc>
          <w:tcPr>
            <w:tcW w:w="190" w:type="dxa"/>
            <w:vAlign w:val="bottom"/>
            <w:shd w:val="clear" w:color="auto" w:fill="582C83"/>
          </w:tcPr>
          <w:p>
            <w:pPr>
              <w:spacing w:after="0"/>
              <w:rPr>
                <w:sz w:val="2"/>
                <w:szCs w:val="2"/>
                <w:color w:val="auto"/>
              </w:rPr>
            </w:pPr>
          </w:p>
        </w:tc>
        <w:tc>
          <w:tcPr>
            <w:tcW w:w="370" w:type="dxa"/>
            <w:vAlign w:val="bottom"/>
            <w:shd w:val="clear" w:color="auto" w:fill="582C83"/>
          </w:tcPr>
          <w:p>
            <w:pPr>
              <w:spacing w:after="0"/>
              <w:rPr>
                <w:sz w:val="2"/>
                <w:szCs w:val="2"/>
                <w:color w:val="auto"/>
              </w:rPr>
            </w:pPr>
          </w:p>
        </w:tc>
        <w:tc>
          <w:tcPr>
            <w:tcW w:w="130" w:type="dxa"/>
            <w:vAlign w:val="bottom"/>
            <w:shd w:val="clear" w:color="auto" w:fill="582C83"/>
          </w:tcPr>
          <w:p>
            <w:pPr>
              <w:spacing w:after="0"/>
              <w:rPr>
                <w:sz w:val="2"/>
                <w:szCs w:val="2"/>
                <w:color w:val="auto"/>
              </w:rPr>
            </w:pPr>
          </w:p>
        </w:tc>
        <w:tc>
          <w:tcPr>
            <w:tcW w:w="670" w:type="dxa"/>
            <w:vAlign w:val="bottom"/>
            <w:shd w:val="clear" w:color="auto" w:fill="582C83"/>
          </w:tcPr>
          <w:p>
            <w:pPr>
              <w:spacing w:after="0"/>
              <w:rPr>
                <w:sz w:val="2"/>
                <w:szCs w:val="2"/>
                <w:color w:val="auto"/>
              </w:rPr>
            </w:pPr>
          </w:p>
        </w:tc>
        <w:tc>
          <w:tcPr>
            <w:tcW w:w="560" w:type="dxa"/>
            <w:vAlign w:val="bottom"/>
            <w:shd w:val="clear" w:color="auto" w:fill="582C83"/>
          </w:tcPr>
          <w:p>
            <w:pPr>
              <w:spacing w:after="0"/>
              <w:rPr>
                <w:sz w:val="2"/>
                <w:szCs w:val="2"/>
                <w:color w:val="auto"/>
              </w:rPr>
            </w:pPr>
          </w:p>
        </w:tc>
        <w:tc>
          <w:tcPr>
            <w:tcW w:w="680" w:type="dxa"/>
            <w:vAlign w:val="bottom"/>
            <w:shd w:val="clear" w:color="auto" w:fill="582C83"/>
          </w:tcPr>
          <w:p>
            <w:pPr>
              <w:spacing w:after="0"/>
              <w:rPr>
                <w:sz w:val="2"/>
                <w:szCs w:val="2"/>
                <w:color w:val="auto"/>
              </w:rPr>
            </w:pPr>
          </w:p>
        </w:tc>
        <w:tc>
          <w:tcPr>
            <w:tcW w:w="210" w:type="dxa"/>
            <w:vAlign w:val="bottom"/>
            <w:shd w:val="clear" w:color="auto" w:fill="582C83"/>
          </w:tcPr>
          <w:p>
            <w:pPr>
              <w:spacing w:after="0"/>
              <w:rPr>
                <w:sz w:val="2"/>
                <w:szCs w:val="2"/>
                <w:color w:val="auto"/>
              </w:rPr>
            </w:pPr>
          </w:p>
        </w:tc>
        <w:tc>
          <w:tcPr>
            <w:tcW w:w="470" w:type="dxa"/>
            <w:vAlign w:val="bottom"/>
            <w:shd w:val="clear" w:color="auto" w:fill="582C83"/>
          </w:tcPr>
          <w:p>
            <w:pPr>
              <w:spacing w:after="0"/>
              <w:rPr>
                <w:sz w:val="2"/>
                <w:szCs w:val="2"/>
                <w:color w:val="auto"/>
              </w:rPr>
            </w:pPr>
          </w:p>
        </w:tc>
        <w:tc>
          <w:tcPr>
            <w:tcW w:w="660" w:type="dxa"/>
            <w:vAlign w:val="bottom"/>
            <w:shd w:val="clear" w:color="auto" w:fill="582C83"/>
          </w:tcPr>
          <w:p>
            <w:pPr>
              <w:spacing w:after="0"/>
              <w:rPr>
                <w:sz w:val="2"/>
                <w:szCs w:val="2"/>
                <w:color w:val="auto"/>
              </w:rPr>
            </w:pPr>
          </w:p>
        </w:tc>
        <w:tc>
          <w:tcPr>
            <w:tcW w:w="67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-4843145</wp:posOffset>
            </wp:positionV>
            <wp:extent cx="360045"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0045" cy="29146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-2365375</wp:posOffset>
            </wp:positionV>
            <wp:extent cx="111125"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27432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-2382520</wp:posOffset>
            </wp:positionV>
            <wp:extent cx="11176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29146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-2391410</wp:posOffset>
            </wp:positionV>
            <wp:extent cx="111125" cy="300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3003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-2391410</wp:posOffset>
            </wp:positionV>
            <wp:extent cx="111760"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3003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-2511425</wp:posOffset>
            </wp:positionV>
            <wp:extent cx="111760" cy="420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42037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-2425700</wp:posOffset>
            </wp:positionV>
            <wp:extent cx="111125" cy="3346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3346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-2425700</wp:posOffset>
            </wp:positionV>
            <wp:extent cx="111760" cy="3346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33464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-2442845</wp:posOffset>
            </wp:positionV>
            <wp:extent cx="111760" cy="3511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3511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-2562860</wp:posOffset>
            </wp:positionV>
            <wp:extent cx="111760" cy="471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1714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76" w:lineRule="exact"/>
        <w:rPr>
          <w:sz w:val="20"/>
          <w:szCs w:val="20"/>
          <w:color w:val="auto"/>
        </w:rPr>
      </w:pPr>
    </w:p>
    <w:p>
      <w:pPr>
        <w:ind w:right="140"/>
        <w:spacing w:after="0" w:line="268" w:lineRule="auto"/>
        <w:rPr>
          <w:sz w:val="20"/>
          <w:szCs w:val="20"/>
          <w:color w:val="auto"/>
        </w:rPr>
      </w:pPr>
      <w:r>
        <w:rPr>
          <w:rFonts w:ascii="Arial" w:cs="Arial" w:eastAsia="Arial" w:hAnsi="Arial"/>
          <w:sz w:val="24"/>
          <w:szCs w:val="24"/>
          <w:b w:val="1"/>
          <w:bCs w:val="1"/>
          <w:color w:val="582C83"/>
        </w:rPr>
        <w:t>INDIVIDUAL DIRECTOR SELF-ASSESSMENTS AND CONSIDERATIONS FOR RENOMINATION OF INCUMBENT DIRECTORS</w:t>
      </w:r>
    </w:p>
    <w:p>
      <w:pPr>
        <w:spacing w:after="0" w:line="1"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The Governance Committee coordinates annual Board, committee and director self-assessments. The assessment process includes one-on-one discussions between each director and the independent Lead Director. All incumbent director nominees complete questionnaires annually to update and confirm their background, qualifications and skills, and identify any potential conflicts of interest. The Governance Committee assesses the experience, qualifications, attributes, skills, diversity and contributions of each director. The Governance Committee, in coordination with the independent Lead Director, also considers each individual in the context of the Board composition as a whole, with the objective of recruiting and recommending a slate of director nominees who can best sustain the Company’s success and represent our shareholders’ interests through the exercise of sound judgment and informed decision-making.</w:t>
      </w:r>
    </w:p>
    <w:p>
      <w:pPr>
        <w:spacing w:after="0" w:line="291" w:lineRule="exact"/>
        <w:rPr>
          <w:sz w:val="20"/>
          <w:szCs w:val="20"/>
          <w:color w:val="auto"/>
        </w:rPr>
      </w:pPr>
    </w:p>
    <w:p>
      <w:pPr>
        <w:ind w:right="760"/>
        <w:spacing w:after="0" w:line="268" w:lineRule="auto"/>
        <w:rPr>
          <w:sz w:val="20"/>
          <w:szCs w:val="20"/>
          <w:color w:val="auto"/>
        </w:rPr>
      </w:pPr>
      <w:r>
        <w:rPr>
          <w:rFonts w:ascii="Arial" w:cs="Arial" w:eastAsia="Arial" w:hAnsi="Arial"/>
          <w:sz w:val="24"/>
          <w:szCs w:val="24"/>
          <w:b w:val="1"/>
          <w:bCs w:val="1"/>
          <w:color w:val="582C83"/>
        </w:rPr>
        <w:t>BOARD REFRESHMENT THROUGH DIRECTOR TENURE, AGE LIMITS AND ANNUAL SELF-ASSESSMENTS</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Board believes that its composition should provide continuity as well as new experiences and fresh perspectives relevant to the Board’s work. The Board does not believe that directors should expect to be automatically renominated. Therefore, the annual Board and director self-assessment processes are important determinants in a director’s renomination and tenure. Our Guidelines provide that non-employee directors will have a tenure limit of 15 years. Non-employee directors will not be nominated for re-election to the Board after they turn 75, except in the case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non-employee director who first joins the Board between age 70 to 75. In such a case, the director will have a tenure limit of five years.</w:t>
      </w:r>
    </w:p>
    <w:p>
      <w:pPr>
        <w:spacing w:after="0" w:line="48" w:lineRule="exact"/>
        <w:rPr>
          <w:sz w:val="20"/>
          <w:szCs w:val="20"/>
          <w:color w:val="auto"/>
        </w:rPr>
      </w:pPr>
    </w:p>
    <w:p>
      <w:pPr>
        <w:ind w:right="520"/>
        <w:spacing w:after="0" w:line="245" w:lineRule="auto"/>
        <w:rPr>
          <w:sz w:val="20"/>
          <w:szCs w:val="20"/>
          <w:color w:val="auto"/>
        </w:rPr>
      </w:pPr>
      <w:r>
        <w:rPr>
          <w:rFonts w:ascii="Arial" w:cs="Arial" w:eastAsia="Arial" w:hAnsi="Arial"/>
          <w:sz w:val="22"/>
          <w:szCs w:val="22"/>
          <w:color w:val="auto"/>
        </w:rPr>
        <w:t>In addition, as noted above, the Board’s annual self-assessment process includes director self-assessments and discussions between the independent Lead Director and each director, in coordination with the Governance Committee, regarding the director’s strengths and opportunities to enhance contributions.</w:t>
      </w:r>
    </w:p>
    <w:p>
      <w:pPr>
        <w:spacing w:after="0" w:line="62" w:lineRule="exact"/>
        <w:rPr>
          <w:sz w:val="20"/>
          <w:szCs w:val="20"/>
          <w:color w:val="auto"/>
        </w:rPr>
      </w:pPr>
    </w:p>
    <w:p>
      <w:pPr>
        <w:ind w:right="540"/>
        <w:spacing w:after="0" w:line="259" w:lineRule="auto"/>
        <w:rPr>
          <w:sz w:val="20"/>
          <w:szCs w:val="20"/>
          <w:color w:val="auto"/>
        </w:rPr>
      </w:pPr>
      <w:r>
        <w:rPr>
          <w:rFonts w:ascii="Arial" w:cs="Arial" w:eastAsia="Arial" w:hAnsi="Arial"/>
          <w:sz w:val="22"/>
          <w:szCs w:val="22"/>
          <w:color w:val="auto"/>
        </w:rPr>
        <w:t>The current Board composition reflects the Board’s commitment to ongoing refreshment with three new directors joining the Board within the last two years.</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THE BOARD SEEKS AND VALUES DIVERSITY</w:t>
      </w:r>
    </w:p>
    <w:p>
      <w:pPr>
        <w:spacing w:after="0" w:line="58"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The Board values diversity, equity and inclusion ("DEI"), and the Board’s diversity is an important aspect of the director recruitment and nomination process. When assembling the pool of candidates from which directors are selected, the Governance Committee considers criteria including gender, race, ethnicity, national origin and geography, as diversity in those characteristics promotes a breadth of views, knowledge and experience that contributes to informed and effective decision-making. The Governance Guidelines state that as part of the search process for each new director, the Governance Committee actively seeks out (and will instruct any search firm that it engages to provide) women and minority candidates to include in the pool from which director nominees are chosen. As part of its annual assessment of the Board’s composition, the Governance Committee also assesses the effectiveness of the Board’s efforts to promote diversity. The ultimate selection of directors from the candidate pool depends on a variety of factors, which are discussed under “How We Build an Experienced and Qualified Board” on page 17 and “Board Composition: Director Qualifications, Knowledge and Experience” on page 19.</w:t>
      </w:r>
    </w:p>
    <w:p>
      <w:pPr>
        <w:spacing w:after="0" w:line="15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Board also embraces and encourages the Company’s DEI culture. The Board is a signatory to the Board Diversity Action Alliance (the “Alliance”), which seeks to increase the representation of racially and ethnically diverse leaders on boards of corporations, beginning with Black directors. The Alliance is also accelerating change through enhanced disclosure of directors’ race and ethnicity and annual reporting of progress on DEI. Twice per year, the Board reviews the Company’s DEI strategy, stakeholder interests, risks and progress with our SVP, Chief Global Diversity Officer. Additionally, our SVP, Chief Global Diversity Officer reports progress to the People and Compensation Committee.</w:t>
      </w:r>
    </w:p>
    <w:p>
      <w:pPr>
        <w:spacing w:after="0" w:line="149"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The Board’s directors bring a diversity of gender, race, national original, thought and global experiences that promotes informed decision-making. Our director nominees include four women, vary in age from 57 to 73, represent several national origins and collectively bring a range of professional and life experiences to the Board’s work. Two director nominees self-identify as Black and eight self-identify as white.</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 Board Nominee Diversity Matrix (As of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78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Total Number of Directors</w:t>
            </w:r>
          </w:p>
        </w:tc>
        <w:tc>
          <w:tcPr>
            <w:tcW w:w="1400" w:type="dxa"/>
            <w:vAlign w:val="bottom"/>
            <w:tcBorders>
              <w:bottom w:val="single" w:sz="8" w:color="582C83"/>
            </w:tcBorders>
          </w:tcPr>
          <w:p>
            <w:pPr>
              <w:spacing w:after="0"/>
              <w:rPr>
                <w:sz w:val="23"/>
                <w:szCs w:val="23"/>
                <w:color w:val="auto"/>
              </w:rPr>
            </w:pPr>
          </w:p>
        </w:tc>
        <w:tc>
          <w:tcPr>
            <w:tcW w:w="2060" w:type="dxa"/>
            <w:vAlign w:val="bottom"/>
            <w:tcBorders>
              <w:bottom w:val="single" w:sz="8" w:color="582C83"/>
            </w:tcBorders>
          </w:tcPr>
          <w:p>
            <w:pPr>
              <w:jc w:val="right"/>
              <w:ind w:right="1552"/>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23"/>
                <w:szCs w:val="23"/>
                <w:color w:val="auto"/>
              </w:rPr>
            </w:pPr>
          </w:p>
        </w:tc>
      </w:tr>
      <w:tr>
        <w:trPr>
          <w:trHeight w:val="304"/>
        </w:trPr>
        <w:tc>
          <w:tcPr>
            <w:tcW w:w="7780" w:type="dxa"/>
            <w:vAlign w:val="bottom"/>
            <w:tcBorders>
              <w:bottom w:val="single" w:sz="8" w:color="582C83"/>
            </w:tcBorders>
          </w:tcPr>
          <w:p>
            <w:pPr>
              <w:spacing w:after="0"/>
              <w:rPr>
                <w:sz w:val="24"/>
                <w:szCs w:val="24"/>
                <w:color w:val="auto"/>
              </w:rPr>
            </w:pPr>
          </w:p>
        </w:tc>
        <w:tc>
          <w:tcPr>
            <w:tcW w:w="1400" w:type="dxa"/>
            <w:vAlign w:val="bottom"/>
            <w:tcBorders>
              <w:bottom w:val="single" w:sz="8" w:color="582C83"/>
            </w:tcBorders>
          </w:tcPr>
          <w:p>
            <w:pPr>
              <w:jc w:val="center"/>
              <w:ind w:left="292"/>
              <w:spacing w:after="0"/>
              <w:rPr>
                <w:sz w:val="20"/>
                <w:szCs w:val="20"/>
                <w:color w:val="auto"/>
              </w:rPr>
            </w:pPr>
            <w:r>
              <w:rPr>
                <w:rFonts w:ascii="Arial" w:cs="Arial" w:eastAsia="Arial" w:hAnsi="Arial"/>
                <w:sz w:val="18"/>
                <w:szCs w:val="18"/>
                <w:b w:val="1"/>
                <w:bCs w:val="1"/>
                <w:color w:val="auto"/>
                <w:w w:val="99"/>
              </w:rPr>
              <w:t>Female</w:t>
            </w:r>
          </w:p>
        </w:tc>
        <w:tc>
          <w:tcPr>
            <w:tcW w:w="2060" w:type="dxa"/>
            <w:vAlign w:val="bottom"/>
            <w:tcBorders>
              <w:bottom w:val="single" w:sz="8" w:color="582C83"/>
            </w:tcBorders>
          </w:tcPr>
          <w:p>
            <w:pPr>
              <w:jc w:val="center"/>
              <w:ind w:left="292"/>
              <w:spacing w:after="0"/>
              <w:rPr>
                <w:sz w:val="20"/>
                <w:szCs w:val="20"/>
                <w:color w:val="auto"/>
              </w:rPr>
            </w:pPr>
            <w:r>
              <w:rPr>
                <w:rFonts w:ascii="Arial" w:cs="Arial" w:eastAsia="Arial" w:hAnsi="Arial"/>
                <w:sz w:val="18"/>
                <w:szCs w:val="18"/>
                <w:b w:val="1"/>
                <w:bCs w:val="1"/>
                <w:color w:val="auto"/>
                <w:w w:val="99"/>
              </w:rPr>
              <w:t>Male</w:t>
            </w:r>
          </w:p>
        </w:tc>
        <w:tc>
          <w:tcPr>
            <w:tcW w:w="20" w:type="dxa"/>
            <w:vAlign w:val="bottom"/>
            <w:tcBorders>
              <w:bottom w:val="single" w:sz="8" w:color="582C83"/>
            </w:tcBorders>
          </w:tcPr>
          <w:p>
            <w:pPr>
              <w:spacing w:after="0"/>
              <w:rPr>
                <w:sz w:val="24"/>
                <w:szCs w:val="24"/>
                <w:color w:val="auto"/>
              </w:rPr>
            </w:pPr>
          </w:p>
        </w:tc>
      </w:tr>
      <w:tr>
        <w:trPr>
          <w:trHeight w:val="323"/>
        </w:trPr>
        <w:tc>
          <w:tcPr>
            <w:tcW w:w="778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b w:val="1"/>
                <w:bCs w:val="1"/>
                <w:color w:val="auto"/>
              </w:rPr>
              <w:t>Part I: Gender Identity</w:t>
            </w:r>
          </w:p>
        </w:tc>
        <w:tc>
          <w:tcPr>
            <w:tcW w:w="1400" w:type="dxa"/>
            <w:vAlign w:val="bottom"/>
            <w:tcBorders>
              <w:bottom w:val="single" w:sz="8" w:color="EBE6F0"/>
            </w:tcBorders>
            <w:shd w:val="clear" w:color="auto" w:fill="EBE6F0"/>
          </w:tcPr>
          <w:p>
            <w:pPr>
              <w:spacing w:after="0"/>
              <w:rPr>
                <w:sz w:val="24"/>
                <w:szCs w:val="24"/>
                <w:color w:val="auto"/>
              </w:rPr>
            </w:pPr>
          </w:p>
        </w:tc>
        <w:tc>
          <w:tcPr>
            <w:tcW w:w="206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7780" w:type="dxa"/>
            <w:vAlign w:val="bottom"/>
            <w:tcBorders>
              <w:top w:val="single" w:sz="8" w:color="582C83"/>
            </w:tcBorders>
          </w:tcPr>
          <w:p>
            <w:pPr>
              <w:ind w:left="160"/>
              <w:spacing w:after="0"/>
              <w:rPr>
                <w:sz w:val="20"/>
                <w:szCs w:val="20"/>
                <w:color w:val="auto"/>
              </w:rPr>
            </w:pPr>
            <w:r>
              <w:rPr>
                <w:rFonts w:ascii="Arial" w:cs="Arial" w:eastAsia="Arial" w:hAnsi="Arial"/>
                <w:sz w:val="18"/>
                <w:szCs w:val="18"/>
                <w:color w:val="auto"/>
              </w:rPr>
              <w:t>Directors</w:t>
            </w:r>
          </w:p>
        </w:tc>
        <w:tc>
          <w:tcPr>
            <w:tcW w:w="1400" w:type="dxa"/>
            <w:vAlign w:val="bottom"/>
            <w:tcBorders>
              <w:top w:val="single" w:sz="8" w:color="582C83"/>
            </w:tcBorders>
          </w:tcPr>
          <w:p>
            <w:pPr>
              <w:jc w:val="center"/>
              <w:ind w:left="292"/>
              <w:spacing w:after="0"/>
              <w:rPr>
                <w:sz w:val="20"/>
                <w:szCs w:val="20"/>
                <w:color w:val="auto"/>
              </w:rPr>
            </w:pPr>
            <w:r>
              <w:rPr>
                <w:rFonts w:ascii="Arial" w:cs="Arial" w:eastAsia="Arial" w:hAnsi="Arial"/>
                <w:sz w:val="18"/>
                <w:szCs w:val="18"/>
                <w:color w:val="auto"/>
                <w:w w:val="99"/>
              </w:rPr>
              <w:t>4</w:t>
            </w:r>
          </w:p>
        </w:tc>
        <w:tc>
          <w:tcPr>
            <w:tcW w:w="2060" w:type="dxa"/>
            <w:vAlign w:val="bottom"/>
            <w:tcBorders>
              <w:top w:val="single" w:sz="8" w:color="582C83"/>
            </w:tcBorders>
          </w:tcPr>
          <w:p>
            <w:pPr>
              <w:jc w:val="center"/>
              <w:ind w:left="312"/>
              <w:spacing w:after="0"/>
              <w:rPr>
                <w:sz w:val="20"/>
                <w:szCs w:val="20"/>
                <w:color w:val="auto"/>
              </w:rPr>
            </w:pPr>
            <w:r>
              <w:rPr>
                <w:rFonts w:ascii="Arial" w:cs="Arial" w:eastAsia="Arial" w:hAnsi="Arial"/>
                <w:sz w:val="18"/>
                <w:szCs w:val="18"/>
                <w:color w:val="auto"/>
                <w:w w:val="99"/>
              </w:rPr>
              <w:t>6</w:t>
            </w:r>
          </w:p>
        </w:tc>
        <w:tc>
          <w:tcPr>
            <w:tcW w:w="20" w:type="dxa"/>
            <w:vAlign w:val="bottom"/>
            <w:tcBorders>
              <w:top w:val="single" w:sz="8" w:color="582C83"/>
            </w:tcBorders>
          </w:tcPr>
          <w:p>
            <w:pPr>
              <w:spacing w:after="0"/>
              <w:rPr>
                <w:sz w:val="23"/>
                <w:szCs w:val="23"/>
                <w:color w:val="auto"/>
              </w:rPr>
            </w:pPr>
          </w:p>
        </w:tc>
      </w:tr>
      <w:tr>
        <w:trPr>
          <w:trHeight w:val="46"/>
        </w:trPr>
        <w:tc>
          <w:tcPr>
            <w:tcW w:w="77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778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b w:val="1"/>
                <w:bCs w:val="1"/>
                <w:color w:val="auto"/>
              </w:rPr>
              <w:t>Part II: Demographic Background</w:t>
            </w:r>
          </w:p>
        </w:tc>
        <w:tc>
          <w:tcPr>
            <w:tcW w:w="1400" w:type="dxa"/>
            <w:vAlign w:val="bottom"/>
            <w:tcBorders>
              <w:bottom w:val="single" w:sz="8" w:color="EBE6F0"/>
            </w:tcBorders>
            <w:shd w:val="clear" w:color="auto" w:fill="EBE6F0"/>
          </w:tcPr>
          <w:p>
            <w:pPr>
              <w:spacing w:after="0"/>
              <w:rPr>
                <w:sz w:val="24"/>
                <w:szCs w:val="24"/>
                <w:color w:val="auto"/>
              </w:rPr>
            </w:pPr>
          </w:p>
        </w:tc>
        <w:tc>
          <w:tcPr>
            <w:tcW w:w="206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7780" w:type="dxa"/>
            <w:vAlign w:val="bottom"/>
            <w:tcBorders>
              <w:top w:val="single" w:sz="8" w:color="582C83"/>
            </w:tcBorders>
          </w:tcPr>
          <w:p>
            <w:pPr>
              <w:ind w:left="160"/>
              <w:spacing w:after="0"/>
              <w:rPr>
                <w:sz w:val="20"/>
                <w:szCs w:val="20"/>
                <w:color w:val="auto"/>
              </w:rPr>
            </w:pPr>
            <w:r>
              <w:rPr>
                <w:rFonts w:ascii="Arial" w:cs="Arial" w:eastAsia="Arial" w:hAnsi="Arial"/>
                <w:sz w:val="18"/>
                <w:szCs w:val="18"/>
                <w:color w:val="auto"/>
              </w:rPr>
              <w:t>African American or Black</w:t>
            </w:r>
          </w:p>
        </w:tc>
        <w:tc>
          <w:tcPr>
            <w:tcW w:w="1400" w:type="dxa"/>
            <w:vAlign w:val="bottom"/>
            <w:tcBorders>
              <w:top w:val="single" w:sz="8" w:color="582C83"/>
            </w:tcBorders>
          </w:tcPr>
          <w:p>
            <w:pPr>
              <w:jc w:val="center"/>
              <w:ind w:left="292"/>
              <w:spacing w:after="0"/>
              <w:rPr>
                <w:sz w:val="20"/>
                <w:szCs w:val="20"/>
                <w:color w:val="auto"/>
              </w:rPr>
            </w:pPr>
            <w:r>
              <w:rPr>
                <w:rFonts w:ascii="Arial" w:cs="Arial" w:eastAsia="Arial" w:hAnsi="Arial"/>
                <w:sz w:val="18"/>
                <w:szCs w:val="18"/>
                <w:color w:val="auto"/>
                <w:w w:val="99"/>
              </w:rPr>
              <w:t>1</w:t>
            </w:r>
          </w:p>
        </w:tc>
        <w:tc>
          <w:tcPr>
            <w:tcW w:w="2060" w:type="dxa"/>
            <w:vAlign w:val="bottom"/>
            <w:tcBorders>
              <w:top w:val="single" w:sz="8" w:color="582C83"/>
            </w:tcBorders>
          </w:tcPr>
          <w:p>
            <w:pPr>
              <w:jc w:val="center"/>
              <w:ind w:left="312"/>
              <w:spacing w:after="0"/>
              <w:rPr>
                <w:sz w:val="20"/>
                <w:szCs w:val="20"/>
                <w:color w:val="auto"/>
              </w:rPr>
            </w:pPr>
            <w:r>
              <w:rPr>
                <w:rFonts w:ascii="Arial" w:cs="Arial" w:eastAsia="Arial" w:hAnsi="Arial"/>
                <w:sz w:val="18"/>
                <w:szCs w:val="18"/>
                <w:color w:val="auto"/>
                <w:w w:val="99"/>
              </w:rPr>
              <w:t>1</w:t>
            </w:r>
          </w:p>
        </w:tc>
        <w:tc>
          <w:tcPr>
            <w:tcW w:w="20" w:type="dxa"/>
            <w:vAlign w:val="bottom"/>
            <w:tcBorders>
              <w:top w:val="single" w:sz="8" w:color="582C83"/>
            </w:tcBorders>
          </w:tcPr>
          <w:p>
            <w:pPr>
              <w:spacing w:after="0"/>
              <w:rPr>
                <w:sz w:val="23"/>
                <w:szCs w:val="23"/>
                <w:color w:val="auto"/>
              </w:rPr>
            </w:pPr>
          </w:p>
        </w:tc>
      </w:tr>
      <w:tr>
        <w:trPr>
          <w:trHeight w:val="46"/>
        </w:trPr>
        <w:tc>
          <w:tcPr>
            <w:tcW w:w="778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206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290"/>
        </w:trPr>
        <w:tc>
          <w:tcPr>
            <w:tcW w:w="7780" w:type="dxa"/>
            <w:vAlign w:val="bottom"/>
            <w:tcBorders>
              <w:bottom w:val="single" w:sz="8" w:color="EBE6F0"/>
            </w:tcBorders>
            <w:shd w:val="clear" w:color="auto" w:fill="EBE6F0"/>
          </w:tcPr>
          <w:p>
            <w:pPr>
              <w:ind w:left="180"/>
              <w:spacing w:after="0"/>
              <w:rPr>
                <w:sz w:val="20"/>
                <w:szCs w:val="20"/>
                <w:color w:val="auto"/>
              </w:rPr>
            </w:pPr>
            <w:r>
              <w:rPr>
                <w:rFonts w:ascii="Arial" w:cs="Arial" w:eastAsia="Arial" w:hAnsi="Arial"/>
                <w:sz w:val="18"/>
                <w:szCs w:val="18"/>
                <w:color w:val="auto"/>
              </w:rPr>
              <w:t>White</w:t>
            </w:r>
          </w:p>
        </w:tc>
        <w:tc>
          <w:tcPr>
            <w:tcW w:w="1400" w:type="dxa"/>
            <w:vAlign w:val="bottom"/>
            <w:tcBorders>
              <w:bottom w:val="single" w:sz="8" w:color="EBE6F0"/>
            </w:tcBorders>
            <w:shd w:val="clear" w:color="auto" w:fill="EBE6F0"/>
          </w:tcPr>
          <w:p>
            <w:pPr>
              <w:jc w:val="center"/>
              <w:ind w:left="292"/>
              <w:spacing w:after="0"/>
              <w:rPr>
                <w:sz w:val="20"/>
                <w:szCs w:val="20"/>
                <w:color w:val="auto"/>
              </w:rPr>
            </w:pPr>
            <w:r>
              <w:rPr>
                <w:rFonts w:ascii="Arial" w:cs="Arial" w:eastAsia="Arial" w:hAnsi="Arial"/>
                <w:sz w:val="18"/>
                <w:szCs w:val="18"/>
                <w:color w:val="auto"/>
                <w:w w:val="99"/>
              </w:rPr>
              <w:t>3</w:t>
            </w:r>
          </w:p>
        </w:tc>
        <w:tc>
          <w:tcPr>
            <w:tcW w:w="2060" w:type="dxa"/>
            <w:vAlign w:val="bottom"/>
            <w:tcBorders>
              <w:bottom w:val="single" w:sz="8" w:color="EBE6F0"/>
            </w:tcBorders>
            <w:shd w:val="clear" w:color="auto" w:fill="EBE6F0"/>
          </w:tcPr>
          <w:p>
            <w:pPr>
              <w:jc w:val="center"/>
              <w:ind w:left="312"/>
              <w:spacing w:after="0"/>
              <w:rPr>
                <w:sz w:val="20"/>
                <w:szCs w:val="20"/>
                <w:color w:val="auto"/>
              </w:rPr>
            </w:pPr>
            <w:r>
              <w:rPr>
                <w:rFonts w:ascii="Arial" w:cs="Arial" w:eastAsia="Arial" w:hAnsi="Arial"/>
                <w:sz w:val="18"/>
                <w:szCs w:val="18"/>
                <w:color w:val="auto"/>
                <w:w w:val="99"/>
              </w:rPr>
              <w:t>5</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
        </w:trPr>
        <w:tc>
          <w:tcPr>
            <w:tcW w:w="7780" w:type="dxa"/>
            <w:vAlign w:val="bottom"/>
            <w:shd w:val="clear" w:color="auto" w:fill="582C83"/>
          </w:tcPr>
          <w:p>
            <w:pPr>
              <w:spacing w:after="0"/>
              <w:rPr>
                <w:sz w:val="2"/>
                <w:szCs w:val="2"/>
                <w:color w:val="auto"/>
              </w:rPr>
            </w:pPr>
          </w:p>
        </w:tc>
        <w:tc>
          <w:tcPr>
            <w:tcW w:w="1400" w:type="dxa"/>
            <w:vAlign w:val="bottom"/>
            <w:shd w:val="clear" w:color="auto" w:fill="582C83"/>
          </w:tcPr>
          <w:p>
            <w:pPr>
              <w:spacing w:after="0"/>
              <w:rPr>
                <w:sz w:val="2"/>
                <w:szCs w:val="2"/>
                <w:color w:val="auto"/>
              </w:rPr>
            </w:pPr>
          </w:p>
        </w:tc>
        <w:tc>
          <w:tcPr>
            <w:tcW w:w="2060" w:type="dxa"/>
            <w:vAlign w:val="bottom"/>
            <w:shd w:val="clear" w:color="auto" w:fill="582C83"/>
          </w:tcPr>
          <w:p>
            <w:pPr>
              <w:spacing w:after="0"/>
              <w:rPr>
                <w:sz w:val="2"/>
                <w:szCs w:val="2"/>
                <w:color w:val="auto"/>
              </w:rPr>
            </w:pPr>
          </w:p>
        </w:tc>
        <w:tc>
          <w:tcPr>
            <w:tcW w:w="20" w:type="dxa"/>
            <w:vAlign w:val="bottom"/>
            <w:shd w:val="clear" w:color="auto" w:fill="582C83"/>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Shareholder Recommendations for Director Candidates</w:t>
      </w:r>
    </w:p>
    <w:p>
      <w:pPr>
        <w:spacing w:after="0" w:line="146" w:lineRule="exact"/>
        <w:rPr>
          <w:sz w:val="20"/>
          <w:szCs w:val="20"/>
          <w:color w:val="auto"/>
        </w:rPr>
      </w:pPr>
    </w:p>
    <w:p>
      <w:pPr>
        <w:ind w:right="380"/>
        <w:spacing w:after="0" w:line="255" w:lineRule="auto"/>
        <w:rPr>
          <w:sz w:val="20"/>
          <w:szCs w:val="20"/>
          <w:color w:val="auto"/>
        </w:rPr>
      </w:pPr>
      <w:r>
        <w:rPr>
          <w:rFonts w:ascii="Arial" w:cs="Arial" w:eastAsia="Arial" w:hAnsi="Arial"/>
          <w:sz w:val="21"/>
          <w:szCs w:val="21"/>
          <w:color w:val="auto"/>
        </w:rPr>
        <w:t>The Governance Committee will consider recommendations for director candidates submitted by shareholders. Shareholders should submit the proposed candidate’s name along with the same information required for a shareholder to nominate a candidate for election to the Board at an annual meeting. Recommendations should be sent to our Corporate Secretary in the same manner as set forth in the advance notice provisions of our By-Laws.</w:t>
      </w:r>
    </w:p>
    <w:p>
      <w:pPr>
        <w:spacing w:after="0" w:line="54"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 Governance Committee evaluates director candidates recommended by shareholders using the same criteria as it uses to evaluate candidates from other sources. Following the evaluation process, the Governance Committee makes a recommendation to the Board regarding the candidate’s appointment or nomination for election to the Board, and the Board considers whether to appoint or nominate the candidate. Shareholders who nominate prospective candidates will be advised of the Board’s decision.</w:t>
      </w:r>
    </w:p>
    <w:p>
      <w:pPr>
        <w:spacing w:after="0" w:line="14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Shareholders Elect Directors Annually</w:t>
      </w:r>
    </w:p>
    <w:p>
      <w:pPr>
        <w:spacing w:after="0" w:line="227"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Members of the Board are elected annually by a majority of votes cast if the election is uncontested. The terms of all directors elected at the Annual Meeting will end at the 2023 Annual Meeting of Shareholders or when a director’s successor has been duly elected and qualified.</w:t>
      </w:r>
    </w:p>
    <w:p>
      <w:pPr>
        <w:spacing w:after="0" w:line="143"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Governance Committee recommended, and the Board nominated for election at the Annual Meeting, the ten director nominees listed below under “Director Nominees for Election at the Annual Meeting.” Ms. Cousin, who was appointed to the Board in January 2022, was recommended for consideration by Heidrick &amp; Struggles, an international executive search firm. Shareholders most recently elected 11 incumbent directors and one new director to one-year terms at the 2021 Annual Meeting of Shareholders. Peter W. May, Fredric G. Reynolds and Jean-François M. L. van Boxmeer, who were re-elected by the shareholders at the 2021 Annual Meeting of Shareholders, will not stand for re-election in 2022.</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Each director nominee consented to his or her nomination for election to the Board and to serving on the Board, if elected. If a director nominee should become unavailable to serve as a director, the individuals named as proxies intend to vote the shares for a replacement director nominee designated by the Board. In lieu of naming a substitute, the Board may reduce the number of directors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Director Nominees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6686550" cy="548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86550" cy="548640"/>
                    </a:xfrm>
                    <a:prstGeom prst="rect">
                      <a:avLst/>
                    </a:prstGeom>
                    <a:noFill/>
                  </pic:spPr>
                </pic:pic>
              </a:graphicData>
            </a:graphic>
          </wp:anchor>
        </w:drawing>
      </w:r>
    </w:p>
    <w:p>
      <w:pPr>
        <w:spacing w:after="0" w:line="354" w:lineRule="exact"/>
        <w:rPr>
          <w:sz w:val="20"/>
          <w:szCs w:val="20"/>
          <w:color w:val="auto"/>
        </w:rPr>
      </w:pPr>
    </w:p>
    <w:p>
      <w:pPr>
        <w:ind w:left="1000" w:right="1600"/>
        <w:spacing w:after="0" w:line="272" w:lineRule="auto"/>
        <w:rPr>
          <w:sz w:val="20"/>
          <w:szCs w:val="20"/>
          <w:color w:val="auto"/>
        </w:rPr>
      </w:pPr>
      <w:r>
        <w:rPr>
          <w:rFonts w:ascii="Arial" w:cs="Arial" w:eastAsia="Arial" w:hAnsi="Arial"/>
          <w:sz w:val="22"/>
          <w:szCs w:val="22"/>
          <w:b w:val="1"/>
          <w:bCs w:val="1"/>
          <w:color w:val="FFFFFF"/>
        </w:rPr>
        <w:t>THE BOARD RECOMMENDS SHAREHOLDERS VOTE FOR THE ELECTION OF EACH OF THE TEN DIRECTOR NOMINEES LISTED BELOW.</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information regarding each director nominee is as of March 14, 2022, except as otherwise noted.</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180" w:type="dxa"/>
            <w:vAlign w:val="bottom"/>
            <w:tcBorders>
              <w:top w:val="single" w:sz="8" w:color="582C83"/>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Lewis W.K. Booth</w:t>
            </w:r>
          </w:p>
        </w:tc>
        <w:tc>
          <w:tcPr>
            <w:tcW w:w="202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color w:val="auto"/>
              </w:rPr>
              <w:t>Age 73</w:t>
            </w:r>
          </w:p>
        </w:tc>
        <w:tc>
          <w:tcPr>
            <w:tcW w:w="196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2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135"/>
        </w:trPr>
        <w:tc>
          <w:tcPr>
            <w:tcW w:w="1080" w:type="dxa"/>
            <w:vAlign w:val="bottom"/>
            <w:tcBorders>
              <w:left w:val="single" w:sz="8" w:color="582C83"/>
              <w:right w:val="single" w:sz="8" w:color="582C83"/>
            </w:tcBorders>
          </w:tcPr>
          <w:p>
            <w:pPr>
              <w:spacing w:after="0"/>
              <w:rPr>
                <w:sz w:val="11"/>
                <w:szCs w:val="11"/>
                <w:color w:val="auto"/>
              </w:rPr>
            </w:pPr>
          </w:p>
        </w:tc>
        <w:tc>
          <w:tcPr>
            <w:tcW w:w="4180" w:type="dxa"/>
            <w:vAlign w:val="bottom"/>
            <w:tcBorders>
              <w:right w:val="single" w:sz="8" w:color="582C83"/>
            </w:tcBorders>
            <w:vMerge w:val="continue"/>
          </w:tcPr>
          <w:p>
            <w:pPr>
              <w:spacing w:after="0"/>
              <w:rPr>
                <w:sz w:val="11"/>
                <w:szCs w:val="11"/>
                <w:color w:val="auto"/>
              </w:rPr>
            </w:pPr>
          </w:p>
        </w:tc>
        <w:tc>
          <w:tcPr>
            <w:tcW w:w="2020" w:type="dxa"/>
            <w:vAlign w:val="bottom"/>
            <w:tcBorders>
              <w:right w:val="single" w:sz="8" w:color="582C83"/>
            </w:tcBorders>
            <w:vMerge w:val="continue"/>
          </w:tcPr>
          <w:p>
            <w:pPr>
              <w:spacing w:after="0"/>
              <w:rPr>
                <w:sz w:val="11"/>
                <w:szCs w:val="11"/>
                <w:color w:val="auto"/>
              </w:rPr>
            </w:pPr>
          </w:p>
        </w:tc>
        <w:tc>
          <w:tcPr>
            <w:tcW w:w="1960" w:type="dxa"/>
            <w:vAlign w:val="bottom"/>
            <w:tcBorders>
              <w:right w:val="single" w:sz="8" w:color="582C83"/>
            </w:tcBorders>
          </w:tcPr>
          <w:p>
            <w:pPr>
              <w:spacing w:after="0"/>
              <w:rPr>
                <w:sz w:val="11"/>
                <w:szCs w:val="11"/>
                <w:color w:val="auto"/>
              </w:rPr>
            </w:pPr>
          </w:p>
        </w:tc>
        <w:tc>
          <w:tcPr>
            <w:tcW w:w="2000" w:type="dxa"/>
            <w:vAlign w:val="bottom"/>
            <w:tcBorders>
              <w:right w:val="single" w:sz="8" w:color="582C83"/>
            </w:tcBorders>
            <w:gridSpan w:val="2"/>
            <w:vMerge w:val="restart"/>
          </w:tcPr>
          <w:p>
            <w:pPr>
              <w:ind w:left="24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50"/>
        </w:trPr>
        <w:tc>
          <w:tcPr>
            <w:tcW w:w="1080" w:type="dxa"/>
            <w:vAlign w:val="bottom"/>
            <w:tcBorders>
              <w:left w:val="single" w:sz="8" w:color="582C83"/>
              <w:right w:val="single" w:sz="8" w:color="582C83"/>
            </w:tcBorders>
          </w:tcPr>
          <w:p>
            <w:pPr>
              <w:spacing w:after="0"/>
              <w:rPr>
                <w:sz w:val="13"/>
                <w:szCs w:val="13"/>
                <w:color w:val="auto"/>
              </w:rPr>
            </w:pPr>
          </w:p>
        </w:tc>
        <w:tc>
          <w:tcPr>
            <w:tcW w:w="418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Former Executive Vice President and</w:t>
            </w: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7"/>
              </w:rPr>
              <w:t>DIRECTOR SINCE:</w:t>
            </w:r>
          </w:p>
        </w:tc>
        <w:tc>
          <w:tcPr>
            <w:tcW w:w="19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582C83"/>
              </w:rPr>
              <w:t>INDEPENDENT</w:t>
            </w:r>
          </w:p>
        </w:tc>
        <w:tc>
          <w:tcPr>
            <w:tcW w:w="2000" w:type="dxa"/>
            <w:vAlign w:val="bottom"/>
            <w:tcBorders>
              <w:right w:val="single" w:sz="8" w:color="582C83"/>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Borders>
              <w:left w:val="single" w:sz="8" w:color="582C83"/>
              <w:right w:val="single" w:sz="8" w:color="582C83"/>
            </w:tcBorders>
          </w:tcPr>
          <w:p>
            <w:pPr>
              <w:spacing w:after="0"/>
              <w:rPr>
                <w:sz w:val="10"/>
                <w:szCs w:val="10"/>
                <w:color w:val="auto"/>
              </w:rPr>
            </w:pPr>
          </w:p>
        </w:tc>
        <w:tc>
          <w:tcPr>
            <w:tcW w:w="4180" w:type="dxa"/>
            <w:vAlign w:val="bottom"/>
            <w:tcBorders>
              <w:right w:val="single" w:sz="8" w:color="582C83"/>
            </w:tcBorders>
            <w:vMerge w:val="continue"/>
          </w:tcPr>
          <w:p>
            <w:pPr>
              <w:spacing w:after="0"/>
              <w:rPr>
                <w:sz w:val="10"/>
                <w:szCs w:val="10"/>
                <w:color w:val="auto"/>
              </w:rPr>
            </w:pPr>
          </w:p>
        </w:tc>
        <w:tc>
          <w:tcPr>
            <w:tcW w:w="2020" w:type="dxa"/>
            <w:vAlign w:val="bottom"/>
            <w:tcBorders>
              <w:right w:val="single" w:sz="8" w:color="582C83"/>
            </w:tcBorders>
            <w:vMerge w:val="continue"/>
          </w:tcPr>
          <w:p>
            <w:pPr>
              <w:spacing w:after="0"/>
              <w:rPr>
                <w:sz w:val="10"/>
                <w:szCs w:val="10"/>
                <w:color w:val="auto"/>
              </w:rPr>
            </w:pPr>
          </w:p>
        </w:tc>
        <w:tc>
          <w:tcPr>
            <w:tcW w:w="1960" w:type="dxa"/>
            <w:vAlign w:val="bottom"/>
            <w:tcBorders>
              <w:right w:val="single" w:sz="8" w:color="582C83"/>
            </w:tcBorders>
            <w:vMerge w:val="continue"/>
          </w:tcPr>
          <w:p>
            <w:pPr>
              <w:spacing w:after="0"/>
              <w:rPr>
                <w:sz w:val="10"/>
                <w:szCs w:val="10"/>
                <w:color w:val="auto"/>
              </w:rPr>
            </w:pPr>
          </w:p>
        </w:tc>
        <w:tc>
          <w:tcPr>
            <w:tcW w:w="380" w:type="dxa"/>
            <w:vAlign w:val="bottom"/>
            <w:vMerge w:val="restart"/>
          </w:tcPr>
          <w:p>
            <w:pPr>
              <w:ind w:left="240"/>
              <w:spacing w:after="0"/>
              <w:rPr>
                <w:sz w:val="20"/>
                <w:szCs w:val="20"/>
                <w:color w:val="auto"/>
              </w:rPr>
            </w:pPr>
            <w:r>
              <w:rPr>
                <w:rFonts w:ascii="Arial" w:cs="Arial" w:eastAsia="Arial" w:hAnsi="Arial"/>
                <w:sz w:val="22"/>
                <w:szCs w:val="22"/>
                <w:color w:val="582C83"/>
              </w:rPr>
              <w:t>•</w:t>
            </w:r>
          </w:p>
        </w:tc>
        <w:tc>
          <w:tcPr>
            <w:tcW w:w="162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Finance</w:t>
            </w: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418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Chief Financial Officer, Ford Motor</w:t>
            </w: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October 2012</w:t>
            </w:r>
          </w:p>
        </w:tc>
        <w:tc>
          <w:tcPr>
            <w:tcW w:w="1960" w:type="dxa"/>
            <w:vAlign w:val="bottom"/>
            <w:tcBorders>
              <w:right w:val="single" w:sz="8" w:color="582C83"/>
            </w:tcBorders>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620" w:type="dxa"/>
            <w:vAlign w:val="bottom"/>
            <w:tcBorders>
              <w:right w:val="single" w:sz="8" w:color="582C83"/>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080" w:type="dxa"/>
            <w:vAlign w:val="bottom"/>
            <w:tcBorders>
              <w:left w:val="single" w:sz="8" w:color="582C83"/>
              <w:right w:val="single" w:sz="8" w:color="582C83"/>
            </w:tcBorders>
          </w:tcPr>
          <w:p>
            <w:pPr>
              <w:spacing w:after="0"/>
              <w:rPr>
                <w:sz w:val="8"/>
                <w:szCs w:val="8"/>
                <w:color w:val="auto"/>
              </w:rPr>
            </w:pPr>
          </w:p>
        </w:tc>
        <w:tc>
          <w:tcPr>
            <w:tcW w:w="4180" w:type="dxa"/>
            <w:vAlign w:val="bottom"/>
            <w:tcBorders>
              <w:right w:val="single" w:sz="8" w:color="582C83"/>
            </w:tcBorders>
            <w:vMerge w:val="continue"/>
          </w:tcPr>
          <w:p>
            <w:pPr>
              <w:spacing w:after="0"/>
              <w:rPr>
                <w:sz w:val="8"/>
                <w:szCs w:val="8"/>
                <w:color w:val="auto"/>
              </w:rPr>
            </w:pPr>
          </w:p>
        </w:tc>
        <w:tc>
          <w:tcPr>
            <w:tcW w:w="2020" w:type="dxa"/>
            <w:vAlign w:val="bottom"/>
            <w:tcBorders>
              <w:right w:val="single" w:sz="8" w:color="582C83"/>
            </w:tcBorders>
            <w:vMerge w:val="continue"/>
          </w:tcPr>
          <w:p>
            <w:pPr>
              <w:spacing w:after="0"/>
              <w:rPr>
                <w:sz w:val="8"/>
                <w:szCs w:val="8"/>
                <w:color w:val="auto"/>
              </w:rPr>
            </w:pPr>
          </w:p>
        </w:tc>
        <w:tc>
          <w:tcPr>
            <w:tcW w:w="1960" w:type="dxa"/>
            <w:vAlign w:val="bottom"/>
            <w:tcBorders>
              <w:right w:val="single" w:sz="8" w:color="582C83"/>
            </w:tcBorders>
          </w:tcPr>
          <w:p>
            <w:pPr>
              <w:spacing w:after="0"/>
              <w:rPr>
                <w:sz w:val="8"/>
                <w:szCs w:val="8"/>
                <w:color w:val="auto"/>
              </w:rPr>
            </w:pPr>
          </w:p>
        </w:tc>
        <w:tc>
          <w:tcPr>
            <w:tcW w:w="380" w:type="dxa"/>
            <w:vAlign w:val="bottom"/>
            <w:vMerge w:val="restart"/>
          </w:tcPr>
          <w:p>
            <w:pPr>
              <w:ind w:left="240"/>
              <w:spacing w:after="0"/>
              <w:rPr>
                <w:sz w:val="20"/>
                <w:szCs w:val="20"/>
                <w:color w:val="auto"/>
              </w:rPr>
            </w:pPr>
            <w:r>
              <w:rPr>
                <w:rFonts w:ascii="Arial" w:cs="Arial" w:eastAsia="Arial" w:hAnsi="Arial"/>
                <w:sz w:val="22"/>
                <w:szCs w:val="22"/>
                <w:color w:val="582C83"/>
              </w:rPr>
              <w:t>•</w:t>
            </w:r>
          </w:p>
        </w:tc>
        <w:tc>
          <w:tcPr>
            <w:tcW w:w="162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People and</w:t>
            </w:r>
          </w:p>
        </w:tc>
        <w:tc>
          <w:tcPr>
            <w:tcW w:w="0" w:type="dxa"/>
            <w:vAlign w:val="bottom"/>
          </w:tcPr>
          <w:p>
            <w:pPr>
              <w:spacing w:after="0"/>
              <w:rPr>
                <w:sz w:val="1"/>
                <w:szCs w:val="1"/>
                <w:color w:val="auto"/>
              </w:rPr>
            </w:pPr>
          </w:p>
        </w:tc>
      </w:tr>
      <w:tr>
        <w:trPr>
          <w:trHeight w:val="189"/>
        </w:trPr>
        <w:tc>
          <w:tcPr>
            <w:tcW w:w="1080" w:type="dxa"/>
            <w:vAlign w:val="bottom"/>
            <w:tcBorders>
              <w:left w:val="single" w:sz="8" w:color="582C83"/>
              <w:right w:val="single" w:sz="8" w:color="582C83"/>
            </w:tcBorders>
          </w:tcPr>
          <w:p>
            <w:pPr>
              <w:spacing w:after="0"/>
              <w:rPr>
                <w:sz w:val="16"/>
                <w:szCs w:val="16"/>
                <w:color w:val="auto"/>
              </w:rPr>
            </w:pPr>
          </w:p>
        </w:tc>
        <w:tc>
          <w:tcPr>
            <w:tcW w:w="418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Company</w:t>
            </w: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White/Male</w:t>
            </w:r>
          </w:p>
        </w:tc>
        <w:tc>
          <w:tcPr>
            <w:tcW w:w="1960" w:type="dxa"/>
            <w:vAlign w:val="bottom"/>
            <w:tcBorders>
              <w:right w:val="single" w:sz="8" w:color="582C83"/>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1620" w:type="dxa"/>
            <w:vAlign w:val="bottom"/>
            <w:tcBorders>
              <w:right w:val="single" w:sz="8" w:color="582C8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4180" w:type="dxa"/>
            <w:vAlign w:val="bottom"/>
            <w:tcBorders>
              <w:right w:val="single" w:sz="8" w:color="582C83"/>
            </w:tcBorders>
            <w:vMerge w:val="continue"/>
          </w:tcPr>
          <w:p>
            <w:pPr>
              <w:spacing w:after="0"/>
              <w:rPr>
                <w:sz w:val="14"/>
                <w:szCs w:val="14"/>
                <w:color w:val="auto"/>
              </w:rPr>
            </w:pPr>
          </w:p>
        </w:tc>
        <w:tc>
          <w:tcPr>
            <w:tcW w:w="2020" w:type="dxa"/>
            <w:vAlign w:val="bottom"/>
            <w:tcBorders>
              <w:right w:val="single" w:sz="8" w:color="582C83"/>
            </w:tcBorders>
            <w:vMerge w:val="continue"/>
          </w:tcPr>
          <w:p>
            <w:pPr>
              <w:spacing w:after="0"/>
              <w:rPr>
                <w:sz w:val="14"/>
                <w:szCs w:val="14"/>
                <w:color w:val="auto"/>
              </w:rPr>
            </w:pPr>
          </w:p>
        </w:tc>
        <w:tc>
          <w:tcPr>
            <w:tcW w:w="1960" w:type="dxa"/>
            <w:vAlign w:val="bottom"/>
            <w:tcBorders>
              <w:right w:val="single" w:sz="8" w:color="582C83"/>
            </w:tcBorders>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Compensation</w:t>
            </w:r>
          </w:p>
        </w:tc>
        <w:tc>
          <w:tcPr>
            <w:tcW w:w="0" w:type="dxa"/>
            <w:vAlign w:val="bottom"/>
          </w:tcPr>
          <w:p>
            <w:pPr>
              <w:spacing w:after="0"/>
              <w:rPr>
                <w:sz w:val="1"/>
                <w:szCs w:val="1"/>
                <w:color w:val="auto"/>
              </w:rPr>
            </w:pPr>
          </w:p>
        </w:tc>
      </w:tr>
      <w:tr>
        <w:trPr>
          <w:trHeight w:val="122"/>
        </w:trPr>
        <w:tc>
          <w:tcPr>
            <w:tcW w:w="1080" w:type="dxa"/>
            <w:vAlign w:val="bottom"/>
            <w:tcBorders>
              <w:left w:val="single" w:sz="8" w:color="582C83"/>
              <w:right w:val="single" w:sz="8" w:color="582C83"/>
            </w:tcBorders>
          </w:tcPr>
          <w:p>
            <w:pPr>
              <w:spacing w:after="0"/>
              <w:rPr>
                <w:sz w:val="10"/>
                <w:szCs w:val="10"/>
                <w:color w:val="auto"/>
              </w:rPr>
            </w:pPr>
          </w:p>
        </w:tc>
        <w:tc>
          <w:tcPr>
            <w:tcW w:w="4180" w:type="dxa"/>
            <w:vAlign w:val="bottom"/>
            <w:tcBorders>
              <w:right w:val="single" w:sz="8" w:color="582C83"/>
            </w:tcBorders>
          </w:tcPr>
          <w:p>
            <w:pPr>
              <w:spacing w:after="0"/>
              <w:rPr>
                <w:sz w:val="10"/>
                <w:szCs w:val="10"/>
                <w:color w:val="auto"/>
              </w:rPr>
            </w:pPr>
          </w:p>
        </w:tc>
        <w:tc>
          <w:tcPr>
            <w:tcW w:w="2020" w:type="dxa"/>
            <w:vAlign w:val="bottom"/>
            <w:tcBorders>
              <w:right w:val="single" w:sz="8" w:color="582C83"/>
            </w:tcBorders>
          </w:tcPr>
          <w:p>
            <w:pPr>
              <w:spacing w:after="0"/>
              <w:rPr>
                <w:sz w:val="10"/>
                <w:szCs w:val="10"/>
                <w:color w:val="auto"/>
              </w:rPr>
            </w:pPr>
          </w:p>
        </w:tc>
        <w:tc>
          <w:tcPr>
            <w:tcW w:w="1960" w:type="dxa"/>
            <w:vAlign w:val="bottom"/>
            <w:tcBorders>
              <w:right w:val="single" w:sz="8" w:color="582C83"/>
            </w:tcBorders>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Borders>
              <w:right w:val="single" w:sz="8" w:color="582C8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080" w:type="dxa"/>
            <w:vAlign w:val="bottom"/>
            <w:tcBorders>
              <w:left w:val="single" w:sz="8" w:color="582C83"/>
              <w:bottom w:val="single" w:sz="8" w:color="582C83"/>
              <w:right w:val="single" w:sz="8" w:color="582C83"/>
            </w:tcBorders>
          </w:tcPr>
          <w:p>
            <w:pPr>
              <w:spacing w:after="0"/>
              <w:rPr>
                <w:sz w:val="4"/>
                <w:szCs w:val="4"/>
                <w:color w:val="auto"/>
              </w:rPr>
            </w:pPr>
          </w:p>
        </w:tc>
        <w:tc>
          <w:tcPr>
            <w:tcW w:w="4180" w:type="dxa"/>
            <w:vAlign w:val="bottom"/>
            <w:tcBorders>
              <w:bottom w:val="single" w:sz="8" w:color="582C83"/>
              <w:right w:val="single" w:sz="8" w:color="582C83"/>
            </w:tcBorders>
          </w:tcPr>
          <w:p>
            <w:pPr>
              <w:spacing w:after="0"/>
              <w:rPr>
                <w:sz w:val="4"/>
                <w:szCs w:val="4"/>
                <w:color w:val="auto"/>
              </w:rPr>
            </w:pPr>
          </w:p>
        </w:tc>
        <w:tc>
          <w:tcPr>
            <w:tcW w:w="2020" w:type="dxa"/>
            <w:vAlign w:val="bottom"/>
            <w:tcBorders>
              <w:bottom w:val="single" w:sz="8" w:color="582C83"/>
              <w:right w:val="single" w:sz="8" w:color="582C83"/>
            </w:tcBorders>
          </w:tcPr>
          <w:p>
            <w:pPr>
              <w:spacing w:after="0"/>
              <w:rPr>
                <w:sz w:val="4"/>
                <w:szCs w:val="4"/>
                <w:color w:val="auto"/>
              </w:rPr>
            </w:pPr>
          </w:p>
        </w:tc>
        <w:tc>
          <w:tcPr>
            <w:tcW w:w="1960" w:type="dxa"/>
            <w:vAlign w:val="bottom"/>
            <w:tcBorders>
              <w:bottom w:val="single" w:sz="8" w:color="582C83"/>
              <w:right w:val="single" w:sz="8" w:color="582C83"/>
            </w:tcBorders>
          </w:tcPr>
          <w:p>
            <w:pPr>
              <w:spacing w:after="0"/>
              <w:rPr>
                <w:sz w:val="4"/>
                <w:szCs w:val="4"/>
                <w:color w:val="auto"/>
              </w:rPr>
            </w:pPr>
          </w:p>
        </w:tc>
        <w:tc>
          <w:tcPr>
            <w:tcW w:w="380" w:type="dxa"/>
            <w:vAlign w:val="bottom"/>
            <w:tcBorders>
              <w:bottom w:val="single" w:sz="8" w:color="582C83"/>
            </w:tcBorders>
          </w:tcPr>
          <w:p>
            <w:pPr>
              <w:spacing w:after="0"/>
              <w:rPr>
                <w:sz w:val="4"/>
                <w:szCs w:val="4"/>
                <w:color w:val="auto"/>
              </w:rPr>
            </w:pPr>
          </w:p>
        </w:tc>
        <w:tc>
          <w:tcPr>
            <w:tcW w:w="1620" w:type="dxa"/>
            <w:vAlign w:val="bottom"/>
            <w:tcBorders>
              <w:bottom w:val="single" w:sz="8" w:color="582C83"/>
              <w:right w:val="single" w:sz="8" w:color="582C8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jc w:val="both"/>
        <w:ind w:left="260" w:right="520" w:hanging="158"/>
        <w:spacing w:after="0" w:line="259" w:lineRule="auto"/>
        <w:tabs>
          <w:tab w:leader="none" w:pos="260" w:val="left"/>
        </w:tabs>
        <w:numPr>
          <w:ilvl w:val="0"/>
          <w:numId w:val="9"/>
        </w:numPr>
        <w:rPr>
          <w:rFonts w:ascii="Arial" w:cs="Arial" w:eastAsia="Arial" w:hAnsi="Arial"/>
          <w:sz w:val="21"/>
          <w:szCs w:val="21"/>
          <w:color w:val="582C83"/>
        </w:rPr>
      </w:pPr>
      <w:r>
        <w:rPr>
          <w:rFonts w:ascii="Arial" w:cs="Arial" w:eastAsia="Arial" w:hAnsi="Arial"/>
          <w:sz w:val="21"/>
          <w:szCs w:val="21"/>
          <w:color w:val="auto"/>
        </w:rPr>
        <w:t>During his career at Ford, Mr. Booth gained global business experience and led operations in Africa, Asia and Europe. In these and other roles, he successfully implemented major growth initiatives, business restructuring and cost management, and was involved in strategy, product development, marketing and operations.</w:t>
      </w:r>
    </w:p>
    <w:p>
      <w:pPr>
        <w:spacing w:after="0" w:line="1" w:lineRule="exact"/>
        <w:rPr>
          <w:rFonts w:ascii="Arial" w:cs="Arial" w:eastAsia="Arial" w:hAnsi="Arial"/>
          <w:sz w:val="21"/>
          <w:szCs w:val="21"/>
          <w:color w:val="582C83"/>
        </w:rPr>
      </w:pPr>
    </w:p>
    <w:p>
      <w:pPr>
        <w:ind w:left="260" w:right="540" w:hanging="158"/>
        <w:spacing w:after="0" w:line="268" w:lineRule="auto"/>
        <w:tabs>
          <w:tab w:leader="none" w:pos="260" w:val="left"/>
        </w:tabs>
        <w:numPr>
          <w:ilvl w:val="0"/>
          <w:numId w:val="9"/>
        </w:numPr>
        <w:rPr>
          <w:rFonts w:ascii="Arial" w:cs="Arial" w:eastAsia="Arial" w:hAnsi="Arial"/>
          <w:sz w:val="21"/>
          <w:szCs w:val="21"/>
          <w:color w:val="582C83"/>
        </w:rPr>
      </w:pPr>
      <w:r>
        <w:rPr>
          <w:rFonts w:ascii="Arial" w:cs="Arial" w:eastAsia="Arial" w:hAnsi="Arial"/>
          <w:sz w:val="21"/>
          <w:szCs w:val="21"/>
          <w:color w:val="auto"/>
        </w:rPr>
        <w:t>Mr. Booth held a variety of positions on Ford’s Finance staff. As Ford’s Chief Financial Officer during the 2008 financial crisis, Mr. Booth led a restructuring of Ford’s balance sheet and a return to growth and profitability.</w:t>
      </w:r>
    </w:p>
    <w:p>
      <w:pPr>
        <w:ind w:left="260" w:hanging="158"/>
        <w:spacing w:after="0"/>
        <w:tabs>
          <w:tab w:leader="none" w:pos="260" w:val="left"/>
        </w:tabs>
        <w:numPr>
          <w:ilvl w:val="0"/>
          <w:numId w:val="9"/>
        </w:numPr>
        <w:rPr>
          <w:rFonts w:ascii="Arial" w:cs="Arial" w:eastAsia="Arial" w:hAnsi="Arial"/>
          <w:sz w:val="22"/>
          <w:szCs w:val="22"/>
          <w:color w:val="582C83"/>
        </w:rPr>
      </w:pPr>
      <w:r>
        <w:rPr>
          <w:rFonts w:ascii="Arial" w:cs="Arial" w:eastAsia="Arial" w:hAnsi="Arial"/>
          <w:sz w:val="22"/>
          <w:szCs w:val="22"/>
          <w:color w:val="auto"/>
        </w:rPr>
        <w:t>Mr. Booth is a Chartered Management Accountant.</w:t>
      </w:r>
    </w:p>
    <w:p>
      <w:pPr>
        <w:spacing w:after="0" w:line="44" w:lineRule="exact"/>
        <w:rPr>
          <w:rFonts w:ascii="Arial" w:cs="Arial" w:eastAsia="Arial" w:hAnsi="Arial"/>
          <w:sz w:val="22"/>
          <w:szCs w:val="22"/>
          <w:color w:val="582C83"/>
        </w:rPr>
      </w:pPr>
    </w:p>
    <w:p>
      <w:pPr>
        <w:ind w:left="260" w:right="300" w:hanging="158"/>
        <w:spacing w:after="0" w:line="259" w:lineRule="auto"/>
        <w:tabs>
          <w:tab w:leader="none" w:pos="260" w:val="left"/>
        </w:tabs>
        <w:numPr>
          <w:ilvl w:val="0"/>
          <w:numId w:val="9"/>
        </w:numPr>
        <w:rPr>
          <w:rFonts w:ascii="Arial" w:cs="Arial" w:eastAsia="Arial" w:hAnsi="Arial"/>
          <w:sz w:val="22"/>
          <w:szCs w:val="22"/>
          <w:color w:val="582C83"/>
        </w:rPr>
      </w:pPr>
      <w:r>
        <w:rPr>
          <w:rFonts w:ascii="Arial" w:cs="Arial" w:eastAsia="Arial" w:hAnsi="Arial"/>
          <w:sz w:val="22"/>
          <w:szCs w:val="22"/>
          <w:color w:val="auto"/>
        </w:rPr>
        <w:t>Mr. Booth has extensive public company board and corporate governance experience. He is a former director of Gentherm Incorporated and Rolls-Royce Holdings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23430" cy="16459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82" w:lineRule="exact"/>
        <w:rPr>
          <w:sz w:val="20"/>
          <w:szCs w:val="20"/>
          <w:color w:val="auto"/>
        </w:rPr>
      </w:pPr>
    </w:p>
    <w:p>
      <w:pPr>
        <w:ind w:left="120" w:right="180"/>
        <w:spacing w:after="0" w:line="236" w:lineRule="auto"/>
        <w:rPr>
          <w:sz w:val="20"/>
          <w:szCs w:val="20"/>
          <w:color w:val="auto"/>
        </w:rPr>
      </w:pPr>
      <w:r>
        <w:rPr>
          <w:rFonts w:ascii="Arial" w:cs="Arial" w:eastAsia="Arial" w:hAnsi="Arial"/>
          <w:sz w:val="22"/>
          <w:szCs w:val="22"/>
          <w:color w:val="auto"/>
        </w:rPr>
        <w:t>Mr. Booth served as Executive Vice President and Chief Financial Officer of Ford Motor Company, a global automobile manufacturer, from November 2008 until his retirement in April 2012. He was Executive Vice President of Ford of Europe, Volvo Car Corporation and Ford Export Operations and Global Growth Initiatives, and Executive Vice President of Ford’s Premier Automotive Group from October 2005 to October 2008. Prior to that, Mr. Booth held various executive leadership positions with Ford, including Chairman and Chief Executive Officer of Ford of Europe, President of Mazda Motor Corporation and President of Ford Asia Pacific and Africa Operations. He worked for Ford in various positions from 1978 to 2012.</w:t>
      </w:r>
    </w:p>
    <w:p>
      <w:pPr>
        <w:spacing w:after="0" w:line="95" w:lineRule="exact"/>
        <w:rPr>
          <w:sz w:val="20"/>
          <w:szCs w:val="20"/>
          <w:color w:val="auto"/>
        </w:rPr>
      </w:pPr>
    </w:p>
    <w:p>
      <w:pPr>
        <w:ind w:left="120" w:right="200"/>
        <w:spacing w:after="0" w:line="259" w:lineRule="auto"/>
        <w:rPr>
          <w:sz w:val="20"/>
          <w:szCs w:val="20"/>
          <w:color w:val="auto"/>
        </w:rPr>
      </w:pPr>
      <w:r>
        <w:rPr>
          <w:rFonts w:ascii="Arial" w:cs="Arial" w:eastAsia="Arial" w:hAnsi="Arial"/>
          <w:sz w:val="22"/>
          <w:szCs w:val="22"/>
          <w:color w:val="auto"/>
        </w:rPr>
        <w:t>Mr. Booth was appointed Commander of the Order of the British Empire in June 2012 for his services to the United Kingdom’s automotive and manufacturing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160" w:type="dxa"/>
            <w:vAlign w:val="bottom"/>
            <w:tcBorders>
              <w:top w:val="single" w:sz="8" w:color="582C83"/>
              <w:right w:val="single" w:sz="8" w:color="582C83"/>
            </w:tcBorders>
          </w:tcPr>
          <w:p>
            <w:pPr>
              <w:spacing w:after="0"/>
              <w:rPr>
                <w:sz w:val="24"/>
                <w:szCs w:val="24"/>
                <w:color w:val="auto"/>
              </w:rPr>
            </w:pPr>
          </w:p>
        </w:tc>
        <w:tc>
          <w:tcPr>
            <w:tcW w:w="202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Age 72</w:t>
            </w:r>
          </w:p>
        </w:tc>
        <w:tc>
          <w:tcPr>
            <w:tcW w:w="196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40" w:type="dxa"/>
            <w:vAlign w:val="bottom"/>
            <w:tcBorders>
              <w:top w:val="single" w:sz="8" w:color="582C83"/>
              <w:right w:val="single" w:sz="8" w:color="582C83"/>
            </w:tcBorders>
          </w:tcPr>
          <w:p>
            <w:pPr>
              <w:ind w:left="20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204"/>
        </w:trPr>
        <w:tc>
          <w:tcPr>
            <w:tcW w:w="1080" w:type="dxa"/>
            <w:vAlign w:val="bottom"/>
            <w:tcBorders>
              <w:left w:val="single" w:sz="8" w:color="582C83"/>
              <w:right w:val="single" w:sz="8" w:color="582C83"/>
            </w:tcBorders>
          </w:tcPr>
          <w:p>
            <w:pPr>
              <w:spacing w:after="0"/>
              <w:rPr>
                <w:sz w:val="17"/>
                <w:szCs w:val="17"/>
                <w:color w:val="auto"/>
              </w:rPr>
            </w:pPr>
          </w:p>
        </w:tc>
        <w:tc>
          <w:tcPr>
            <w:tcW w:w="41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Charles E. Bunch</w:t>
            </w:r>
          </w:p>
        </w:tc>
        <w:tc>
          <w:tcPr>
            <w:tcW w:w="2020" w:type="dxa"/>
            <w:vAlign w:val="bottom"/>
            <w:tcBorders>
              <w:right w:val="single" w:sz="8" w:color="582C83"/>
            </w:tcBorders>
            <w:vMerge w:val="continue"/>
          </w:tcPr>
          <w:p>
            <w:pPr>
              <w:spacing w:after="0"/>
              <w:rPr>
                <w:sz w:val="17"/>
                <w:szCs w:val="17"/>
                <w:color w:val="auto"/>
              </w:rPr>
            </w:pPr>
          </w:p>
        </w:tc>
        <w:tc>
          <w:tcPr>
            <w:tcW w:w="1960" w:type="dxa"/>
            <w:vAlign w:val="bottom"/>
            <w:tcBorders>
              <w:right w:val="single" w:sz="8" w:color="582C83"/>
            </w:tcBorders>
          </w:tcPr>
          <w:p>
            <w:pPr>
              <w:spacing w:after="0"/>
              <w:rPr>
                <w:sz w:val="17"/>
                <w:szCs w:val="17"/>
                <w:color w:val="auto"/>
              </w:rPr>
            </w:pPr>
          </w:p>
        </w:tc>
        <w:tc>
          <w:tcPr>
            <w:tcW w:w="2020" w:type="dxa"/>
            <w:vAlign w:val="bottom"/>
            <w:tcBorders>
              <w:right w:val="single" w:sz="8" w:color="582C83"/>
            </w:tcBorders>
            <w:gridSpan w:val="2"/>
            <w:vMerge w:val="restart"/>
          </w:tcPr>
          <w:p>
            <w:pPr>
              <w:ind w:left="24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81"/>
        </w:trPr>
        <w:tc>
          <w:tcPr>
            <w:tcW w:w="1080" w:type="dxa"/>
            <w:vAlign w:val="bottom"/>
            <w:tcBorders>
              <w:left w:val="single" w:sz="8" w:color="582C83"/>
              <w:right w:val="single" w:sz="8" w:color="582C83"/>
            </w:tcBorders>
          </w:tcPr>
          <w:p>
            <w:pPr>
              <w:spacing w:after="0"/>
              <w:rPr>
                <w:sz w:val="7"/>
                <w:szCs w:val="7"/>
                <w:color w:val="auto"/>
              </w:rPr>
            </w:pPr>
          </w:p>
        </w:tc>
        <w:tc>
          <w:tcPr>
            <w:tcW w:w="4160" w:type="dxa"/>
            <w:vAlign w:val="bottom"/>
            <w:tcBorders>
              <w:right w:val="single" w:sz="8" w:color="582C83"/>
            </w:tcBorders>
            <w:vMerge w:val="continue"/>
          </w:tcPr>
          <w:p>
            <w:pPr>
              <w:spacing w:after="0"/>
              <w:rPr>
                <w:sz w:val="7"/>
                <w:szCs w:val="7"/>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60" w:type="dxa"/>
            <w:vAlign w:val="bottom"/>
            <w:tcBorders>
              <w:right w:val="single" w:sz="8" w:color="582C83"/>
            </w:tcBorders>
          </w:tcPr>
          <w:p>
            <w:pPr>
              <w:spacing w:after="0"/>
              <w:rPr>
                <w:sz w:val="7"/>
                <w:szCs w:val="7"/>
                <w:color w:val="auto"/>
              </w:rPr>
            </w:pPr>
          </w:p>
        </w:tc>
        <w:tc>
          <w:tcPr>
            <w:tcW w:w="2020" w:type="dxa"/>
            <w:vAlign w:val="bottom"/>
            <w:tcBorders>
              <w:right w:val="single" w:sz="8" w:color="582C83"/>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582C83"/>
              <w:right w:val="single" w:sz="8" w:color="582C83"/>
            </w:tcBorders>
          </w:tcPr>
          <w:p>
            <w:pPr>
              <w:spacing w:after="0"/>
              <w:rPr>
                <w:sz w:val="7"/>
                <w:szCs w:val="7"/>
                <w:color w:val="auto"/>
              </w:rPr>
            </w:pPr>
          </w:p>
        </w:tc>
        <w:tc>
          <w:tcPr>
            <w:tcW w:w="4160" w:type="dxa"/>
            <w:vAlign w:val="bottom"/>
            <w:tcBorders>
              <w:right w:val="single" w:sz="8" w:color="582C83"/>
            </w:tcBorders>
            <w:vMerge w:val="continue"/>
          </w:tcPr>
          <w:p>
            <w:pPr>
              <w:spacing w:after="0"/>
              <w:rPr>
                <w:sz w:val="7"/>
                <w:szCs w:val="7"/>
                <w:color w:val="auto"/>
              </w:rPr>
            </w:pPr>
          </w:p>
        </w:tc>
        <w:tc>
          <w:tcPr>
            <w:tcW w:w="2020" w:type="dxa"/>
            <w:vAlign w:val="bottom"/>
            <w:tcBorders>
              <w:right w:val="single" w:sz="8" w:color="582C83"/>
            </w:tcBorders>
            <w:vMerge w:val="continue"/>
          </w:tcPr>
          <w:p>
            <w:pPr>
              <w:spacing w:after="0"/>
              <w:rPr>
                <w:sz w:val="7"/>
                <w:szCs w:val="7"/>
                <w:color w:val="auto"/>
              </w:rPr>
            </w:pPr>
          </w:p>
        </w:tc>
        <w:tc>
          <w:tcPr>
            <w:tcW w:w="196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380" w:type="dxa"/>
            <w:vAlign w:val="bottom"/>
            <w:vMerge w:val="restart"/>
          </w:tcPr>
          <w:p>
            <w:pPr>
              <w:ind w:left="240"/>
              <w:spacing w:after="0" w:line="229" w:lineRule="exact"/>
              <w:rPr>
                <w:sz w:val="20"/>
                <w:szCs w:val="20"/>
                <w:color w:val="auto"/>
              </w:rPr>
            </w:pPr>
            <w:r>
              <w:rPr>
                <w:rFonts w:ascii="Arial" w:cs="Arial" w:eastAsia="Arial" w:hAnsi="Arial"/>
                <w:sz w:val="22"/>
                <w:szCs w:val="22"/>
                <w:color w:val="582C83"/>
              </w:rPr>
              <w:t>•</w:t>
            </w:r>
          </w:p>
        </w:tc>
        <w:tc>
          <w:tcPr>
            <w:tcW w:w="1640" w:type="dxa"/>
            <w:vAlign w:val="bottom"/>
            <w:tcBorders>
              <w:right w:val="single" w:sz="8" w:color="582C83"/>
            </w:tcBorders>
            <w:vMerge w:val="restart"/>
          </w:tcPr>
          <w:p>
            <w:pPr>
              <w:ind w:left="80"/>
              <w:spacing w:after="0" w:line="229" w:lineRule="exact"/>
              <w:rPr>
                <w:sz w:val="20"/>
                <w:szCs w:val="20"/>
                <w:color w:val="auto"/>
              </w:rPr>
            </w:pPr>
            <w:r>
              <w:rPr>
                <w:rFonts w:ascii="Arial" w:cs="Arial" w:eastAsia="Arial" w:hAnsi="Arial"/>
                <w:sz w:val="22"/>
                <w:szCs w:val="22"/>
                <w:color w:val="auto"/>
              </w:rPr>
              <w:t>Governance</w:t>
            </w:r>
          </w:p>
        </w:tc>
        <w:tc>
          <w:tcPr>
            <w:tcW w:w="0" w:type="dxa"/>
            <w:vAlign w:val="bottom"/>
          </w:tcPr>
          <w:p>
            <w:pPr>
              <w:spacing w:after="0"/>
              <w:rPr>
                <w:sz w:val="1"/>
                <w:szCs w:val="1"/>
                <w:color w:val="auto"/>
              </w:rPr>
            </w:pPr>
          </w:p>
        </w:tc>
      </w:tr>
      <w:tr>
        <w:trPr>
          <w:trHeight w:val="148"/>
        </w:trPr>
        <w:tc>
          <w:tcPr>
            <w:tcW w:w="1080" w:type="dxa"/>
            <w:vAlign w:val="bottom"/>
            <w:tcBorders>
              <w:left w:val="single" w:sz="8" w:color="582C83"/>
              <w:right w:val="single" w:sz="8" w:color="582C83"/>
            </w:tcBorders>
          </w:tcPr>
          <w:p>
            <w:pPr>
              <w:spacing w:after="0"/>
              <w:rPr>
                <w:sz w:val="12"/>
                <w:szCs w:val="12"/>
                <w:color w:val="auto"/>
              </w:rPr>
            </w:pPr>
          </w:p>
        </w:tc>
        <w:tc>
          <w:tcPr>
            <w:tcW w:w="4160" w:type="dxa"/>
            <w:vAlign w:val="bottom"/>
            <w:tcBorders>
              <w:right w:val="single" w:sz="8" w:color="582C83"/>
            </w:tcBorders>
            <w:vMerge w:val="restart"/>
          </w:tcPr>
          <w:p>
            <w:pPr>
              <w:ind w:left="180"/>
              <w:spacing w:after="0" w:line="243" w:lineRule="exact"/>
              <w:rPr>
                <w:sz w:val="20"/>
                <w:szCs w:val="20"/>
                <w:color w:val="auto"/>
              </w:rPr>
            </w:pPr>
            <w:r>
              <w:rPr>
                <w:rFonts w:ascii="Arial" w:cs="Arial" w:eastAsia="Arial" w:hAnsi="Arial"/>
                <w:sz w:val="22"/>
                <w:szCs w:val="22"/>
                <w:i w:val="1"/>
                <w:iCs w:val="1"/>
                <w:color w:val="auto"/>
              </w:rPr>
              <w:t>Retired Executive Chairman, PPG</w:t>
            </w:r>
          </w:p>
        </w:tc>
        <w:tc>
          <w:tcPr>
            <w:tcW w:w="2020" w:type="dxa"/>
            <w:vAlign w:val="bottom"/>
            <w:tcBorders>
              <w:right w:val="single" w:sz="8" w:color="582C83"/>
            </w:tcBorders>
            <w:vMerge w:val="continue"/>
          </w:tcPr>
          <w:p>
            <w:pPr>
              <w:spacing w:after="0"/>
              <w:rPr>
                <w:sz w:val="12"/>
                <w:szCs w:val="12"/>
                <w:color w:val="auto"/>
              </w:rPr>
            </w:pPr>
          </w:p>
        </w:tc>
        <w:tc>
          <w:tcPr>
            <w:tcW w:w="1960" w:type="dxa"/>
            <w:vAlign w:val="bottom"/>
            <w:tcBorders>
              <w:right w:val="single" w:sz="8" w:color="582C83"/>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640" w:type="dxa"/>
            <w:vAlign w:val="bottom"/>
            <w:tcBorders>
              <w:right w:val="single" w:sz="8" w:color="582C8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80" w:type="dxa"/>
            <w:vAlign w:val="bottom"/>
            <w:tcBorders>
              <w:left w:val="single" w:sz="8" w:color="582C83"/>
              <w:right w:val="single" w:sz="8" w:color="582C83"/>
            </w:tcBorders>
          </w:tcPr>
          <w:p>
            <w:pPr>
              <w:spacing w:after="0"/>
              <w:rPr>
                <w:sz w:val="8"/>
                <w:szCs w:val="8"/>
                <w:color w:val="auto"/>
              </w:rPr>
            </w:pPr>
          </w:p>
        </w:tc>
        <w:tc>
          <w:tcPr>
            <w:tcW w:w="4160" w:type="dxa"/>
            <w:vAlign w:val="bottom"/>
            <w:tcBorders>
              <w:right w:val="single" w:sz="8" w:color="582C83"/>
            </w:tcBorders>
            <w:vMerge w:val="continue"/>
          </w:tcPr>
          <w:p>
            <w:pPr>
              <w:spacing w:after="0"/>
              <w:rPr>
                <w:sz w:val="8"/>
                <w:szCs w:val="8"/>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September 2016</w:t>
            </w:r>
          </w:p>
        </w:tc>
        <w:tc>
          <w:tcPr>
            <w:tcW w:w="1960" w:type="dxa"/>
            <w:vAlign w:val="bottom"/>
            <w:tcBorders>
              <w:right w:val="single" w:sz="8" w:color="582C83"/>
            </w:tcBorders>
            <w:vMerge w:val="continue"/>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2"/>
                <w:szCs w:val="22"/>
                <w:color w:val="auto"/>
              </w:rPr>
              <w:t>(Chair)</w:t>
            </w:r>
          </w:p>
        </w:tc>
        <w:tc>
          <w:tcPr>
            <w:tcW w:w="0" w:type="dxa"/>
            <w:vAlign w:val="bottom"/>
          </w:tcPr>
          <w:p>
            <w:pPr>
              <w:spacing w:after="0"/>
              <w:rPr>
                <w:sz w:val="1"/>
                <w:szCs w:val="1"/>
                <w:color w:val="auto"/>
              </w:rPr>
            </w:pPr>
          </w:p>
        </w:tc>
      </w:tr>
      <w:tr>
        <w:trPr>
          <w:trHeight w:val="202"/>
        </w:trPr>
        <w:tc>
          <w:tcPr>
            <w:tcW w:w="1080" w:type="dxa"/>
            <w:vAlign w:val="bottom"/>
            <w:tcBorders>
              <w:left w:val="single" w:sz="8" w:color="582C83"/>
              <w:right w:val="single" w:sz="8" w:color="582C83"/>
            </w:tcBorders>
          </w:tcPr>
          <w:p>
            <w:pPr>
              <w:spacing w:after="0"/>
              <w:rPr>
                <w:sz w:val="17"/>
                <w:szCs w:val="17"/>
                <w:color w:val="auto"/>
              </w:rPr>
            </w:pPr>
          </w:p>
        </w:tc>
        <w:tc>
          <w:tcPr>
            <w:tcW w:w="41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Industries, Inc.</w:t>
            </w:r>
          </w:p>
        </w:tc>
        <w:tc>
          <w:tcPr>
            <w:tcW w:w="2020" w:type="dxa"/>
            <w:vAlign w:val="bottom"/>
            <w:tcBorders>
              <w:right w:val="single" w:sz="8" w:color="582C83"/>
            </w:tcBorders>
            <w:vMerge w:val="continue"/>
          </w:tcPr>
          <w:p>
            <w:pPr>
              <w:spacing w:after="0"/>
              <w:rPr>
                <w:sz w:val="17"/>
                <w:szCs w:val="17"/>
                <w:color w:val="auto"/>
              </w:rPr>
            </w:pPr>
          </w:p>
        </w:tc>
        <w:tc>
          <w:tcPr>
            <w:tcW w:w="1960" w:type="dxa"/>
            <w:vAlign w:val="bottom"/>
            <w:tcBorders>
              <w:right w:val="single" w:sz="8" w:color="582C83"/>
            </w:tcBorders>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Borders>
              <w:right w:val="single" w:sz="8" w:color="582C83"/>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80" w:type="dxa"/>
            <w:vAlign w:val="bottom"/>
            <w:tcBorders>
              <w:left w:val="single" w:sz="8" w:color="582C83"/>
              <w:right w:val="single" w:sz="8" w:color="582C83"/>
            </w:tcBorders>
          </w:tcPr>
          <w:p>
            <w:pPr>
              <w:spacing w:after="0"/>
              <w:rPr>
                <w:sz w:val="7"/>
                <w:szCs w:val="7"/>
                <w:color w:val="auto"/>
              </w:rPr>
            </w:pPr>
          </w:p>
        </w:tc>
        <w:tc>
          <w:tcPr>
            <w:tcW w:w="4160" w:type="dxa"/>
            <w:vAlign w:val="bottom"/>
            <w:tcBorders>
              <w:right w:val="single" w:sz="8" w:color="582C83"/>
            </w:tcBorders>
            <w:vMerge w:val="continue"/>
          </w:tcPr>
          <w:p>
            <w:pPr>
              <w:spacing w:after="0"/>
              <w:rPr>
                <w:sz w:val="7"/>
                <w:szCs w:val="7"/>
                <w:color w:val="auto"/>
              </w:rPr>
            </w:pPr>
          </w:p>
        </w:tc>
        <w:tc>
          <w:tcPr>
            <w:tcW w:w="2020" w:type="dxa"/>
            <w:vAlign w:val="bottom"/>
            <w:tcBorders>
              <w:right w:val="single" w:sz="8" w:color="582C83"/>
            </w:tcBorders>
            <w:vMerge w:val="restart"/>
          </w:tcPr>
          <w:p>
            <w:pPr>
              <w:jc w:val="center"/>
              <w:spacing w:after="0" w:line="243" w:lineRule="exact"/>
              <w:rPr>
                <w:sz w:val="20"/>
                <w:szCs w:val="20"/>
                <w:color w:val="auto"/>
              </w:rPr>
            </w:pPr>
            <w:r>
              <w:rPr>
                <w:rFonts w:ascii="Arial" w:cs="Arial" w:eastAsia="Arial" w:hAnsi="Arial"/>
                <w:sz w:val="22"/>
                <w:szCs w:val="22"/>
                <w:color w:val="auto"/>
                <w:w w:val="98"/>
              </w:rPr>
              <w:t>White/Male</w:t>
            </w:r>
          </w:p>
        </w:tc>
        <w:tc>
          <w:tcPr>
            <w:tcW w:w="1960" w:type="dxa"/>
            <w:vAlign w:val="bottom"/>
            <w:tcBorders>
              <w:right w:val="single" w:sz="8" w:color="582C83"/>
            </w:tcBorders>
          </w:tcPr>
          <w:p>
            <w:pPr>
              <w:spacing w:after="0"/>
              <w:rPr>
                <w:sz w:val="7"/>
                <w:szCs w:val="7"/>
                <w:color w:val="auto"/>
              </w:rPr>
            </w:pPr>
          </w:p>
        </w:tc>
        <w:tc>
          <w:tcPr>
            <w:tcW w:w="380" w:type="dxa"/>
            <w:vAlign w:val="bottom"/>
            <w:vMerge w:val="restart"/>
          </w:tcPr>
          <w:p>
            <w:pPr>
              <w:ind w:left="240"/>
              <w:spacing w:after="0" w:line="243" w:lineRule="exact"/>
              <w:rPr>
                <w:sz w:val="20"/>
                <w:szCs w:val="20"/>
                <w:color w:val="auto"/>
              </w:rPr>
            </w:pPr>
            <w:r>
              <w:rPr>
                <w:rFonts w:ascii="Arial" w:cs="Arial" w:eastAsia="Arial" w:hAnsi="Arial"/>
                <w:sz w:val="22"/>
                <w:szCs w:val="22"/>
                <w:color w:val="582C83"/>
              </w:rPr>
              <w:t>•</w:t>
            </w:r>
          </w:p>
        </w:tc>
        <w:tc>
          <w:tcPr>
            <w:tcW w:w="1640" w:type="dxa"/>
            <w:vAlign w:val="bottom"/>
            <w:tcBorders>
              <w:right w:val="single" w:sz="8" w:color="582C83"/>
            </w:tcBorders>
            <w:vMerge w:val="restart"/>
          </w:tcPr>
          <w:p>
            <w:pPr>
              <w:ind w:left="80"/>
              <w:spacing w:after="0" w:line="243" w:lineRule="exact"/>
              <w:rPr>
                <w:sz w:val="20"/>
                <w:szCs w:val="20"/>
                <w:color w:val="auto"/>
              </w:rPr>
            </w:pPr>
            <w:r>
              <w:rPr>
                <w:rFonts w:ascii="Arial" w:cs="Arial" w:eastAsia="Arial" w:hAnsi="Arial"/>
                <w:sz w:val="22"/>
                <w:szCs w:val="22"/>
                <w:color w:val="auto"/>
              </w:rPr>
              <w:t>People and</w:t>
            </w: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4160" w:type="dxa"/>
            <w:vAlign w:val="bottom"/>
            <w:tcBorders>
              <w:right w:val="single" w:sz="8" w:color="582C83"/>
            </w:tcBorders>
          </w:tcPr>
          <w:p>
            <w:pPr>
              <w:spacing w:after="0"/>
              <w:rPr>
                <w:sz w:val="14"/>
                <w:szCs w:val="14"/>
                <w:color w:val="auto"/>
              </w:rPr>
            </w:pPr>
          </w:p>
        </w:tc>
        <w:tc>
          <w:tcPr>
            <w:tcW w:w="2020" w:type="dxa"/>
            <w:vAlign w:val="bottom"/>
            <w:tcBorders>
              <w:right w:val="single" w:sz="8" w:color="582C83"/>
            </w:tcBorders>
            <w:vMerge w:val="continue"/>
          </w:tcPr>
          <w:p>
            <w:pPr>
              <w:spacing w:after="0"/>
              <w:rPr>
                <w:sz w:val="14"/>
                <w:szCs w:val="14"/>
                <w:color w:val="auto"/>
              </w:rPr>
            </w:pPr>
          </w:p>
        </w:tc>
        <w:tc>
          <w:tcPr>
            <w:tcW w:w="1960" w:type="dxa"/>
            <w:vAlign w:val="bottom"/>
            <w:tcBorders>
              <w:right w:val="single" w:sz="8" w:color="582C83"/>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1640" w:type="dxa"/>
            <w:vAlign w:val="bottom"/>
            <w:tcBorders>
              <w:right w:val="single" w:sz="8" w:color="582C83"/>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80" w:type="dxa"/>
            <w:vAlign w:val="bottom"/>
            <w:tcBorders>
              <w:left w:val="single" w:sz="8" w:color="582C83"/>
              <w:bottom w:val="single" w:sz="8" w:color="582C83"/>
              <w:right w:val="single" w:sz="8" w:color="582C83"/>
            </w:tcBorders>
          </w:tcPr>
          <w:p>
            <w:pPr>
              <w:spacing w:after="0"/>
              <w:rPr>
                <w:sz w:val="24"/>
                <w:szCs w:val="24"/>
                <w:color w:val="auto"/>
              </w:rPr>
            </w:pPr>
          </w:p>
        </w:tc>
        <w:tc>
          <w:tcPr>
            <w:tcW w:w="4160" w:type="dxa"/>
            <w:vAlign w:val="bottom"/>
            <w:tcBorders>
              <w:bottom w:val="single" w:sz="8" w:color="582C83"/>
              <w:right w:val="single" w:sz="8" w:color="582C83"/>
            </w:tcBorders>
          </w:tcPr>
          <w:p>
            <w:pPr>
              <w:spacing w:after="0"/>
              <w:rPr>
                <w:sz w:val="24"/>
                <w:szCs w:val="24"/>
                <w:color w:val="auto"/>
              </w:rPr>
            </w:pPr>
          </w:p>
        </w:tc>
        <w:tc>
          <w:tcPr>
            <w:tcW w:w="2020" w:type="dxa"/>
            <w:vAlign w:val="bottom"/>
            <w:tcBorders>
              <w:bottom w:val="single" w:sz="8" w:color="582C83"/>
              <w:right w:val="single" w:sz="8" w:color="582C83"/>
            </w:tcBorders>
          </w:tcPr>
          <w:p>
            <w:pPr>
              <w:spacing w:after="0"/>
              <w:rPr>
                <w:sz w:val="24"/>
                <w:szCs w:val="24"/>
                <w:color w:val="auto"/>
              </w:rPr>
            </w:pPr>
          </w:p>
        </w:tc>
        <w:tc>
          <w:tcPr>
            <w:tcW w:w="1960" w:type="dxa"/>
            <w:vAlign w:val="bottom"/>
            <w:tcBorders>
              <w:bottom w:val="single" w:sz="8" w:color="582C83"/>
              <w:right w:val="single" w:sz="8" w:color="582C83"/>
            </w:tcBorders>
          </w:tcPr>
          <w:p>
            <w:pPr>
              <w:spacing w:after="0"/>
              <w:rPr>
                <w:sz w:val="24"/>
                <w:szCs w:val="24"/>
                <w:color w:val="auto"/>
              </w:rPr>
            </w:pPr>
          </w:p>
        </w:tc>
        <w:tc>
          <w:tcPr>
            <w:tcW w:w="380" w:type="dxa"/>
            <w:vAlign w:val="bottom"/>
            <w:tcBorders>
              <w:bottom w:val="single" w:sz="8" w:color="582C83"/>
            </w:tcBorders>
          </w:tcPr>
          <w:p>
            <w:pPr>
              <w:spacing w:after="0"/>
              <w:rPr>
                <w:sz w:val="24"/>
                <w:szCs w:val="24"/>
                <w:color w:val="auto"/>
              </w:rPr>
            </w:pPr>
          </w:p>
        </w:tc>
        <w:tc>
          <w:tcPr>
            <w:tcW w:w="1640" w:type="dxa"/>
            <w:vAlign w:val="bottom"/>
            <w:tcBorders>
              <w:bottom w:val="single" w:sz="8" w:color="582C83"/>
              <w:right w:val="single" w:sz="8" w:color="582C83"/>
            </w:tcBorders>
          </w:tcPr>
          <w:p>
            <w:pPr>
              <w:ind w:left="80"/>
              <w:spacing w:after="0"/>
              <w:rPr>
                <w:sz w:val="20"/>
                <w:szCs w:val="20"/>
                <w:color w:val="auto"/>
              </w:rPr>
            </w:pPr>
            <w:r>
              <w:rPr>
                <w:rFonts w:ascii="Arial" w:cs="Arial" w:eastAsia="Arial" w:hAnsi="Arial"/>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right="620" w:hanging="158"/>
        <w:spacing w:after="0" w:line="256" w:lineRule="auto"/>
        <w:tabs>
          <w:tab w:leader="none" w:pos="260" w:val="left"/>
        </w:tabs>
        <w:numPr>
          <w:ilvl w:val="0"/>
          <w:numId w:val="10"/>
        </w:numPr>
        <w:rPr>
          <w:rFonts w:ascii="Arial" w:cs="Arial" w:eastAsia="Arial" w:hAnsi="Arial"/>
          <w:sz w:val="22"/>
          <w:szCs w:val="22"/>
          <w:color w:val="582C83"/>
        </w:rPr>
      </w:pPr>
      <w:r>
        <w:rPr>
          <w:rFonts w:ascii="Arial" w:cs="Arial" w:eastAsia="Arial" w:hAnsi="Arial"/>
          <w:sz w:val="22"/>
          <w:szCs w:val="22"/>
          <w:color w:val="auto"/>
        </w:rPr>
        <w:t>During his 37-year career at PPG, Mr. Bunch gained valuable experience in executive leadership, operations management, cost management, risk management and strategic planning.</w:t>
      </w:r>
    </w:p>
    <w:p>
      <w:pPr>
        <w:ind w:left="260" w:right="220" w:hanging="158"/>
        <w:spacing w:after="0"/>
        <w:tabs>
          <w:tab w:leader="none" w:pos="260" w:val="left"/>
        </w:tabs>
        <w:numPr>
          <w:ilvl w:val="0"/>
          <w:numId w:val="10"/>
        </w:numPr>
        <w:rPr>
          <w:rFonts w:ascii="Arial" w:cs="Arial" w:eastAsia="Arial" w:hAnsi="Arial"/>
          <w:sz w:val="22"/>
          <w:szCs w:val="22"/>
          <w:color w:val="582C83"/>
        </w:rPr>
      </w:pPr>
      <w:r>
        <w:rPr>
          <w:rFonts w:ascii="Arial" w:cs="Arial" w:eastAsia="Arial" w:hAnsi="Arial"/>
          <w:sz w:val="22"/>
          <w:szCs w:val="22"/>
          <w:color w:val="auto"/>
        </w:rPr>
        <w:t>Under Mr. Bunch’s leadership, PPG accelerated its business transformation, becoming the world’s leading paints and coatings company through strategic actions that focused its business portfolio and expanded and strengthened its international presence. During his tenure as Chairman and Chief Executive Officer, PPG made more than 30 acquisitions and delivered strong growth and record financial performance.</w:t>
      </w:r>
    </w:p>
    <w:p>
      <w:pPr>
        <w:spacing w:after="0" w:line="14" w:lineRule="exact"/>
        <w:rPr>
          <w:rFonts w:ascii="Arial" w:cs="Arial" w:eastAsia="Arial" w:hAnsi="Arial"/>
          <w:sz w:val="22"/>
          <w:szCs w:val="22"/>
          <w:color w:val="582C83"/>
        </w:rPr>
      </w:pPr>
    </w:p>
    <w:p>
      <w:pPr>
        <w:ind w:left="260" w:right="500" w:hanging="158"/>
        <w:spacing w:after="0" w:line="256" w:lineRule="auto"/>
        <w:tabs>
          <w:tab w:leader="none" w:pos="260" w:val="left"/>
        </w:tabs>
        <w:numPr>
          <w:ilvl w:val="0"/>
          <w:numId w:val="10"/>
        </w:numPr>
        <w:rPr>
          <w:rFonts w:ascii="Arial" w:cs="Arial" w:eastAsia="Arial" w:hAnsi="Arial"/>
          <w:sz w:val="22"/>
          <w:szCs w:val="22"/>
          <w:color w:val="582C83"/>
        </w:rPr>
      </w:pPr>
      <w:r>
        <w:rPr>
          <w:rFonts w:ascii="Arial" w:cs="Arial" w:eastAsia="Arial" w:hAnsi="Arial"/>
          <w:sz w:val="22"/>
          <w:szCs w:val="22"/>
          <w:color w:val="auto"/>
        </w:rPr>
        <w:t>Through his service at the Federal Reserve Bank of Cleveland, including as its Chairman, Mr. Bunch gained a deep understanding of the U.S. economy and corporate finance.</w:t>
      </w:r>
    </w:p>
    <w:p>
      <w:pPr>
        <w:ind w:left="260" w:right="680" w:hanging="158"/>
        <w:spacing w:after="0" w:line="245" w:lineRule="auto"/>
        <w:tabs>
          <w:tab w:leader="none" w:pos="260" w:val="left"/>
        </w:tabs>
        <w:numPr>
          <w:ilvl w:val="0"/>
          <w:numId w:val="10"/>
        </w:numPr>
        <w:rPr>
          <w:rFonts w:ascii="Arial" w:cs="Arial" w:eastAsia="Arial" w:hAnsi="Arial"/>
          <w:sz w:val="22"/>
          <w:szCs w:val="22"/>
          <w:color w:val="582C83"/>
        </w:rPr>
      </w:pPr>
      <w:r>
        <w:rPr>
          <w:rFonts w:ascii="Arial" w:cs="Arial" w:eastAsia="Arial" w:hAnsi="Arial"/>
          <w:sz w:val="22"/>
          <w:szCs w:val="22"/>
          <w:color w:val="auto"/>
        </w:rPr>
        <w:t>Mr. Bunch has extensive public company board and corporate governance experience. He is a director of Marathon Petroleum Corporation, ConocoPhillips and The PNC Financial Services Group, Inc. and a former director of H.J. Heinz Company and PPG.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23430" cy="16459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96" w:lineRule="exact"/>
        <w:rPr>
          <w:sz w:val="20"/>
          <w:szCs w:val="20"/>
          <w:color w:val="auto"/>
        </w:rPr>
      </w:pPr>
    </w:p>
    <w:p>
      <w:pPr>
        <w:ind w:left="120" w:right="200"/>
        <w:spacing w:after="0" w:line="236" w:lineRule="auto"/>
        <w:rPr>
          <w:sz w:val="20"/>
          <w:szCs w:val="20"/>
          <w:color w:val="auto"/>
        </w:rPr>
      </w:pPr>
      <w:r>
        <w:rPr>
          <w:rFonts w:ascii="Arial" w:cs="Arial" w:eastAsia="Arial" w:hAnsi="Arial"/>
          <w:sz w:val="22"/>
          <w:szCs w:val="22"/>
          <w:color w:val="auto"/>
        </w:rPr>
        <w:t>Mr. Bunch served as Executive Chairman of PPG Industries, Inc., a manufacturer and distributor of a broad range of coatings, specialty materials and glass products, from September 2015 until his retirement in August 2016. He served as Chairman, President and Chief Executive Officer from July 2005 until August 2015; President and Chief Executive Officer from March 2005 until July 2005; President and Chief Operating Officer from July 2002 until March 2005; Executive Vice President, Coatings from 2000 to 2002; and Senior Vice President, Strategic Planning and Corporate Services from 1997 to 2000. He joined PPG in 1979 and held various positions in finance and planning, marketing and general management in the United States and Europe.</w:t>
      </w:r>
    </w:p>
    <w:p>
      <w:pPr>
        <w:spacing w:after="0" w:line="95" w:lineRule="exact"/>
        <w:rPr>
          <w:sz w:val="20"/>
          <w:szCs w:val="20"/>
          <w:color w:val="auto"/>
        </w:rPr>
      </w:pPr>
    </w:p>
    <w:p>
      <w:pPr>
        <w:ind w:left="120" w:right="360"/>
        <w:spacing w:after="0" w:line="259" w:lineRule="auto"/>
        <w:rPr>
          <w:sz w:val="20"/>
          <w:szCs w:val="20"/>
          <w:color w:val="auto"/>
        </w:rPr>
      </w:pPr>
      <w:r>
        <w:rPr>
          <w:rFonts w:ascii="Arial" w:cs="Arial" w:eastAsia="Arial" w:hAnsi="Arial"/>
          <w:sz w:val="22"/>
          <w:szCs w:val="22"/>
          <w:color w:val="auto"/>
        </w:rPr>
        <w:t>Mr. Bunch is a former director and chairman of the Federal Reserve Bank of Cleveland and a former director and chairman of the National Association of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Ertharin Cousin</w:t>
            </w:r>
          </w:p>
        </w:tc>
        <w:tc>
          <w:tcPr>
            <w:tcW w:w="20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color w:val="auto"/>
                <w:w w:val="97"/>
              </w:rPr>
              <w:t>Age 64</w:t>
            </w:r>
          </w:p>
        </w:tc>
        <w:tc>
          <w:tcPr>
            <w:tcW w:w="1980" w:type="dxa"/>
            <w:vAlign w:val="bottom"/>
            <w:tcBorders>
              <w:top w:val="single" w:sz="8" w:color="582C83"/>
              <w:right w:val="single" w:sz="8" w:color="582C83"/>
            </w:tcBorders>
          </w:tcPr>
          <w:p>
            <w:pPr>
              <w:spacing w:after="0"/>
              <w:rPr>
                <w:sz w:val="24"/>
                <w:szCs w:val="24"/>
                <w:color w:val="auto"/>
              </w:rPr>
            </w:pPr>
          </w:p>
        </w:tc>
        <w:tc>
          <w:tcPr>
            <w:tcW w:w="198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9"/>
              </w:rPr>
              <w:t>BOARD</w:t>
            </w:r>
          </w:p>
        </w:tc>
        <w:tc>
          <w:tcPr>
            <w:tcW w:w="0" w:type="dxa"/>
            <w:vAlign w:val="bottom"/>
          </w:tcPr>
          <w:p>
            <w:pPr>
              <w:spacing w:after="0"/>
              <w:rPr>
                <w:sz w:val="1"/>
                <w:szCs w:val="1"/>
                <w:color w:val="auto"/>
              </w:rPr>
            </w:pPr>
          </w:p>
        </w:tc>
      </w:tr>
      <w:tr>
        <w:trPr>
          <w:trHeight w:val="148"/>
        </w:trPr>
        <w:tc>
          <w:tcPr>
            <w:tcW w:w="1080" w:type="dxa"/>
            <w:vAlign w:val="bottom"/>
            <w:tcBorders>
              <w:left w:val="single" w:sz="8" w:color="582C83"/>
              <w:right w:val="single" w:sz="8" w:color="582C83"/>
            </w:tcBorders>
          </w:tcPr>
          <w:p>
            <w:pPr>
              <w:spacing w:after="0"/>
              <w:rPr>
                <w:sz w:val="12"/>
                <w:szCs w:val="12"/>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Founder, President and Chief Executive</w:t>
            </w: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80" w:type="dxa"/>
            <w:vAlign w:val="bottom"/>
            <w:tcBorders>
              <w:right w:val="single" w:sz="8" w:color="582C83"/>
            </w:tcBorders>
          </w:tcPr>
          <w:p>
            <w:pPr>
              <w:spacing w:after="0"/>
              <w:rPr>
                <w:sz w:val="12"/>
                <w:szCs w:val="12"/>
                <w:color w:val="auto"/>
              </w:rPr>
            </w:pPr>
          </w:p>
        </w:tc>
        <w:tc>
          <w:tcPr>
            <w:tcW w:w="1980" w:type="dxa"/>
            <w:vAlign w:val="bottom"/>
            <w:tcBorders>
              <w:right w:val="single" w:sz="8" w:color="582C8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582C83"/>
              <w:right w:val="single" w:sz="8" w:color="582C83"/>
            </w:tcBorders>
          </w:tcPr>
          <w:p>
            <w:pPr>
              <w:spacing w:after="0"/>
              <w:rPr>
                <w:sz w:val="9"/>
                <w:szCs w:val="9"/>
                <w:color w:val="auto"/>
              </w:rPr>
            </w:pPr>
          </w:p>
        </w:tc>
        <w:tc>
          <w:tcPr>
            <w:tcW w:w="4200" w:type="dxa"/>
            <w:vAlign w:val="bottom"/>
            <w:tcBorders>
              <w:right w:val="single" w:sz="8" w:color="582C83"/>
            </w:tcBorders>
            <w:vMerge w:val="continue"/>
          </w:tcPr>
          <w:p>
            <w:pPr>
              <w:spacing w:after="0"/>
              <w:rPr>
                <w:sz w:val="9"/>
                <w:szCs w:val="9"/>
                <w:color w:val="auto"/>
              </w:rPr>
            </w:pPr>
          </w:p>
        </w:tc>
        <w:tc>
          <w:tcPr>
            <w:tcW w:w="2000" w:type="dxa"/>
            <w:vAlign w:val="bottom"/>
            <w:tcBorders>
              <w:right w:val="single" w:sz="8" w:color="582C83"/>
            </w:tcBorders>
            <w:vMerge w:val="continue"/>
          </w:tcPr>
          <w:p>
            <w:pPr>
              <w:spacing w:after="0"/>
              <w:rPr>
                <w:sz w:val="9"/>
                <w:szCs w:val="9"/>
                <w:color w:val="auto"/>
              </w:rPr>
            </w:pPr>
          </w:p>
        </w:tc>
        <w:tc>
          <w:tcPr>
            <w:tcW w:w="198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COMMITTEES:</w:t>
            </w:r>
          </w:p>
        </w:tc>
        <w:tc>
          <w:tcPr>
            <w:tcW w:w="0" w:type="dxa"/>
            <w:vAlign w:val="bottom"/>
          </w:tcPr>
          <w:p>
            <w:pPr>
              <w:spacing w:after="0"/>
              <w:rPr>
                <w:sz w:val="1"/>
                <w:szCs w:val="1"/>
                <w:color w:val="auto"/>
              </w:rPr>
            </w:pPr>
          </w:p>
        </w:tc>
      </w:tr>
      <w:tr>
        <w:trPr>
          <w:trHeight w:val="176"/>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Officer, Food Systems For The Future</w:t>
            </w: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January 2022</w:t>
            </w:r>
          </w:p>
        </w:tc>
        <w:tc>
          <w:tcPr>
            <w:tcW w:w="1980" w:type="dxa"/>
            <w:vAlign w:val="bottom"/>
            <w:tcBorders>
              <w:right w:val="single" w:sz="8" w:color="582C83"/>
            </w:tcBorders>
            <w:vMerge w:val="continue"/>
          </w:tcPr>
          <w:p>
            <w:pPr>
              <w:spacing w:after="0"/>
              <w:rPr>
                <w:sz w:val="15"/>
                <w:szCs w:val="15"/>
                <w:color w:val="auto"/>
              </w:rPr>
            </w:pPr>
          </w:p>
        </w:tc>
        <w:tc>
          <w:tcPr>
            <w:tcW w:w="1980" w:type="dxa"/>
            <w:vAlign w:val="bottom"/>
            <w:tcBorders>
              <w:right w:val="single" w:sz="8" w:color="582C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80" w:type="dxa"/>
            <w:vAlign w:val="bottom"/>
            <w:tcBorders>
              <w:left w:val="single" w:sz="8" w:color="582C83"/>
              <w:right w:val="single" w:sz="8" w:color="582C83"/>
            </w:tcBorders>
          </w:tcPr>
          <w:p>
            <w:pPr>
              <w:spacing w:after="0"/>
              <w:rPr>
                <w:sz w:val="9"/>
                <w:szCs w:val="9"/>
                <w:color w:val="auto"/>
              </w:rPr>
            </w:pPr>
          </w:p>
        </w:tc>
        <w:tc>
          <w:tcPr>
            <w:tcW w:w="4200" w:type="dxa"/>
            <w:vAlign w:val="bottom"/>
            <w:tcBorders>
              <w:right w:val="single" w:sz="8" w:color="582C83"/>
            </w:tcBorders>
            <w:vMerge w:val="continue"/>
          </w:tcPr>
          <w:p>
            <w:pPr>
              <w:spacing w:after="0"/>
              <w:rPr>
                <w:sz w:val="9"/>
                <w:szCs w:val="9"/>
                <w:color w:val="auto"/>
              </w:rPr>
            </w:pPr>
          </w:p>
        </w:tc>
        <w:tc>
          <w:tcPr>
            <w:tcW w:w="2000" w:type="dxa"/>
            <w:vAlign w:val="bottom"/>
            <w:tcBorders>
              <w:right w:val="single" w:sz="8" w:color="582C83"/>
            </w:tcBorders>
            <w:vMerge w:val="continue"/>
          </w:tcPr>
          <w:p>
            <w:pPr>
              <w:spacing w:after="0"/>
              <w:rPr>
                <w:sz w:val="9"/>
                <w:szCs w:val="9"/>
                <w:color w:val="auto"/>
              </w:rPr>
            </w:pPr>
          </w:p>
        </w:tc>
        <w:tc>
          <w:tcPr>
            <w:tcW w:w="1980" w:type="dxa"/>
            <w:vAlign w:val="bottom"/>
            <w:tcBorders>
              <w:right w:val="single" w:sz="8" w:color="582C83"/>
            </w:tcBorders>
          </w:tcPr>
          <w:p>
            <w:pPr>
              <w:spacing w:after="0"/>
              <w:rPr>
                <w:sz w:val="9"/>
                <w:szCs w:val="9"/>
                <w:color w:val="auto"/>
              </w:rPr>
            </w:pPr>
          </w:p>
        </w:tc>
        <w:tc>
          <w:tcPr>
            <w:tcW w:w="1980" w:type="dxa"/>
            <w:vAlign w:val="bottom"/>
            <w:tcBorders>
              <w:right w:val="single" w:sz="8" w:color="582C83"/>
            </w:tcBorders>
            <w:vMerge w:val="restart"/>
          </w:tcPr>
          <w:p>
            <w:pPr>
              <w:jc w:val="center"/>
              <w:ind w:right="32"/>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Governance</w:t>
            </w: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Institute</w:t>
            </w: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Black/Female</w:t>
            </w:r>
          </w:p>
        </w:tc>
        <w:tc>
          <w:tcPr>
            <w:tcW w:w="1980" w:type="dxa"/>
            <w:vAlign w:val="bottom"/>
            <w:tcBorders>
              <w:right w:val="single" w:sz="8" w:color="582C83"/>
            </w:tcBorders>
          </w:tcPr>
          <w:p>
            <w:pPr>
              <w:spacing w:after="0"/>
              <w:rPr>
                <w:sz w:val="15"/>
                <w:szCs w:val="15"/>
                <w:color w:val="auto"/>
              </w:rPr>
            </w:pPr>
          </w:p>
        </w:tc>
        <w:tc>
          <w:tcPr>
            <w:tcW w:w="1980" w:type="dxa"/>
            <w:vAlign w:val="bottom"/>
            <w:tcBorders>
              <w:right w:val="single" w:sz="8" w:color="582C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4200" w:type="dxa"/>
            <w:vAlign w:val="bottom"/>
            <w:tcBorders>
              <w:right w:val="single" w:sz="8" w:color="582C83"/>
            </w:tcBorders>
            <w:vMerge w:val="continue"/>
          </w:tcPr>
          <w:p>
            <w:pPr>
              <w:spacing w:after="0"/>
              <w:rPr>
                <w:sz w:val="14"/>
                <w:szCs w:val="14"/>
                <w:color w:val="auto"/>
              </w:rPr>
            </w:pPr>
          </w:p>
        </w:tc>
        <w:tc>
          <w:tcPr>
            <w:tcW w:w="2000" w:type="dxa"/>
            <w:vAlign w:val="bottom"/>
            <w:tcBorders>
              <w:right w:val="single" w:sz="8" w:color="582C83"/>
            </w:tcBorders>
            <w:vMerge w:val="continue"/>
          </w:tcPr>
          <w:p>
            <w:pPr>
              <w:spacing w:after="0"/>
              <w:rPr>
                <w:sz w:val="14"/>
                <w:szCs w:val="14"/>
                <w:color w:val="auto"/>
              </w:rPr>
            </w:pPr>
          </w:p>
        </w:tc>
        <w:tc>
          <w:tcPr>
            <w:tcW w:w="1980" w:type="dxa"/>
            <w:vAlign w:val="bottom"/>
            <w:tcBorders>
              <w:right w:val="single" w:sz="8" w:color="582C83"/>
            </w:tcBorders>
          </w:tcPr>
          <w:p>
            <w:pPr>
              <w:spacing w:after="0"/>
              <w:rPr>
                <w:sz w:val="14"/>
                <w:szCs w:val="14"/>
                <w:color w:val="auto"/>
              </w:rPr>
            </w:pPr>
          </w:p>
        </w:tc>
        <w:tc>
          <w:tcPr>
            <w:tcW w:w="1980" w:type="dxa"/>
            <w:vAlign w:val="bottom"/>
            <w:tcBorders>
              <w:right w:val="single" w:sz="8" w:color="582C83"/>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080" w:type="dxa"/>
            <w:vAlign w:val="bottom"/>
            <w:tcBorders>
              <w:left w:val="single" w:sz="8" w:color="582C83"/>
              <w:bottom w:val="single" w:sz="8" w:color="582C83"/>
              <w:right w:val="single" w:sz="8" w:color="582C83"/>
            </w:tcBorders>
          </w:tcPr>
          <w:p>
            <w:pPr>
              <w:spacing w:after="0"/>
              <w:rPr>
                <w:sz w:val="5"/>
                <w:szCs w:val="5"/>
                <w:color w:val="auto"/>
              </w:rPr>
            </w:pPr>
          </w:p>
        </w:tc>
        <w:tc>
          <w:tcPr>
            <w:tcW w:w="4200" w:type="dxa"/>
            <w:vAlign w:val="bottom"/>
            <w:tcBorders>
              <w:bottom w:val="single" w:sz="8" w:color="58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1980" w:type="dxa"/>
            <w:vAlign w:val="bottom"/>
            <w:tcBorders>
              <w:bottom w:val="single" w:sz="8" w:color="582C83"/>
              <w:right w:val="single" w:sz="8" w:color="582C83"/>
            </w:tcBorders>
          </w:tcPr>
          <w:p>
            <w:pPr>
              <w:spacing w:after="0"/>
              <w:rPr>
                <w:sz w:val="5"/>
                <w:szCs w:val="5"/>
                <w:color w:val="auto"/>
              </w:rPr>
            </w:pPr>
          </w:p>
        </w:tc>
        <w:tc>
          <w:tcPr>
            <w:tcW w:w="198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61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right="180" w:hanging="158"/>
        <w:spacing w:after="0" w:line="245" w:lineRule="auto"/>
        <w:tabs>
          <w:tab w:leader="none" w:pos="260" w:val="left"/>
        </w:tabs>
        <w:numPr>
          <w:ilvl w:val="0"/>
          <w:numId w:val="11"/>
        </w:numPr>
        <w:rPr>
          <w:rFonts w:ascii="Arial" w:cs="Arial" w:eastAsia="Arial" w:hAnsi="Arial"/>
          <w:sz w:val="22"/>
          <w:szCs w:val="22"/>
          <w:color w:val="582C83"/>
        </w:rPr>
      </w:pPr>
      <w:r>
        <w:rPr>
          <w:rFonts w:ascii="Arial" w:cs="Arial" w:eastAsia="Arial" w:hAnsi="Arial"/>
          <w:sz w:val="22"/>
          <w:szCs w:val="22"/>
          <w:color w:val="auto"/>
        </w:rPr>
        <w:t>Ms. Cousin has more than 40 years of national and international non-profit, government and corporate leadership experience, including leading the world’s largest humanitarian organization, the United Nations World Food Program, in Rome.</w:t>
      </w:r>
    </w:p>
    <w:p>
      <w:pPr>
        <w:spacing w:after="0" w:line="8" w:lineRule="exact"/>
        <w:rPr>
          <w:rFonts w:ascii="Arial" w:cs="Arial" w:eastAsia="Arial" w:hAnsi="Arial"/>
          <w:sz w:val="22"/>
          <w:szCs w:val="22"/>
          <w:color w:val="582C83"/>
        </w:rPr>
      </w:pPr>
    </w:p>
    <w:p>
      <w:pPr>
        <w:ind w:left="260" w:right="200" w:hanging="158"/>
        <w:spacing w:after="0" w:line="245" w:lineRule="auto"/>
        <w:tabs>
          <w:tab w:leader="none" w:pos="260" w:val="left"/>
        </w:tabs>
        <w:numPr>
          <w:ilvl w:val="0"/>
          <w:numId w:val="11"/>
        </w:numPr>
        <w:rPr>
          <w:rFonts w:ascii="Arial" w:cs="Arial" w:eastAsia="Arial" w:hAnsi="Arial"/>
          <w:sz w:val="22"/>
          <w:szCs w:val="22"/>
          <w:color w:val="582C83"/>
        </w:rPr>
      </w:pPr>
      <w:r>
        <w:rPr>
          <w:rFonts w:ascii="Arial" w:cs="Arial" w:eastAsia="Arial" w:hAnsi="Arial"/>
          <w:sz w:val="22"/>
          <w:szCs w:val="22"/>
          <w:color w:val="auto"/>
        </w:rPr>
        <w:t>Ms. Cousin served as U.S. Ambassador to the U.N. Agencies for Food and Agriculture in Rome, representing U.S. interests in global leader discussions regarding humanitarian and development activities, and she served as the U.S. Representative for all food, agriculture and nutrition-related issues.</w:t>
      </w:r>
    </w:p>
    <w:p>
      <w:pPr>
        <w:spacing w:after="0" w:line="8" w:lineRule="exact"/>
        <w:rPr>
          <w:rFonts w:ascii="Arial" w:cs="Arial" w:eastAsia="Arial" w:hAnsi="Arial"/>
          <w:sz w:val="22"/>
          <w:szCs w:val="22"/>
          <w:color w:val="582C83"/>
        </w:rPr>
      </w:pPr>
    </w:p>
    <w:p>
      <w:pPr>
        <w:ind w:left="260" w:right="500" w:hanging="158"/>
        <w:spacing w:after="0" w:line="259" w:lineRule="auto"/>
        <w:tabs>
          <w:tab w:leader="none" w:pos="260" w:val="left"/>
        </w:tabs>
        <w:numPr>
          <w:ilvl w:val="0"/>
          <w:numId w:val="11"/>
        </w:numPr>
        <w:rPr>
          <w:rFonts w:ascii="Arial" w:cs="Arial" w:eastAsia="Arial" w:hAnsi="Arial"/>
          <w:sz w:val="21"/>
          <w:szCs w:val="21"/>
          <w:color w:val="582C83"/>
        </w:rPr>
      </w:pPr>
      <w:r>
        <w:rPr>
          <w:rFonts w:ascii="Arial" w:cs="Arial" w:eastAsia="Arial" w:hAnsi="Arial"/>
          <w:sz w:val="21"/>
          <w:szCs w:val="21"/>
          <w:color w:val="auto"/>
        </w:rPr>
        <w:t>As Executive Vice President and Chief Operating Officer, Ms. Cousin led the national operations of the largest U.S. hunger relief organization, America’s Second Harvest (now Feeding America). She also has corporate leadership experience from serving as a member of Albertsons Companies, Inc.’s executive leadership team.</w:t>
      </w:r>
    </w:p>
    <w:p>
      <w:pPr>
        <w:spacing w:after="0" w:line="1" w:lineRule="exact"/>
        <w:rPr>
          <w:rFonts w:ascii="Arial" w:cs="Arial" w:eastAsia="Arial" w:hAnsi="Arial"/>
          <w:sz w:val="21"/>
          <w:szCs w:val="21"/>
          <w:color w:val="582C83"/>
        </w:rPr>
      </w:pPr>
    </w:p>
    <w:p>
      <w:pPr>
        <w:ind w:left="260" w:right="660" w:hanging="158"/>
        <w:spacing w:after="0" w:line="259" w:lineRule="auto"/>
        <w:tabs>
          <w:tab w:leader="none" w:pos="260" w:val="left"/>
        </w:tabs>
        <w:numPr>
          <w:ilvl w:val="0"/>
          <w:numId w:val="11"/>
        </w:numPr>
        <w:rPr>
          <w:rFonts w:ascii="Arial" w:cs="Arial" w:eastAsia="Arial" w:hAnsi="Arial"/>
          <w:sz w:val="22"/>
          <w:szCs w:val="22"/>
          <w:color w:val="582C83"/>
        </w:rPr>
      </w:pPr>
      <w:r>
        <w:rPr>
          <w:rFonts w:ascii="Arial" w:cs="Arial" w:eastAsia="Arial" w:hAnsi="Arial"/>
          <w:sz w:val="22"/>
          <w:szCs w:val="22"/>
          <w:color w:val="auto"/>
        </w:rPr>
        <w:t>Ms. Cousin has public company executive, board and corporate governance experience. She is a director of Bayer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23430" cy="25717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23430" cy="2571750"/>
                    </a:xfrm>
                    <a:prstGeom prst="rect">
                      <a:avLst/>
                    </a:prstGeom>
                    <a:noFill/>
                  </pic:spPr>
                </pic:pic>
              </a:graphicData>
            </a:graphic>
          </wp:anchor>
        </w:drawing>
      </w:r>
    </w:p>
    <w:p>
      <w:pPr>
        <w:spacing w:after="0" w:line="82" w:lineRule="exact"/>
        <w:rPr>
          <w:sz w:val="20"/>
          <w:szCs w:val="20"/>
          <w:color w:val="auto"/>
        </w:rPr>
      </w:pPr>
    </w:p>
    <w:p>
      <w:pPr>
        <w:ind w:left="120" w:right="100"/>
        <w:spacing w:after="0" w:line="246" w:lineRule="auto"/>
        <w:rPr>
          <w:sz w:val="20"/>
          <w:szCs w:val="20"/>
          <w:color w:val="auto"/>
        </w:rPr>
      </w:pPr>
      <w:r>
        <w:rPr>
          <w:rFonts w:ascii="Arial" w:cs="Arial" w:eastAsia="Arial" w:hAnsi="Arial"/>
          <w:sz w:val="21"/>
          <w:szCs w:val="21"/>
          <w:color w:val="auto"/>
        </w:rPr>
        <w:t>Since September 2019, Ms. Cousin has served as Founder, President and Chief Executive Officer of Food Systems For The Future Institute, a non-profit organization to catalyze, enable and scale market-driven agtech, foodtech and food innovations, and also as Visiting Scholar, Spogli Institute for the Study of International Relations, Center for Food and Environment at Stanford University. She has served as Distinguished Fellow of The Chicago Council on Global Affairs, a global affairs think tank, since June 2017. Ms. Cousin previously served at Stanford University as Payne Distinguished Lecturer and Visiting Fellow, Spogli Institute for the Study of International Relations, Center for Food and Environment from September 2017 to June 2019. From April 2012 to April 2017, Ms. Cousin served as Executive Director of the United Nations World Food Programme, the food-assistance branch of the United Nations, and she served as Ambassador and Permanent Representative to the United Nations Food and Agriculture Agencies on behalf of the U.S. Department of State from August 2009 to April 2012.</w:t>
      </w:r>
    </w:p>
    <w:p>
      <w:pPr>
        <w:spacing w:after="0" w:line="90" w:lineRule="exact"/>
        <w:rPr>
          <w:sz w:val="20"/>
          <w:szCs w:val="20"/>
          <w:color w:val="auto"/>
        </w:rPr>
      </w:pPr>
    </w:p>
    <w:p>
      <w:pPr>
        <w:ind w:left="120" w:right="180"/>
        <w:spacing w:after="0" w:line="238" w:lineRule="auto"/>
        <w:rPr>
          <w:sz w:val="20"/>
          <w:szCs w:val="20"/>
          <w:color w:val="auto"/>
        </w:rPr>
      </w:pPr>
      <w:r>
        <w:rPr>
          <w:rFonts w:ascii="Arial" w:cs="Arial" w:eastAsia="Arial" w:hAnsi="Arial"/>
          <w:sz w:val="22"/>
          <w:szCs w:val="22"/>
          <w:color w:val="auto"/>
        </w:rPr>
        <w:t>Ms. Cousin previously served in a variety of executive roles between 1987 and 2009, including Founding President and Chief Executive Officer of The Polk Street Group, a management services company; Executive Vice President and Chief Operating Officer of America's Second Harvest; Senior Vice President, Public Affairs for Albertsons Companies; White House Liaison and Special Advisor to the Secretary for the 2016 Olympics for the U.S. Department of State; and Assistant Attorney General for The State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Lois D. Juliber</w:t>
            </w:r>
          </w:p>
        </w:tc>
        <w:tc>
          <w:tcPr>
            <w:tcW w:w="200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Age 73</w:t>
            </w:r>
          </w:p>
        </w:tc>
        <w:tc>
          <w:tcPr>
            <w:tcW w:w="1980" w:type="dxa"/>
            <w:vAlign w:val="bottom"/>
            <w:tcBorders>
              <w:top w:val="single" w:sz="8" w:color="582C83"/>
              <w:right w:val="single" w:sz="8" w:color="582C83"/>
            </w:tcBorders>
          </w:tcPr>
          <w:p>
            <w:pPr>
              <w:spacing w:after="0"/>
              <w:rPr>
                <w:sz w:val="24"/>
                <w:szCs w:val="24"/>
                <w:color w:val="auto"/>
              </w:rPr>
            </w:pPr>
          </w:p>
        </w:tc>
        <w:tc>
          <w:tcPr>
            <w:tcW w:w="1980" w:type="dxa"/>
            <w:vAlign w:val="bottom"/>
            <w:tcBorders>
              <w:top w:val="single" w:sz="8" w:color="582C83"/>
              <w:right w:val="single" w:sz="8" w:color="582C83"/>
            </w:tcBorders>
          </w:tcPr>
          <w:p>
            <w:pPr>
              <w:ind w:left="54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217"/>
        </w:trPr>
        <w:tc>
          <w:tcPr>
            <w:tcW w:w="1080" w:type="dxa"/>
            <w:vAlign w:val="bottom"/>
            <w:tcBorders>
              <w:left w:val="single" w:sz="8" w:color="582C83"/>
              <w:right w:val="single" w:sz="8" w:color="582C83"/>
            </w:tcBorders>
          </w:tcPr>
          <w:p>
            <w:pPr>
              <w:spacing w:after="0"/>
              <w:rPr>
                <w:sz w:val="18"/>
                <w:szCs w:val="18"/>
                <w:color w:val="auto"/>
              </w:rPr>
            </w:pPr>
          </w:p>
        </w:tc>
        <w:tc>
          <w:tcPr>
            <w:tcW w:w="4200" w:type="dxa"/>
            <w:vAlign w:val="bottom"/>
            <w:tcBorders>
              <w:right w:val="single" w:sz="8" w:color="582C83"/>
            </w:tcBorders>
            <w:vMerge w:val="continue"/>
          </w:tcPr>
          <w:p>
            <w:pPr>
              <w:spacing w:after="0"/>
              <w:rPr>
                <w:sz w:val="18"/>
                <w:szCs w:val="18"/>
                <w:color w:val="auto"/>
              </w:rPr>
            </w:pPr>
          </w:p>
        </w:tc>
        <w:tc>
          <w:tcPr>
            <w:tcW w:w="2000" w:type="dxa"/>
            <w:vAlign w:val="bottom"/>
            <w:tcBorders>
              <w:right w:val="single" w:sz="8" w:color="582C83"/>
            </w:tcBorders>
            <w:vMerge w:val="continue"/>
          </w:tcPr>
          <w:p>
            <w:pPr>
              <w:spacing w:after="0"/>
              <w:rPr>
                <w:sz w:val="18"/>
                <w:szCs w:val="18"/>
                <w:color w:val="auto"/>
              </w:rPr>
            </w:pPr>
          </w:p>
        </w:tc>
        <w:tc>
          <w:tcPr>
            <w:tcW w:w="1980" w:type="dxa"/>
            <w:vAlign w:val="bottom"/>
            <w:tcBorders>
              <w:right w:val="single" w:sz="8" w:color="582C83"/>
            </w:tcBorders>
          </w:tcPr>
          <w:p>
            <w:pPr>
              <w:spacing w:after="0"/>
              <w:rPr>
                <w:sz w:val="18"/>
                <w:szCs w:val="18"/>
                <w:color w:val="auto"/>
              </w:rPr>
            </w:pPr>
          </w:p>
        </w:tc>
        <w:tc>
          <w:tcPr>
            <w:tcW w:w="1980" w:type="dxa"/>
            <w:vAlign w:val="bottom"/>
            <w:tcBorders>
              <w:right w:val="single" w:sz="8" w:color="582C83"/>
            </w:tcBorders>
          </w:tcPr>
          <w:p>
            <w:pPr>
              <w:ind w:left="220"/>
              <w:spacing w:after="0" w:line="218" w:lineRule="exact"/>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283"/>
        </w:trPr>
        <w:tc>
          <w:tcPr>
            <w:tcW w:w="1080" w:type="dxa"/>
            <w:vAlign w:val="bottom"/>
            <w:tcBorders>
              <w:left w:val="single" w:sz="8" w:color="582C83"/>
              <w:right w:val="single" w:sz="8" w:color="582C83"/>
            </w:tcBorders>
          </w:tcPr>
          <w:p>
            <w:pPr>
              <w:spacing w:after="0"/>
              <w:rPr>
                <w:sz w:val="24"/>
                <w:szCs w:val="24"/>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Former Vice Chairman and Chief</w:t>
            </w: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8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tcPr>
          <w:p>
            <w:pPr>
              <w:ind w:left="22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Governance</w:t>
            </w:r>
          </w:p>
        </w:tc>
        <w:tc>
          <w:tcPr>
            <w:tcW w:w="0" w:type="dxa"/>
            <w:vAlign w:val="bottom"/>
          </w:tcPr>
          <w:p>
            <w:pPr>
              <w:spacing w:after="0"/>
              <w:rPr>
                <w:sz w:val="1"/>
                <w:szCs w:val="1"/>
                <w:color w:val="auto"/>
              </w:rPr>
            </w:pPr>
          </w:p>
        </w:tc>
      </w:tr>
      <w:tr>
        <w:trPr>
          <w:trHeight w:val="161"/>
        </w:trPr>
        <w:tc>
          <w:tcPr>
            <w:tcW w:w="1080" w:type="dxa"/>
            <w:vAlign w:val="bottom"/>
            <w:tcBorders>
              <w:left w:val="single" w:sz="8" w:color="582C83"/>
              <w:right w:val="single" w:sz="8" w:color="582C83"/>
            </w:tcBorders>
          </w:tcPr>
          <w:p>
            <w:pPr>
              <w:spacing w:after="0"/>
              <w:rPr>
                <w:sz w:val="14"/>
                <w:szCs w:val="14"/>
                <w:color w:val="auto"/>
              </w:rPr>
            </w:pPr>
          </w:p>
        </w:tc>
        <w:tc>
          <w:tcPr>
            <w:tcW w:w="4200" w:type="dxa"/>
            <w:vAlign w:val="bottom"/>
            <w:tcBorders>
              <w:right w:val="single" w:sz="8" w:color="582C83"/>
            </w:tcBorders>
            <w:vMerge w:val="restart"/>
          </w:tcPr>
          <w:p>
            <w:pPr>
              <w:ind w:left="180"/>
              <w:spacing w:after="0" w:line="250" w:lineRule="exact"/>
              <w:rPr>
                <w:sz w:val="20"/>
                <w:szCs w:val="20"/>
                <w:color w:val="auto"/>
              </w:rPr>
            </w:pPr>
            <w:r>
              <w:rPr>
                <w:rFonts w:ascii="Arial" w:cs="Arial" w:eastAsia="Arial" w:hAnsi="Arial"/>
                <w:sz w:val="22"/>
                <w:szCs w:val="22"/>
                <w:i w:val="1"/>
                <w:iCs w:val="1"/>
                <w:color w:val="auto"/>
              </w:rPr>
              <w:t>Operating Officer, Colgate-Palmolive</w:t>
            </w:r>
          </w:p>
        </w:tc>
        <w:tc>
          <w:tcPr>
            <w:tcW w:w="2000" w:type="dxa"/>
            <w:vAlign w:val="bottom"/>
            <w:tcBorders>
              <w:right w:val="single" w:sz="8" w:color="582C83"/>
            </w:tcBorders>
            <w:vMerge w:val="restart"/>
          </w:tcPr>
          <w:p>
            <w:pPr>
              <w:jc w:val="center"/>
              <w:spacing w:after="0" w:line="250" w:lineRule="exact"/>
              <w:rPr>
                <w:sz w:val="20"/>
                <w:szCs w:val="20"/>
                <w:color w:val="auto"/>
              </w:rPr>
            </w:pPr>
            <w:r>
              <w:rPr>
                <w:rFonts w:ascii="Arial" w:cs="Arial" w:eastAsia="Arial" w:hAnsi="Arial"/>
                <w:sz w:val="22"/>
                <w:szCs w:val="22"/>
                <w:color w:val="auto"/>
                <w:w w:val="98"/>
              </w:rPr>
              <w:t>November 2007</w:t>
            </w:r>
          </w:p>
        </w:tc>
        <w:tc>
          <w:tcPr>
            <w:tcW w:w="1980" w:type="dxa"/>
            <w:vAlign w:val="bottom"/>
            <w:tcBorders>
              <w:right w:val="single" w:sz="8" w:color="582C83"/>
            </w:tcBorders>
            <w:vMerge w:val="continue"/>
          </w:tcPr>
          <w:p>
            <w:pPr>
              <w:spacing w:after="0"/>
              <w:rPr>
                <w:sz w:val="14"/>
                <w:szCs w:val="14"/>
                <w:color w:val="auto"/>
              </w:rPr>
            </w:pPr>
          </w:p>
        </w:tc>
        <w:tc>
          <w:tcPr>
            <w:tcW w:w="1980" w:type="dxa"/>
            <w:vAlign w:val="bottom"/>
            <w:tcBorders>
              <w:right w:val="single" w:sz="8" w:color="582C83"/>
            </w:tcBorders>
            <w:vMerge w:val="restart"/>
          </w:tcPr>
          <w:p>
            <w:pPr>
              <w:ind w:left="220"/>
              <w:spacing w:after="0" w:line="250"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People and</w:t>
            </w:r>
          </w:p>
        </w:tc>
        <w:tc>
          <w:tcPr>
            <w:tcW w:w="0" w:type="dxa"/>
            <w:vAlign w:val="bottom"/>
          </w:tcPr>
          <w:p>
            <w:pPr>
              <w:spacing w:after="0"/>
              <w:rPr>
                <w:sz w:val="1"/>
                <w:szCs w:val="1"/>
                <w:color w:val="auto"/>
              </w:rPr>
            </w:pPr>
          </w:p>
        </w:tc>
      </w:tr>
      <w:tr>
        <w:trPr>
          <w:trHeight w:val="89"/>
        </w:trPr>
        <w:tc>
          <w:tcPr>
            <w:tcW w:w="1080" w:type="dxa"/>
            <w:vAlign w:val="bottom"/>
            <w:tcBorders>
              <w:left w:val="single" w:sz="8" w:color="582C83"/>
              <w:right w:val="single" w:sz="8" w:color="582C83"/>
            </w:tcBorders>
          </w:tcPr>
          <w:p>
            <w:pPr>
              <w:spacing w:after="0"/>
              <w:rPr>
                <w:sz w:val="7"/>
                <w:szCs w:val="7"/>
                <w:color w:val="auto"/>
              </w:rPr>
            </w:pPr>
          </w:p>
        </w:tc>
        <w:tc>
          <w:tcPr>
            <w:tcW w:w="4200" w:type="dxa"/>
            <w:vAlign w:val="bottom"/>
            <w:tcBorders>
              <w:right w:val="single" w:sz="8" w:color="582C83"/>
            </w:tcBorders>
            <w:vMerge w:val="continue"/>
          </w:tcPr>
          <w:p>
            <w:pPr>
              <w:spacing w:after="0"/>
              <w:rPr>
                <w:sz w:val="7"/>
                <w:szCs w:val="7"/>
                <w:color w:val="auto"/>
              </w:rPr>
            </w:pPr>
          </w:p>
        </w:tc>
        <w:tc>
          <w:tcPr>
            <w:tcW w:w="2000" w:type="dxa"/>
            <w:vAlign w:val="bottom"/>
            <w:tcBorders>
              <w:right w:val="single" w:sz="8" w:color="582C83"/>
            </w:tcBorders>
            <w:vMerge w:val="continue"/>
          </w:tcPr>
          <w:p>
            <w:pPr>
              <w:spacing w:after="0"/>
              <w:rPr>
                <w:sz w:val="7"/>
                <w:szCs w:val="7"/>
                <w:color w:val="auto"/>
              </w:rPr>
            </w:pPr>
          </w:p>
        </w:tc>
        <w:tc>
          <w:tcPr>
            <w:tcW w:w="1980" w:type="dxa"/>
            <w:vAlign w:val="bottom"/>
            <w:tcBorders>
              <w:right w:val="single" w:sz="8" w:color="582C83"/>
            </w:tcBorders>
          </w:tcPr>
          <w:p>
            <w:pPr>
              <w:spacing w:after="0"/>
              <w:rPr>
                <w:sz w:val="7"/>
                <w:szCs w:val="7"/>
                <w:color w:val="auto"/>
              </w:rPr>
            </w:pPr>
          </w:p>
        </w:tc>
        <w:tc>
          <w:tcPr>
            <w:tcW w:w="1980" w:type="dxa"/>
            <w:vAlign w:val="bottom"/>
            <w:tcBorders>
              <w:right w:val="single" w:sz="8" w:color="582C83"/>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1080" w:type="dxa"/>
            <w:vAlign w:val="bottom"/>
            <w:tcBorders>
              <w:left w:val="single" w:sz="8" w:color="582C83"/>
              <w:right w:val="single" w:sz="8" w:color="582C83"/>
            </w:tcBorders>
          </w:tcPr>
          <w:p>
            <w:pPr>
              <w:spacing w:after="0"/>
              <w:rPr>
                <w:sz w:val="24"/>
                <w:szCs w:val="24"/>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Company</w:t>
            </w: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2"/>
                <w:szCs w:val="22"/>
                <w:color w:val="auto"/>
                <w:w w:val="98"/>
              </w:rPr>
              <w:t>White/Female</w:t>
            </w:r>
          </w:p>
        </w:tc>
        <w:tc>
          <w:tcPr>
            <w:tcW w:w="1980" w:type="dxa"/>
            <w:vAlign w:val="bottom"/>
            <w:tcBorders>
              <w:right w:val="single" w:sz="8" w:color="582C83"/>
            </w:tcBorders>
          </w:tcPr>
          <w:p>
            <w:pPr>
              <w:spacing w:after="0"/>
              <w:rPr>
                <w:sz w:val="24"/>
                <w:szCs w:val="24"/>
                <w:color w:val="auto"/>
              </w:rPr>
            </w:pPr>
          </w:p>
        </w:tc>
        <w:tc>
          <w:tcPr>
            <w:tcW w:w="1980" w:type="dxa"/>
            <w:vAlign w:val="bottom"/>
            <w:tcBorders>
              <w:right w:val="single" w:sz="8" w:color="582C83"/>
            </w:tcBorders>
          </w:tcPr>
          <w:p>
            <w:pPr>
              <w:ind w:left="220"/>
              <w:spacing w:after="0"/>
              <w:rPr>
                <w:sz w:val="20"/>
                <w:szCs w:val="20"/>
                <w:color w:val="auto"/>
              </w:rPr>
            </w:pPr>
            <w:r>
              <w:rPr>
                <w:rFonts w:ascii="Arial" w:cs="Arial" w:eastAsia="Arial" w:hAnsi="Arial"/>
                <w:sz w:val="22"/>
                <w:szCs w:val="22"/>
                <w:color w:val="auto"/>
              </w:rPr>
              <w:t>Compensation</w:t>
            </w:r>
          </w:p>
        </w:tc>
        <w:tc>
          <w:tcPr>
            <w:tcW w:w="0" w:type="dxa"/>
            <w:vAlign w:val="bottom"/>
          </w:tcPr>
          <w:p>
            <w:pPr>
              <w:spacing w:after="0"/>
              <w:rPr>
                <w:sz w:val="1"/>
                <w:szCs w:val="1"/>
                <w:color w:val="auto"/>
              </w:rPr>
            </w:pPr>
          </w:p>
        </w:tc>
      </w:tr>
      <w:tr>
        <w:trPr>
          <w:trHeight w:val="290"/>
        </w:trPr>
        <w:tc>
          <w:tcPr>
            <w:tcW w:w="1080" w:type="dxa"/>
            <w:vAlign w:val="bottom"/>
            <w:tcBorders>
              <w:left w:val="single" w:sz="8" w:color="582C83"/>
              <w:bottom w:val="single" w:sz="8" w:color="582C83"/>
              <w:right w:val="single" w:sz="8" w:color="582C83"/>
            </w:tcBorders>
          </w:tcPr>
          <w:p>
            <w:pPr>
              <w:spacing w:after="0"/>
              <w:rPr>
                <w:sz w:val="24"/>
                <w:szCs w:val="24"/>
                <w:color w:val="auto"/>
              </w:rPr>
            </w:pPr>
          </w:p>
        </w:tc>
        <w:tc>
          <w:tcPr>
            <w:tcW w:w="4200" w:type="dxa"/>
            <w:vAlign w:val="bottom"/>
            <w:tcBorders>
              <w:bottom w:val="single" w:sz="8" w:color="582C83"/>
              <w:right w:val="single" w:sz="8" w:color="582C83"/>
            </w:tcBorders>
          </w:tcPr>
          <w:p>
            <w:pPr>
              <w:spacing w:after="0"/>
              <w:rPr>
                <w:sz w:val="24"/>
                <w:szCs w:val="24"/>
                <w:color w:val="auto"/>
              </w:rPr>
            </w:pPr>
          </w:p>
        </w:tc>
        <w:tc>
          <w:tcPr>
            <w:tcW w:w="2000" w:type="dxa"/>
            <w:vAlign w:val="bottom"/>
            <w:tcBorders>
              <w:bottom w:val="single" w:sz="8" w:color="582C83"/>
              <w:right w:val="single" w:sz="8" w:color="582C83"/>
            </w:tcBorders>
          </w:tcPr>
          <w:p>
            <w:pPr>
              <w:spacing w:after="0"/>
              <w:rPr>
                <w:sz w:val="24"/>
                <w:szCs w:val="24"/>
                <w:color w:val="auto"/>
              </w:rPr>
            </w:pPr>
          </w:p>
        </w:tc>
        <w:tc>
          <w:tcPr>
            <w:tcW w:w="1980" w:type="dxa"/>
            <w:vAlign w:val="bottom"/>
            <w:tcBorders>
              <w:bottom w:val="single" w:sz="8" w:color="582C83"/>
              <w:right w:val="single" w:sz="8" w:color="582C83"/>
            </w:tcBorders>
          </w:tcPr>
          <w:p>
            <w:pPr>
              <w:spacing w:after="0"/>
              <w:rPr>
                <w:sz w:val="24"/>
                <w:szCs w:val="24"/>
                <w:color w:val="auto"/>
              </w:rPr>
            </w:pPr>
          </w:p>
        </w:tc>
        <w:tc>
          <w:tcPr>
            <w:tcW w:w="1980" w:type="dxa"/>
            <w:vAlign w:val="bottom"/>
            <w:tcBorders>
              <w:bottom w:val="single" w:sz="8" w:color="582C83"/>
              <w:right w:val="single" w:sz="8" w:color="582C83"/>
            </w:tcBorders>
          </w:tcPr>
          <w:p>
            <w:pPr>
              <w:ind w:left="220"/>
              <w:spacing w:after="0"/>
              <w:rPr>
                <w:sz w:val="20"/>
                <w:szCs w:val="20"/>
                <w:color w:val="auto"/>
              </w:rPr>
            </w:pPr>
            <w:r>
              <w:rPr>
                <w:rFonts w:ascii="Arial" w:cs="Arial" w:eastAsia="Arial" w:hAnsi="Arial"/>
                <w:sz w:val="22"/>
                <w:szCs w:val="22"/>
                <w:color w:val="auto"/>
              </w:rPr>
              <w:t>(Chair)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right="960" w:hanging="158"/>
        <w:spacing w:after="0" w:line="256" w:lineRule="auto"/>
        <w:tabs>
          <w:tab w:leader="none" w:pos="260" w:val="left"/>
        </w:tabs>
        <w:numPr>
          <w:ilvl w:val="0"/>
          <w:numId w:val="12"/>
        </w:numPr>
        <w:rPr>
          <w:rFonts w:ascii="Arial" w:cs="Arial" w:eastAsia="Arial" w:hAnsi="Arial"/>
          <w:sz w:val="22"/>
          <w:szCs w:val="22"/>
          <w:color w:val="582C83"/>
        </w:rPr>
      </w:pPr>
      <w:r>
        <w:rPr>
          <w:rFonts w:ascii="Arial" w:cs="Arial" w:eastAsia="Arial" w:hAnsi="Arial"/>
          <w:sz w:val="22"/>
          <w:szCs w:val="22"/>
          <w:color w:val="auto"/>
        </w:rPr>
        <w:t>Ms. Juliber brings a global perspective and many years of experience in the food and consumer products industries.</w:t>
      </w:r>
    </w:p>
    <w:p>
      <w:pPr>
        <w:ind w:left="260" w:right="160" w:hanging="158"/>
        <w:spacing w:after="0" w:line="245" w:lineRule="auto"/>
        <w:tabs>
          <w:tab w:leader="none" w:pos="260" w:val="left"/>
        </w:tabs>
        <w:numPr>
          <w:ilvl w:val="0"/>
          <w:numId w:val="12"/>
        </w:numPr>
        <w:rPr>
          <w:rFonts w:ascii="Arial" w:cs="Arial" w:eastAsia="Arial" w:hAnsi="Arial"/>
          <w:sz w:val="22"/>
          <w:szCs w:val="22"/>
          <w:color w:val="582C83"/>
        </w:rPr>
      </w:pPr>
      <w:r>
        <w:rPr>
          <w:rFonts w:ascii="Arial" w:cs="Arial" w:eastAsia="Arial" w:hAnsi="Arial"/>
          <w:sz w:val="22"/>
          <w:szCs w:val="22"/>
          <w:color w:val="auto"/>
        </w:rPr>
        <w:t>As Vice Chairman and Chief Operating Officer of Colgate-Palmolive, she was responsible for Colgate-Palmolive’s business around the world as well as the company's growth functions, including global marketing and business development, research and development, supply chain operations and information technology.</w:t>
      </w:r>
    </w:p>
    <w:p>
      <w:pPr>
        <w:spacing w:after="0" w:line="8" w:lineRule="exact"/>
        <w:rPr>
          <w:rFonts w:ascii="Arial" w:cs="Arial" w:eastAsia="Arial" w:hAnsi="Arial"/>
          <w:sz w:val="22"/>
          <w:szCs w:val="22"/>
          <w:color w:val="582C83"/>
        </w:rPr>
      </w:pPr>
    </w:p>
    <w:p>
      <w:pPr>
        <w:ind w:left="260" w:right="160" w:hanging="158"/>
        <w:spacing w:after="0" w:line="256" w:lineRule="auto"/>
        <w:tabs>
          <w:tab w:leader="none" w:pos="260" w:val="left"/>
        </w:tabs>
        <w:numPr>
          <w:ilvl w:val="0"/>
          <w:numId w:val="12"/>
        </w:numPr>
        <w:rPr>
          <w:rFonts w:ascii="Arial" w:cs="Arial" w:eastAsia="Arial" w:hAnsi="Arial"/>
          <w:sz w:val="22"/>
          <w:szCs w:val="22"/>
          <w:color w:val="582C83"/>
        </w:rPr>
      </w:pPr>
      <w:r>
        <w:rPr>
          <w:rFonts w:ascii="Arial" w:cs="Arial" w:eastAsia="Arial" w:hAnsi="Arial"/>
          <w:sz w:val="22"/>
          <w:szCs w:val="22"/>
          <w:color w:val="auto"/>
        </w:rPr>
        <w:t>Ms. Juliber is credited with leading the resurgence of Colgate-Palmolive’s Colgate North America business, which was marked by market share increases, highly successful new products and increased profitability.</w:t>
      </w:r>
    </w:p>
    <w:p>
      <w:pPr>
        <w:jc w:val="both"/>
        <w:ind w:left="260" w:right="660" w:hanging="158"/>
        <w:spacing w:after="0" w:line="245" w:lineRule="auto"/>
        <w:tabs>
          <w:tab w:leader="none" w:pos="260" w:val="left"/>
        </w:tabs>
        <w:numPr>
          <w:ilvl w:val="0"/>
          <w:numId w:val="12"/>
        </w:numPr>
        <w:rPr>
          <w:rFonts w:ascii="Arial" w:cs="Arial" w:eastAsia="Arial" w:hAnsi="Arial"/>
          <w:sz w:val="22"/>
          <w:szCs w:val="22"/>
          <w:color w:val="582C83"/>
        </w:rPr>
      </w:pPr>
      <w:r>
        <w:rPr>
          <w:rFonts w:ascii="Arial" w:cs="Arial" w:eastAsia="Arial" w:hAnsi="Arial"/>
          <w:sz w:val="22"/>
          <w:szCs w:val="22"/>
          <w:color w:val="auto"/>
        </w:rPr>
        <w:t>Ms. Juliber also has extensive public company board and corporate governance experience. Ms. Juliber is a former director of Corteva, Inc., DowDuPont Inc. (successor of E.I. du Pont de Nemours and Company) and Goldman Sachs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30480</wp:posOffset>
            </wp:positionV>
            <wp:extent cx="7123430" cy="13373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3430" cy="1337310"/>
                    </a:xfrm>
                    <a:prstGeom prst="rect">
                      <a:avLst/>
                    </a:prstGeom>
                    <a:noFill/>
                  </pic:spPr>
                </pic:pic>
              </a:graphicData>
            </a:graphic>
          </wp:anchor>
        </w:drawing>
      </w:r>
    </w:p>
    <w:p>
      <w:pPr>
        <w:spacing w:after="0" w:line="96" w:lineRule="exact"/>
        <w:rPr>
          <w:sz w:val="20"/>
          <w:szCs w:val="20"/>
          <w:color w:val="auto"/>
        </w:rPr>
      </w:pPr>
    </w:p>
    <w:p>
      <w:pPr>
        <w:ind w:left="120" w:right="280"/>
        <w:spacing w:after="0" w:line="238" w:lineRule="auto"/>
        <w:rPr>
          <w:sz w:val="20"/>
          <w:szCs w:val="20"/>
          <w:color w:val="auto"/>
        </w:rPr>
      </w:pPr>
      <w:r>
        <w:rPr>
          <w:rFonts w:ascii="Arial" w:cs="Arial" w:eastAsia="Arial" w:hAnsi="Arial"/>
          <w:sz w:val="22"/>
          <w:szCs w:val="22"/>
          <w:color w:val="auto"/>
        </w:rPr>
        <w:t>Ms. Juliber served as Vice Chairman of Colgate-Palmolive Company, a global consumer products company, from 2004 until her retirement in April 2005. She served as Colgate-Palmolive’s Chief Operating Officer from 2000 to 2004; Executive Vice President – North America and Europe from 1997 until 2000; President of Colgate North America from 1994 to 1997; Chief Technology Officer from 1991 until 1994; and was responsible for Colgate's Far East/Asia Division, from 1988 to 1991.</w:t>
      </w:r>
    </w:p>
    <w:p>
      <w:pPr>
        <w:spacing w:after="0" w:line="96" w:lineRule="exact"/>
        <w:rPr>
          <w:sz w:val="20"/>
          <w:szCs w:val="20"/>
          <w:color w:val="auto"/>
        </w:rPr>
      </w:pPr>
    </w:p>
    <w:p>
      <w:pPr>
        <w:ind w:left="120" w:right="520"/>
        <w:spacing w:after="0" w:line="259" w:lineRule="auto"/>
        <w:rPr>
          <w:sz w:val="20"/>
          <w:szCs w:val="20"/>
          <w:color w:val="auto"/>
        </w:rPr>
      </w:pPr>
      <w:r>
        <w:rPr>
          <w:rFonts w:ascii="Arial" w:cs="Arial" w:eastAsia="Arial" w:hAnsi="Arial"/>
          <w:sz w:val="22"/>
          <w:szCs w:val="22"/>
          <w:color w:val="auto"/>
        </w:rPr>
        <w:t>Prior to joining Colgate-Palmolive, Ms. Juliber spent 15 years at Mondelēz International’s predecessor, General Foods Corporation, in a variety of key marketing and general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Jorge S. Mesquita</w:t>
            </w:r>
          </w:p>
        </w:tc>
        <w:tc>
          <w:tcPr>
            <w:tcW w:w="20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color w:val="auto"/>
                <w:w w:val="97"/>
              </w:rPr>
              <w:t>Age 60</w:t>
            </w:r>
          </w:p>
        </w:tc>
        <w:tc>
          <w:tcPr>
            <w:tcW w:w="198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0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272"/>
        </w:trPr>
        <w:tc>
          <w:tcPr>
            <w:tcW w:w="1080" w:type="dxa"/>
            <w:vAlign w:val="bottom"/>
            <w:tcBorders>
              <w:left w:val="single" w:sz="8" w:color="582C83"/>
              <w:right w:val="single" w:sz="8" w:color="582C83"/>
            </w:tcBorders>
          </w:tcPr>
          <w:p>
            <w:pPr>
              <w:spacing w:after="0"/>
              <w:rPr>
                <w:sz w:val="23"/>
                <w:szCs w:val="23"/>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Former Chief Executive Officer,</w:t>
            </w: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8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gridSpan w:val="2"/>
          </w:tcPr>
          <w:p>
            <w:pPr>
              <w:ind w:left="22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74"/>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restart"/>
          </w:tcPr>
          <w:p>
            <w:pPr>
              <w:ind w:left="180"/>
              <w:spacing w:after="0" w:line="243" w:lineRule="exact"/>
              <w:rPr>
                <w:sz w:val="20"/>
                <w:szCs w:val="20"/>
                <w:color w:val="auto"/>
              </w:rPr>
            </w:pPr>
            <w:r>
              <w:rPr>
                <w:rFonts w:ascii="Arial" w:cs="Arial" w:eastAsia="Arial" w:hAnsi="Arial"/>
                <w:sz w:val="22"/>
                <w:szCs w:val="22"/>
                <w:i w:val="1"/>
                <w:iCs w:val="1"/>
                <w:color w:val="auto"/>
              </w:rPr>
              <w:t>BlueTriton Brands, Inc. (as of March 21,</w:t>
            </w:r>
          </w:p>
        </w:tc>
        <w:tc>
          <w:tcPr>
            <w:tcW w:w="2000" w:type="dxa"/>
            <w:vAlign w:val="bottom"/>
            <w:tcBorders>
              <w:right w:val="single" w:sz="8" w:color="582C83"/>
            </w:tcBorders>
            <w:vMerge w:val="restart"/>
          </w:tcPr>
          <w:p>
            <w:pPr>
              <w:jc w:val="center"/>
              <w:spacing w:after="0" w:line="243" w:lineRule="exact"/>
              <w:rPr>
                <w:sz w:val="20"/>
                <w:szCs w:val="20"/>
                <w:color w:val="auto"/>
              </w:rPr>
            </w:pPr>
            <w:r>
              <w:rPr>
                <w:rFonts w:ascii="Arial" w:cs="Arial" w:eastAsia="Arial" w:hAnsi="Arial"/>
                <w:sz w:val="22"/>
                <w:szCs w:val="22"/>
                <w:color w:val="auto"/>
                <w:w w:val="97"/>
              </w:rPr>
              <w:t>May 2012</w:t>
            </w:r>
          </w:p>
        </w:tc>
        <w:tc>
          <w:tcPr>
            <w:tcW w:w="1980" w:type="dxa"/>
            <w:vAlign w:val="bottom"/>
            <w:tcBorders>
              <w:right w:val="single" w:sz="8" w:color="582C83"/>
            </w:tcBorders>
            <w:vMerge w:val="continue"/>
          </w:tcPr>
          <w:p>
            <w:pPr>
              <w:spacing w:after="0"/>
              <w:rPr>
                <w:sz w:val="15"/>
                <w:szCs w:val="15"/>
                <w:color w:val="auto"/>
              </w:rPr>
            </w:pPr>
          </w:p>
        </w:tc>
        <w:tc>
          <w:tcPr>
            <w:tcW w:w="380" w:type="dxa"/>
            <w:vAlign w:val="bottom"/>
            <w:vMerge w:val="restart"/>
          </w:tcPr>
          <w:p>
            <w:pPr>
              <w:ind w:left="220"/>
              <w:spacing w:after="0" w:line="243" w:lineRule="exact"/>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60"/>
              <w:spacing w:after="0" w:line="243" w:lineRule="exact"/>
              <w:rPr>
                <w:sz w:val="20"/>
                <w:szCs w:val="20"/>
                <w:color w:val="auto"/>
              </w:rPr>
            </w:pPr>
            <w:r>
              <w:rPr>
                <w:rFonts w:ascii="Arial" w:cs="Arial" w:eastAsia="Arial" w:hAnsi="Arial"/>
                <w:sz w:val="22"/>
                <w:szCs w:val="22"/>
                <w:color w:val="auto"/>
              </w:rPr>
              <w:t>Audit</w:t>
            </w:r>
          </w:p>
        </w:tc>
        <w:tc>
          <w:tcPr>
            <w:tcW w:w="0" w:type="dxa"/>
            <w:vAlign w:val="bottom"/>
          </w:tcPr>
          <w:p>
            <w:pPr>
              <w:spacing w:after="0"/>
              <w:rPr>
                <w:sz w:val="1"/>
                <w:szCs w:val="1"/>
                <w:color w:val="auto"/>
              </w:rPr>
            </w:pPr>
          </w:p>
        </w:tc>
      </w:tr>
      <w:tr>
        <w:trPr>
          <w:trHeight w:val="69"/>
        </w:trPr>
        <w:tc>
          <w:tcPr>
            <w:tcW w:w="1080" w:type="dxa"/>
            <w:vAlign w:val="bottom"/>
            <w:tcBorders>
              <w:left w:val="single" w:sz="8" w:color="582C83"/>
              <w:right w:val="single" w:sz="8" w:color="582C83"/>
            </w:tcBorders>
          </w:tcPr>
          <w:p>
            <w:pPr>
              <w:spacing w:after="0"/>
              <w:rPr>
                <w:sz w:val="6"/>
                <w:szCs w:val="6"/>
                <w:color w:val="auto"/>
              </w:rPr>
            </w:pPr>
          </w:p>
        </w:tc>
        <w:tc>
          <w:tcPr>
            <w:tcW w:w="4200" w:type="dxa"/>
            <w:vAlign w:val="bottom"/>
            <w:tcBorders>
              <w:right w:val="single" w:sz="8" w:color="582C83"/>
            </w:tcBorders>
            <w:vMerge w:val="continue"/>
          </w:tcPr>
          <w:p>
            <w:pPr>
              <w:spacing w:after="0"/>
              <w:rPr>
                <w:sz w:val="6"/>
                <w:szCs w:val="6"/>
                <w:color w:val="auto"/>
              </w:rPr>
            </w:pPr>
          </w:p>
        </w:tc>
        <w:tc>
          <w:tcPr>
            <w:tcW w:w="2000" w:type="dxa"/>
            <w:vAlign w:val="bottom"/>
            <w:tcBorders>
              <w:right w:val="single" w:sz="8" w:color="582C83"/>
            </w:tcBorders>
            <w:vMerge w:val="continue"/>
          </w:tcPr>
          <w:p>
            <w:pPr>
              <w:spacing w:after="0"/>
              <w:rPr>
                <w:sz w:val="6"/>
                <w:szCs w:val="6"/>
                <w:color w:val="auto"/>
              </w:rPr>
            </w:pPr>
          </w:p>
        </w:tc>
        <w:tc>
          <w:tcPr>
            <w:tcW w:w="1980" w:type="dxa"/>
            <w:vAlign w:val="bottom"/>
            <w:tcBorders>
              <w:right w:val="single" w:sz="8" w:color="582C83"/>
            </w:tcBorders>
          </w:tcPr>
          <w:p>
            <w:pPr>
              <w:spacing w:after="0"/>
              <w:rPr>
                <w:sz w:val="6"/>
                <w:szCs w:val="6"/>
                <w:color w:val="auto"/>
              </w:rPr>
            </w:pPr>
          </w:p>
        </w:tc>
        <w:tc>
          <w:tcPr>
            <w:tcW w:w="380" w:type="dxa"/>
            <w:vAlign w:val="bottom"/>
            <w:vMerge w:val="continue"/>
          </w:tcPr>
          <w:p>
            <w:pPr>
              <w:spacing w:after="0"/>
              <w:rPr>
                <w:sz w:val="6"/>
                <w:szCs w:val="6"/>
                <w:color w:val="auto"/>
              </w:rPr>
            </w:pPr>
          </w:p>
        </w:tc>
        <w:tc>
          <w:tcPr>
            <w:tcW w:w="1600" w:type="dxa"/>
            <w:vAlign w:val="bottom"/>
            <w:tcBorders>
              <w:right w:val="single" w:sz="8" w:color="582C8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1080" w:type="dxa"/>
            <w:vAlign w:val="bottom"/>
            <w:tcBorders>
              <w:left w:val="single" w:sz="8" w:color="582C83"/>
              <w:right w:val="single" w:sz="8" w:color="582C83"/>
            </w:tcBorders>
          </w:tcPr>
          <w:p>
            <w:pPr>
              <w:spacing w:after="0"/>
              <w:rPr>
                <w:sz w:val="24"/>
                <w:szCs w:val="24"/>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2022)</w:t>
            </w:r>
          </w:p>
        </w:tc>
        <w:tc>
          <w:tcPr>
            <w:tcW w:w="2000" w:type="dxa"/>
            <w:vAlign w:val="bottom"/>
            <w:tcBorders>
              <w:right w:val="single" w:sz="8" w:color="582C83"/>
            </w:tcBorders>
          </w:tcPr>
          <w:p>
            <w:pPr>
              <w:jc w:val="center"/>
              <w:spacing w:after="0"/>
              <w:rPr>
                <w:sz w:val="20"/>
                <w:szCs w:val="20"/>
                <w:color w:val="auto"/>
              </w:rPr>
            </w:pPr>
            <w:r>
              <w:rPr>
                <w:rFonts w:ascii="Arial" w:cs="Arial" w:eastAsia="Arial" w:hAnsi="Arial"/>
                <w:sz w:val="22"/>
                <w:szCs w:val="22"/>
                <w:color w:val="auto"/>
                <w:w w:val="98"/>
              </w:rPr>
              <w:t>White/Male</w:t>
            </w:r>
          </w:p>
        </w:tc>
        <w:tc>
          <w:tcPr>
            <w:tcW w:w="1980" w:type="dxa"/>
            <w:vAlign w:val="bottom"/>
            <w:tcBorders>
              <w:right w:val="single" w:sz="8" w:color="582C83"/>
            </w:tcBorders>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Governance</w:t>
            </w:r>
          </w:p>
        </w:tc>
        <w:tc>
          <w:tcPr>
            <w:tcW w:w="0" w:type="dxa"/>
            <w:vAlign w:val="bottom"/>
          </w:tcPr>
          <w:p>
            <w:pPr>
              <w:spacing w:after="0"/>
              <w:rPr>
                <w:sz w:val="1"/>
                <w:szCs w:val="1"/>
                <w:color w:val="auto"/>
              </w:rPr>
            </w:pPr>
          </w:p>
        </w:tc>
      </w:tr>
      <w:tr>
        <w:trPr>
          <w:trHeight w:val="60"/>
        </w:trPr>
        <w:tc>
          <w:tcPr>
            <w:tcW w:w="1080" w:type="dxa"/>
            <w:vAlign w:val="bottom"/>
            <w:tcBorders>
              <w:left w:val="single" w:sz="8" w:color="582C83"/>
              <w:bottom w:val="single" w:sz="8" w:color="582C83"/>
              <w:right w:val="single" w:sz="8" w:color="582C83"/>
            </w:tcBorders>
          </w:tcPr>
          <w:p>
            <w:pPr>
              <w:spacing w:after="0"/>
              <w:rPr>
                <w:sz w:val="5"/>
                <w:szCs w:val="5"/>
                <w:color w:val="auto"/>
              </w:rPr>
            </w:pPr>
          </w:p>
        </w:tc>
        <w:tc>
          <w:tcPr>
            <w:tcW w:w="4200" w:type="dxa"/>
            <w:vAlign w:val="bottom"/>
            <w:tcBorders>
              <w:bottom w:val="single" w:sz="8" w:color="58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1980" w:type="dxa"/>
            <w:vAlign w:val="bottom"/>
            <w:tcBorders>
              <w:bottom w:val="single" w:sz="8" w:color="582C83"/>
              <w:right w:val="single" w:sz="8" w:color="582C83"/>
            </w:tcBorders>
          </w:tcPr>
          <w:p>
            <w:pPr>
              <w:spacing w:after="0"/>
              <w:rPr>
                <w:sz w:val="5"/>
                <w:szCs w:val="5"/>
                <w:color w:val="auto"/>
              </w:rPr>
            </w:pPr>
          </w:p>
        </w:tc>
        <w:tc>
          <w:tcPr>
            <w:tcW w:w="380" w:type="dxa"/>
            <w:vAlign w:val="bottom"/>
            <w:tcBorders>
              <w:bottom w:val="single" w:sz="8" w:color="582C83"/>
            </w:tcBorders>
          </w:tcPr>
          <w:p>
            <w:pPr>
              <w:spacing w:after="0"/>
              <w:rPr>
                <w:sz w:val="5"/>
                <w:szCs w:val="5"/>
                <w:color w:val="auto"/>
              </w:rPr>
            </w:pPr>
          </w:p>
        </w:tc>
        <w:tc>
          <w:tcPr>
            <w:tcW w:w="16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61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46" w:lineRule="exact"/>
        <w:rPr>
          <w:sz w:val="20"/>
          <w:szCs w:val="20"/>
          <w:color w:val="auto"/>
        </w:rPr>
      </w:pPr>
    </w:p>
    <w:p>
      <w:pPr>
        <w:ind w:left="240" w:right="300" w:hanging="165"/>
        <w:spacing w:after="0" w:line="245" w:lineRule="auto"/>
        <w:tabs>
          <w:tab w:leader="none" w:pos="240" w:val="left"/>
        </w:tabs>
        <w:numPr>
          <w:ilvl w:val="0"/>
          <w:numId w:val="13"/>
        </w:numPr>
        <w:rPr>
          <w:rFonts w:ascii="Arial" w:cs="Arial" w:eastAsia="Arial" w:hAnsi="Arial"/>
          <w:sz w:val="22"/>
          <w:szCs w:val="22"/>
          <w:color w:val="582C83"/>
        </w:rPr>
      </w:pPr>
      <w:r>
        <w:rPr>
          <w:rFonts w:ascii="Arial" w:cs="Arial" w:eastAsia="Arial" w:hAnsi="Arial"/>
          <w:sz w:val="22"/>
          <w:szCs w:val="22"/>
          <w:color w:val="auto"/>
        </w:rPr>
        <w:t>Mr. Mesquita brings extensive experience leading major global company business units. In these roles, he has a strong track record of building and marketing global brands, including the reinvention of key brands, leading strategic business transformations and driving strong, profitable growth.</w:t>
      </w:r>
    </w:p>
    <w:p>
      <w:pPr>
        <w:spacing w:after="0" w:line="8" w:lineRule="exact"/>
        <w:rPr>
          <w:rFonts w:ascii="Arial" w:cs="Arial" w:eastAsia="Arial" w:hAnsi="Arial"/>
          <w:sz w:val="22"/>
          <w:szCs w:val="22"/>
          <w:color w:val="582C83"/>
        </w:rPr>
      </w:pPr>
    </w:p>
    <w:p>
      <w:pPr>
        <w:ind w:left="240" w:right="100" w:hanging="165"/>
        <w:spacing w:after="0"/>
        <w:tabs>
          <w:tab w:leader="none" w:pos="240" w:val="left"/>
        </w:tabs>
        <w:numPr>
          <w:ilvl w:val="0"/>
          <w:numId w:val="13"/>
        </w:numPr>
        <w:rPr>
          <w:rFonts w:ascii="Arial" w:cs="Arial" w:eastAsia="Arial" w:hAnsi="Arial"/>
          <w:sz w:val="22"/>
          <w:szCs w:val="22"/>
          <w:color w:val="582C83"/>
        </w:rPr>
      </w:pPr>
      <w:r>
        <w:rPr>
          <w:rFonts w:ascii="Arial" w:cs="Arial" w:eastAsia="Arial" w:hAnsi="Arial"/>
          <w:sz w:val="22"/>
          <w:szCs w:val="22"/>
          <w:color w:val="auto"/>
        </w:rPr>
        <w:t>As CEO of BlueTriton Brands, he embarked on growth and innovation initiatives. As Procter &amp; Gamble’s Group President, New Business Creation and Innovation, Mr. Mesquita redesigned the company’s business development organization and worked across the company with technology, marketing and finance leaders to develop groundbreaking innovation capabilities.</w:t>
      </w:r>
    </w:p>
    <w:p>
      <w:pPr>
        <w:spacing w:after="0" w:line="14" w:lineRule="exact"/>
        <w:rPr>
          <w:rFonts w:ascii="Arial" w:cs="Arial" w:eastAsia="Arial" w:hAnsi="Arial"/>
          <w:sz w:val="22"/>
          <w:szCs w:val="22"/>
          <w:color w:val="582C83"/>
        </w:rPr>
      </w:pPr>
    </w:p>
    <w:p>
      <w:pPr>
        <w:ind w:left="240" w:hanging="165"/>
        <w:spacing w:after="0"/>
        <w:tabs>
          <w:tab w:leader="none" w:pos="240" w:val="left"/>
        </w:tabs>
        <w:numPr>
          <w:ilvl w:val="0"/>
          <w:numId w:val="13"/>
        </w:numPr>
        <w:rPr>
          <w:rFonts w:ascii="Arial" w:cs="Arial" w:eastAsia="Arial" w:hAnsi="Arial"/>
          <w:sz w:val="22"/>
          <w:szCs w:val="22"/>
          <w:color w:val="582C83"/>
        </w:rPr>
      </w:pPr>
      <w:r>
        <w:rPr>
          <w:rFonts w:ascii="Arial" w:cs="Arial" w:eastAsia="Arial" w:hAnsi="Arial"/>
          <w:sz w:val="22"/>
          <w:szCs w:val="22"/>
          <w:color w:val="auto"/>
        </w:rPr>
        <w:t>Mr. Mesquita is known for driving innovation and has led large, complex supply chain organizations.</w:t>
      </w:r>
    </w:p>
    <w:p>
      <w:pPr>
        <w:spacing w:after="0" w:line="44" w:lineRule="exact"/>
        <w:rPr>
          <w:rFonts w:ascii="Arial" w:cs="Arial" w:eastAsia="Arial" w:hAnsi="Arial"/>
          <w:sz w:val="22"/>
          <w:szCs w:val="22"/>
          <w:color w:val="582C83"/>
        </w:rPr>
      </w:pPr>
    </w:p>
    <w:p>
      <w:pPr>
        <w:ind w:left="240" w:right="220" w:hanging="165"/>
        <w:spacing w:after="0" w:line="245" w:lineRule="auto"/>
        <w:tabs>
          <w:tab w:leader="none" w:pos="240" w:val="left"/>
        </w:tabs>
        <w:numPr>
          <w:ilvl w:val="0"/>
          <w:numId w:val="13"/>
        </w:numPr>
        <w:rPr>
          <w:rFonts w:ascii="Arial" w:cs="Arial" w:eastAsia="Arial" w:hAnsi="Arial"/>
          <w:sz w:val="22"/>
          <w:szCs w:val="22"/>
          <w:color w:val="582C83"/>
        </w:rPr>
      </w:pPr>
      <w:r>
        <w:rPr>
          <w:rFonts w:ascii="Arial" w:cs="Arial" w:eastAsia="Arial" w:hAnsi="Arial"/>
          <w:sz w:val="22"/>
          <w:szCs w:val="22"/>
          <w:color w:val="auto"/>
        </w:rPr>
        <w:t>Mr. Mesquita was born and raised in Mozambique, Africa and is of Portuguese descent. He has lived and worked in several countries, including Venezuela, Mexico, Brazil and the United States. He is fluent in Portuguese, Spanish and English.</w:t>
      </w:r>
    </w:p>
    <w:p>
      <w:pPr>
        <w:spacing w:after="0" w:line="8" w:lineRule="exact"/>
        <w:rPr>
          <w:rFonts w:ascii="Arial" w:cs="Arial" w:eastAsia="Arial" w:hAnsi="Arial"/>
          <w:sz w:val="22"/>
          <w:szCs w:val="22"/>
          <w:color w:val="582C83"/>
        </w:rPr>
      </w:pPr>
    </w:p>
    <w:p>
      <w:pPr>
        <w:ind w:left="240" w:hanging="165"/>
        <w:spacing w:after="0"/>
        <w:tabs>
          <w:tab w:leader="none" w:pos="240" w:val="left"/>
        </w:tabs>
        <w:numPr>
          <w:ilvl w:val="0"/>
          <w:numId w:val="13"/>
        </w:numPr>
        <w:rPr>
          <w:rFonts w:ascii="Arial" w:cs="Arial" w:eastAsia="Arial" w:hAnsi="Arial"/>
          <w:sz w:val="22"/>
          <w:szCs w:val="22"/>
          <w:color w:val="582C83"/>
        </w:rPr>
      </w:pPr>
      <w:r>
        <w:rPr>
          <w:rFonts w:ascii="Arial" w:cs="Arial" w:eastAsia="Arial" w:hAnsi="Arial"/>
          <w:sz w:val="22"/>
          <w:szCs w:val="22"/>
          <w:color w:val="auto"/>
        </w:rPr>
        <w:t>Mr. Mesquita has public company board and corporate governance experience. He is a director of Humana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40575" cy="2099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0575" cy="2099945"/>
                    </a:xfrm>
                    <a:prstGeom prst="rect">
                      <a:avLst/>
                    </a:prstGeom>
                    <a:noFill/>
                  </pic:spPr>
                </pic:pic>
              </a:graphicData>
            </a:graphic>
          </wp:anchor>
        </w:drawing>
      </w:r>
    </w:p>
    <w:p>
      <w:pPr>
        <w:spacing w:after="0" w:line="105" w:lineRule="exact"/>
        <w:rPr>
          <w:sz w:val="20"/>
          <w:szCs w:val="20"/>
          <w:color w:val="auto"/>
        </w:rPr>
      </w:pPr>
    </w:p>
    <w:p>
      <w:pPr>
        <w:ind w:left="80" w:right="140"/>
        <w:spacing w:after="0" w:line="236" w:lineRule="auto"/>
        <w:rPr>
          <w:sz w:val="20"/>
          <w:szCs w:val="20"/>
          <w:color w:val="auto"/>
        </w:rPr>
      </w:pPr>
      <w:r>
        <w:rPr>
          <w:rFonts w:ascii="Arial" w:cs="Arial" w:eastAsia="Arial" w:hAnsi="Arial"/>
          <w:sz w:val="22"/>
          <w:szCs w:val="22"/>
          <w:color w:val="auto"/>
        </w:rPr>
        <w:t>Mr. Mesquita served as Chief Executive Officer of BlueTriton Brands, a beverage company that offers regional spring water and national purified water brands, from July 2021 to March 2022. Prior to that, he was Executive Vice President and Worldwide Chairman, Consumer of Johnson &amp; Johnson, a global healthcare products company, from December 2014 until February 2019. He also served on J&amp;J’s Executive Committee and led the Consumer Group Operating Committee. Mr. Mesquita also served as an advisor to Cinven, a U.K. private equity firm, from 2020 to 2021.</w:t>
      </w:r>
    </w:p>
    <w:p>
      <w:pPr>
        <w:spacing w:after="0" w:line="101" w:lineRule="exact"/>
        <w:rPr>
          <w:sz w:val="20"/>
          <w:szCs w:val="20"/>
          <w:color w:val="auto"/>
        </w:rPr>
      </w:pPr>
    </w:p>
    <w:p>
      <w:pPr>
        <w:ind w:left="80" w:right="80"/>
        <w:spacing w:after="0" w:line="236" w:lineRule="auto"/>
        <w:rPr>
          <w:sz w:val="20"/>
          <w:szCs w:val="20"/>
          <w:color w:val="auto"/>
        </w:rPr>
      </w:pPr>
      <w:r>
        <w:rPr>
          <w:rFonts w:ascii="Arial" w:cs="Arial" w:eastAsia="Arial" w:hAnsi="Arial"/>
          <w:sz w:val="22"/>
          <w:szCs w:val="22"/>
          <w:color w:val="auto"/>
        </w:rPr>
        <w:t>Previously, Mr. Mesquita was employed by P&amp;G, a global marketer of consumer products, in various marketing and leadership capacities for 29 years from 1984 to 2013. During his tenure at P&amp;G, he served as Group President – New Business Creation and Innovation from March 2012 until June 2013; Group President – Special Assignment from January 2012 until March 2012; Group President, Global Fabric Care from 2007 to 2011; and President, Global Home Care from 2001 to 2007, also serving as President of Commercial Products and President of P&amp;G Professional from 2006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Jane Hamilton Nielsen</w:t>
            </w:r>
          </w:p>
        </w:tc>
        <w:tc>
          <w:tcPr>
            <w:tcW w:w="202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color w:val="auto"/>
                <w:w w:val="97"/>
              </w:rPr>
              <w:t>Age 57</w:t>
            </w:r>
          </w:p>
        </w:tc>
        <w:tc>
          <w:tcPr>
            <w:tcW w:w="196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0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272"/>
        </w:trPr>
        <w:tc>
          <w:tcPr>
            <w:tcW w:w="1080" w:type="dxa"/>
            <w:vAlign w:val="bottom"/>
            <w:tcBorders>
              <w:left w:val="single" w:sz="8" w:color="582C83"/>
              <w:right w:val="single" w:sz="8" w:color="582C83"/>
            </w:tcBorders>
          </w:tcPr>
          <w:p>
            <w:pPr>
              <w:spacing w:after="0"/>
              <w:rPr>
                <w:sz w:val="23"/>
                <w:szCs w:val="23"/>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Chief Operating Officer and Chief</w:t>
            </w:r>
          </w:p>
        </w:tc>
        <w:tc>
          <w:tcPr>
            <w:tcW w:w="2020" w:type="dxa"/>
            <w:vAlign w:val="bottom"/>
            <w:tcBorders>
              <w:right w:val="single" w:sz="8" w:color="582C83"/>
            </w:tcBorders>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6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gridSpan w:val="2"/>
          </w:tcPr>
          <w:p>
            <w:pPr>
              <w:ind w:left="22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74"/>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restart"/>
          </w:tcPr>
          <w:p>
            <w:pPr>
              <w:ind w:left="180"/>
              <w:spacing w:after="0" w:line="243" w:lineRule="exact"/>
              <w:rPr>
                <w:sz w:val="20"/>
                <w:szCs w:val="20"/>
                <w:color w:val="auto"/>
              </w:rPr>
            </w:pPr>
            <w:r>
              <w:rPr>
                <w:rFonts w:ascii="Arial" w:cs="Arial" w:eastAsia="Arial" w:hAnsi="Arial"/>
                <w:sz w:val="22"/>
                <w:szCs w:val="22"/>
                <w:i w:val="1"/>
                <w:iCs w:val="1"/>
                <w:color w:val="auto"/>
              </w:rPr>
              <w:t>Financial Officer, Ralph Lauren</w:t>
            </w:r>
          </w:p>
        </w:tc>
        <w:tc>
          <w:tcPr>
            <w:tcW w:w="2020" w:type="dxa"/>
            <w:vAlign w:val="bottom"/>
            <w:tcBorders>
              <w:right w:val="single" w:sz="8" w:color="582C83"/>
            </w:tcBorders>
            <w:vMerge w:val="restart"/>
          </w:tcPr>
          <w:p>
            <w:pPr>
              <w:jc w:val="center"/>
              <w:spacing w:after="0" w:line="243" w:lineRule="exact"/>
              <w:rPr>
                <w:sz w:val="20"/>
                <w:szCs w:val="20"/>
                <w:color w:val="auto"/>
              </w:rPr>
            </w:pPr>
            <w:r>
              <w:rPr>
                <w:rFonts w:ascii="Arial" w:cs="Arial" w:eastAsia="Arial" w:hAnsi="Arial"/>
                <w:sz w:val="22"/>
                <w:szCs w:val="22"/>
                <w:color w:val="auto"/>
                <w:w w:val="99"/>
              </w:rPr>
              <w:t>May 2021</w:t>
            </w:r>
          </w:p>
        </w:tc>
        <w:tc>
          <w:tcPr>
            <w:tcW w:w="1960" w:type="dxa"/>
            <w:vAlign w:val="bottom"/>
            <w:tcBorders>
              <w:right w:val="single" w:sz="8" w:color="582C83"/>
            </w:tcBorders>
            <w:vMerge w:val="continue"/>
          </w:tcPr>
          <w:p>
            <w:pPr>
              <w:spacing w:after="0"/>
              <w:rPr>
                <w:sz w:val="15"/>
                <w:szCs w:val="15"/>
                <w:color w:val="auto"/>
              </w:rPr>
            </w:pPr>
          </w:p>
        </w:tc>
        <w:tc>
          <w:tcPr>
            <w:tcW w:w="380" w:type="dxa"/>
            <w:vAlign w:val="bottom"/>
            <w:vMerge w:val="restart"/>
          </w:tcPr>
          <w:p>
            <w:pPr>
              <w:ind w:left="240"/>
              <w:spacing w:after="0" w:line="243" w:lineRule="exact"/>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80"/>
              <w:spacing w:after="0" w:line="243" w:lineRule="exact"/>
              <w:rPr>
                <w:sz w:val="20"/>
                <w:szCs w:val="20"/>
                <w:color w:val="auto"/>
              </w:rPr>
            </w:pPr>
            <w:r>
              <w:rPr>
                <w:rFonts w:ascii="Arial" w:cs="Arial" w:eastAsia="Arial" w:hAnsi="Arial"/>
                <w:sz w:val="22"/>
                <w:szCs w:val="22"/>
                <w:color w:val="auto"/>
              </w:rPr>
              <w:t>Audit</w:t>
            </w:r>
          </w:p>
        </w:tc>
        <w:tc>
          <w:tcPr>
            <w:tcW w:w="0" w:type="dxa"/>
            <w:vAlign w:val="bottom"/>
          </w:tcPr>
          <w:p>
            <w:pPr>
              <w:spacing w:after="0"/>
              <w:rPr>
                <w:sz w:val="1"/>
                <w:szCs w:val="1"/>
                <w:color w:val="auto"/>
              </w:rPr>
            </w:pPr>
          </w:p>
        </w:tc>
      </w:tr>
      <w:tr>
        <w:trPr>
          <w:trHeight w:val="69"/>
        </w:trPr>
        <w:tc>
          <w:tcPr>
            <w:tcW w:w="1080" w:type="dxa"/>
            <w:vAlign w:val="bottom"/>
            <w:tcBorders>
              <w:left w:val="single" w:sz="8" w:color="582C83"/>
              <w:right w:val="single" w:sz="8" w:color="582C83"/>
            </w:tcBorders>
          </w:tcPr>
          <w:p>
            <w:pPr>
              <w:spacing w:after="0"/>
              <w:rPr>
                <w:sz w:val="6"/>
                <w:szCs w:val="6"/>
                <w:color w:val="auto"/>
              </w:rPr>
            </w:pPr>
          </w:p>
        </w:tc>
        <w:tc>
          <w:tcPr>
            <w:tcW w:w="4200" w:type="dxa"/>
            <w:vAlign w:val="bottom"/>
            <w:tcBorders>
              <w:right w:val="single" w:sz="8" w:color="582C83"/>
            </w:tcBorders>
            <w:vMerge w:val="continue"/>
          </w:tcPr>
          <w:p>
            <w:pPr>
              <w:spacing w:after="0"/>
              <w:rPr>
                <w:sz w:val="6"/>
                <w:szCs w:val="6"/>
                <w:color w:val="auto"/>
              </w:rPr>
            </w:pPr>
          </w:p>
        </w:tc>
        <w:tc>
          <w:tcPr>
            <w:tcW w:w="2020" w:type="dxa"/>
            <w:vAlign w:val="bottom"/>
            <w:tcBorders>
              <w:right w:val="single" w:sz="8" w:color="582C83"/>
            </w:tcBorders>
            <w:vMerge w:val="continue"/>
          </w:tcPr>
          <w:p>
            <w:pPr>
              <w:spacing w:after="0"/>
              <w:rPr>
                <w:sz w:val="6"/>
                <w:szCs w:val="6"/>
                <w:color w:val="auto"/>
              </w:rPr>
            </w:pPr>
          </w:p>
        </w:tc>
        <w:tc>
          <w:tcPr>
            <w:tcW w:w="1960" w:type="dxa"/>
            <w:vAlign w:val="bottom"/>
            <w:tcBorders>
              <w:right w:val="single" w:sz="8" w:color="582C83"/>
            </w:tcBorders>
          </w:tcPr>
          <w:p>
            <w:pPr>
              <w:spacing w:after="0"/>
              <w:rPr>
                <w:sz w:val="6"/>
                <w:szCs w:val="6"/>
                <w:color w:val="auto"/>
              </w:rPr>
            </w:pPr>
          </w:p>
        </w:tc>
        <w:tc>
          <w:tcPr>
            <w:tcW w:w="380" w:type="dxa"/>
            <w:vAlign w:val="bottom"/>
            <w:vMerge w:val="continue"/>
          </w:tcPr>
          <w:p>
            <w:pPr>
              <w:spacing w:after="0"/>
              <w:rPr>
                <w:sz w:val="6"/>
                <w:szCs w:val="6"/>
                <w:color w:val="auto"/>
              </w:rPr>
            </w:pPr>
          </w:p>
        </w:tc>
        <w:tc>
          <w:tcPr>
            <w:tcW w:w="1600" w:type="dxa"/>
            <w:vAlign w:val="bottom"/>
            <w:tcBorders>
              <w:right w:val="single" w:sz="8" w:color="582C83"/>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1080" w:type="dxa"/>
            <w:vAlign w:val="bottom"/>
            <w:tcBorders>
              <w:left w:val="single" w:sz="8" w:color="582C83"/>
              <w:right w:val="single" w:sz="8" w:color="582C83"/>
            </w:tcBorders>
          </w:tcPr>
          <w:p>
            <w:pPr>
              <w:spacing w:after="0"/>
              <w:rPr>
                <w:sz w:val="24"/>
                <w:szCs w:val="24"/>
                <w:color w:val="auto"/>
              </w:rPr>
            </w:pPr>
          </w:p>
        </w:tc>
        <w:tc>
          <w:tcPr>
            <w:tcW w:w="4200" w:type="dxa"/>
            <w:vAlign w:val="bottom"/>
            <w:tcBorders>
              <w:right w:val="single" w:sz="8" w:color="582C83"/>
            </w:tcBorders>
          </w:tcPr>
          <w:p>
            <w:pPr>
              <w:ind w:left="180"/>
              <w:spacing w:after="0"/>
              <w:rPr>
                <w:sz w:val="20"/>
                <w:szCs w:val="20"/>
                <w:color w:val="auto"/>
              </w:rPr>
            </w:pPr>
            <w:r>
              <w:rPr>
                <w:rFonts w:ascii="Arial" w:cs="Arial" w:eastAsia="Arial" w:hAnsi="Arial"/>
                <w:sz w:val="22"/>
                <w:szCs w:val="22"/>
                <w:i w:val="1"/>
                <w:iCs w:val="1"/>
                <w:color w:val="auto"/>
              </w:rPr>
              <w:t>Corporation</w:t>
            </w:r>
          </w:p>
        </w:tc>
        <w:tc>
          <w:tcPr>
            <w:tcW w:w="2020" w:type="dxa"/>
            <w:vAlign w:val="bottom"/>
            <w:tcBorders>
              <w:right w:val="single" w:sz="8" w:color="582C83"/>
            </w:tcBorders>
          </w:tcPr>
          <w:p>
            <w:pPr>
              <w:jc w:val="center"/>
              <w:spacing w:after="0"/>
              <w:rPr>
                <w:sz w:val="20"/>
                <w:szCs w:val="20"/>
                <w:color w:val="auto"/>
              </w:rPr>
            </w:pPr>
            <w:r>
              <w:rPr>
                <w:rFonts w:ascii="Arial" w:cs="Arial" w:eastAsia="Arial" w:hAnsi="Arial"/>
                <w:sz w:val="22"/>
                <w:szCs w:val="22"/>
                <w:color w:val="auto"/>
                <w:w w:val="97"/>
              </w:rPr>
              <w:t>White/Female</w:t>
            </w:r>
          </w:p>
        </w:tc>
        <w:tc>
          <w:tcPr>
            <w:tcW w:w="1960" w:type="dxa"/>
            <w:vAlign w:val="bottom"/>
            <w:tcBorders>
              <w:right w:val="single" w:sz="8" w:color="582C83"/>
            </w:tcBorders>
          </w:tcPr>
          <w:p>
            <w:pPr>
              <w:spacing w:after="0"/>
              <w:rPr>
                <w:sz w:val="24"/>
                <w:szCs w:val="24"/>
                <w:color w:val="auto"/>
              </w:rPr>
            </w:pPr>
          </w:p>
        </w:tc>
        <w:tc>
          <w:tcPr>
            <w:tcW w:w="380" w:type="dxa"/>
            <w:vAlign w:val="bottom"/>
          </w:tcPr>
          <w:p>
            <w:pPr>
              <w:ind w:left="240"/>
              <w:spacing w:after="0"/>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tcPr>
          <w:p>
            <w:pPr>
              <w:ind w:left="80"/>
              <w:spacing w:after="0"/>
              <w:rPr>
                <w:sz w:val="20"/>
                <w:szCs w:val="20"/>
                <w:color w:val="auto"/>
              </w:rPr>
            </w:pPr>
            <w:r>
              <w:rPr>
                <w:rFonts w:ascii="Arial" w:cs="Arial" w:eastAsia="Arial" w:hAnsi="Arial"/>
                <w:sz w:val="22"/>
                <w:szCs w:val="22"/>
                <w:color w:val="auto"/>
              </w:rPr>
              <w:t>Finance</w:t>
            </w:r>
          </w:p>
        </w:tc>
        <w:tc>
          <w:tcPr>
            <w:tcW w:w="0" w:type="dxa"/>
            <w:vAlign w:val="bottom"/>
          </w:tcPr>
          <w:p>
            <w:pPr>
              <w:spacing w:after="0"/>
              <w:rPr>
                <w:sz w:val="1"/>
                <w:szCs w:val="1"/>
                <w:color w:val="auto"/>
              </w:rPr>
            </w:pPr>
          </w:p>
        </w:tc>
      </w:tr>
      <w:tr>
        <w:trPr>
          <w:trHeight w:val="60"/>
        </w:trPr>
        <w:tc>
          <w:tcPr>
            <w:tcW w:w="1080" w:type="dxa"/>
            <w:vAlign w:val="bottom"/>
            <w:tcBorders>
              <w:left w:val="single" w:sz="8" w:color="582C83"/>
              <w:bottom w:val="single" w:sz="8" w:color="582C83"/>
              <w:right w:val="single" w:sz="8" w:color="582C83"/>
            </w:tcBorders>
          </w:tcPr>
          <w:p>
            <w:pPr>
              <w:spacing w:after="0"/>
              <w:rPr>
                <w:sz w:val="5"/>
                <w:szCs w:val="5"/>
                <w:color w:val="auto"/>
              </w:rPr>
            </w:pPr>
          </w:p>
        </w:tc>
        <w:tc>
          <w:tcPr>
            <w:tcW w:w="4200" w:type="dxa"/>
            <w:vAlign w:val="bottom"/>
            <w:tcBorders>
              <w:bottom w:val="single" w:sz="8" w:color="582C83"/>
              <w:right w:val="single" w:sz="8" w:color="582C83"/>
            </w:tcBorders>
          </w:tcPr>
          <w:p>
            <w:pPr>
              <w:spacing w:after="0"/>
              <w:rPr>
                <w:sz w:val="5"/>
                <w:szCs w:val="5"/>
                <w:color w:val="auto"/>
              </w:rPr>
            </w:pPr>
          </w:p>
        </w:tc>
        <w:tc>
          <w:tcPr>
            <w:tcW w:w="2020" w:type="dxa"/>
            <w:vAlign w:val="bottom"/>
            <w:tcBorders>
              <w:bottom w:val="single" w:sz="8" w:color="582C83"/>
              <w:right w:val="single" w:sz="8" w:color="582C83"/>
            </w:tcBorders>
          </w:tcPr>
          <w:p>
            <w:pPr>
              <w:spacing w:after="0"/>
              <w:rPr>
                <w:sz w:val="5"/>
                <w:szCs w:val="5"/>
                <w:color w:val="auto"/>
              </w:rPr>
            </w:pPr>
          </w:p>
        </w:tc>
        <w:tc>
          <w:tcPr>
            <w:tcW w:w="1960" w:type="dxa"/>
            <w:vAlign w:val="bottom"/>
            <w:tcBorders>
              <w:bottom w:val="single" w:sz="8" w:color="582C83"/>
              <w:right w:val="single" w:sz="8" w:color="582C83"/>
            </w:tcBorders>
          </w:tcPr>
          <w:p>
            <w:pPr>
              <w:spacing w:after="0"/>
              <w:rPr>
                <w:sz w:val="5"/>
                <w:szCs w:val="5"/>
                <w:color w:val="auto"/>
              </w:rPr>
            </w:pPr>
          </w:p>
        </w:tc>
        <w:tc>
          <w:tcPr>
            <w:tcW w:w="380" w:type="dxa"/>
            <w:vAlign w:val="bottom"/>
            <w:tcBorders>
              <w:bottom w:val="single" w:sz="8" w:color="582C83"/>
            </w:tcBorders>
          </w:tcPr>
          <w:p>
            <w:pPr>
              <w:spacing w:after="0"/>
              <w:rPr>
                <w:sz w:val="5"/>
                <w:szCs w:val="5"/>
                <w:color w:val="auto"/>
              </w:rPr>
            </w:pPr>
          </w:p>
        </w:tc>
        <w:tc>
          <w:tcPr>
            <w:tcW w:w="16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61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46" w:lineRule="exact"/>
        <w:rPr>
          <w:sz w:val="20"/>
          <w:szCs w:val="20"/>
          <w:color w:val="auto"/>
        </w:rPr>
      </w:pPr>
    </w:p>
    <w:p>
      <w:pPr>
        <w:ind w:left="240" w:right="340" w:hanging="165"/>
        <w:spacing w:after="0" w:line="245" w:lineRule="auto"/>
        <w:tabs>
          <w:tab w:leader="none" w:pos="240" w:val="left"/>
        </w:tabs>
        <w:numPr>
          <w:ilvl w:val="0"/>
          <w:numId w:val="14"/>
        </w:numPr>
        <w:rPr>
          <w:rFonts w:ascii="Arial" w:cs="Arial" w:eastAsia="Arial" w:hAnsi="Arial"/>
          <w:sz w:val="22"/>
          <w:szCs w:val="22"/>
          <w:color w:val="582C83"/>
        </w:rPr>
      </w:pPr>
      <w:r>
        <w:rPr>
          <w:rFonts w:ascii="Arial" w:cs="Arial" w:eastAsia="Arial" w:hAnsi="Arial"/>
          <w:sz w:val="22"/>
          <w:szCs w:val="22"/>
          <w:color w:val="auto"/>
        </w:rPr>
        <w:t>Ms. Nielsen has extensive financial experience gained during her service as Chief Operating Officer and Chief Financial Officer at Ralph Lauren and as Chief Financial Officer at Coach. She also spent 15 years in PepsiCo's financial organization.</w:t>
      </w:r>
    </w:p>
    <w:p>
      <w:pPr>
        <w:spacing w:after="0" w:line="8" w:lineRule="exact"/>
        <w:rPr>
          <w:rFonts w:ascii="Arial" w:cs="Arial" w:eastAsia="Arial" w:hAnsi="Arial"/>
          <w:sz w:val="22"/>
          <w:szCs w:val="22"/>
          <w:color w:val="582C83"/>
        </w:rPr>
      </w:pPr>
    </w:p>
    <w:p>
      <w:pPr>
        <w:ind w:left="240" w:right="200" w:hanging="165"/>
        <w:spacing w:after="0"/>
        <w:tabs>
          <w:tab w:leader="none" w:pos="240" w:val="left"/>
        </w:tabs>
        <w:numPr>
          <w:ilvl w:val="0"/>
          <w:numId w:val="14"/>
        </w:numPr>
        <w:rPr>
          <w:rFonts w:ascii="Arial" w:cs="Arial" w:eastAsia="Arial" w:hAnsi="Arial"/>
          <w:sz w:val="22"/>
          <w:szCs w:val="22"/>
          <w:color w:val="582C83"/>
        </w:rPr>
      </w:pPr>
      <w:r>
        <w:rPr>
          <w:rFonts w:ascii="Arial" w:cs="Arial" w:eastAsia="Arial" w:hAnsi="Arial"/>
          <w:sz w:val="22"/>
          <w:szCs w:val="22"/>
          <w:color w:val="auto"/>
        </w:rPr>
        <w:t>Ms. Nielsen brings a global perspective and many years of experience in the food and consumer products industries. Throughout her tenure at Ralph Lauren, Ms. Nielsen has driven operational efficiency, digital transformation and investment in omni-channel capability. She worked on numerous acquisitions and integrations while at PepsiCo, including the acquisition of Quaker Oats.</w:t>
      </w:r>
    </w:p>
    <w:p>
      <w:pPr>
        <w:spacing w:after="0" w:line="14" w:lineRule="exact"/>
        <w:rPr>
          <w:rFonts w:ascii="Arial" w:cs="Arial" w:eastAsia="Arial" w:hAnsi="Arial"/>
          <w:sz w:val="22"/>
          <w:szCs w:val="22"/>
          <w:color w:val="582C83"/>
        </w:rPr>
      </w:pPr>
    </w:p>
    <w:p>
      <w:pPr>
        <w:ind w:left="240" w:right="100" w:hanging="165"/>
        <w:spacing w:after="0" w:line="259" w:lineRule="auto"/>
        <w:tabs>
          <w:tab w:leader="none" w:pos="240" w:val="left"/>
        </w:tabs>
        <w:numPr>
          <w:ilvl w:val="0"/>
          <w:numId w:val="14"/>
        </w:numPr>
        <w:rPr>
          <w:rFonts w:ascii="Arial" w:cs="Arial" w:eastAsia="Arial" w:hAnsi="Arial"/>
          <w:sz w:val="22"/>
          <w:szCs w:val="22"/>
          <w:color w:val="582C83"/>
        </w:rPr>
      </w:pPr>
      <w:r>
        <w:rPr>
          <w:rFonts w:ascii="Arial" w:cs="Arial" w:eastAsia="Arial" w:hAnsi="Arial"/>
          <w:sz w:val="22"/>
          <w:szCs w:val="22"/>
          <w:color w:val="auto"/>
        </w:rPr>
        <w:t>Ms. Nielsen has public company board and corporate governance experience. She is a former director of Pinnacle Foods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40575" cy="1551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0575" cy="1551305"/>
                    </a:xfrm>
                    <a:prstGeom prst="rect">
                      <a:avLst/>
                    </a:prstGeom>
                    <a:noFill/>
                  </pic:spPr>
                </pic:pic>
              </a:graphicData>
            </a:graphic>
          </wp:anchor>
        </w:drawing>
      </w:r>
    </w:p>
    <w:p>
      <w:pPr>
        <w:spacing w:after="0" w:line="55" w:lineRule="exact"/>
        <w:rPr>
          <w:sz w:val="20"/>
          <w:szCs w:val="20"/>
          <w:color w:val="auto"/>
        </w:rPr>
      </w:pPr>
    </w:p>
    <w:p>
      <w:pPr>
        <w:ind w:left="80" w:right="120"/>
        <w:spacing w:after="0" w:line="234" w:lineRule="auto"/>
        <w:rPr>
          <w:sz w:val="20"/>
          <w:szCs w:val="20"/>
          <w:color w:val="auto"/>
        </w:rPr>
      </w:pPr>
      <w:r>
        <w:rPr>
          <w:rFonts w:ascii="Arial" w:cs="Arial" w:eastAsia="Arial" w:hAnsi="Arial"/>
          <w:sz w:val="22"/>
          <w:szCs w:val="22"/>
          <w:color w:val="auto"/>
        </w:rPr>
        <w:t>Ms. Nielsen has served as Chief Financial Officer of Ralph Lauren Corporation, a global leader in the design, marketing and distribution of premium lifestyle products, since September 2016 and its Chief Operating Officer since April 2019. She leads Ralph Lauren's global technology, finance, business development, logistics and real estate organizations. She previously served as Chief Financial Officer of Coach, Inc., a leading design house of modern luxury accessories and lifestyle collections, from September 2011 to August 2016. Prior to that, Ms. Nielsen spent 15 years at PepsiCo, Inc. and Pepsi Bottling Group, a global snack and beverage company, in various senior financial roles, including Senior Vice President and Chief Financial Officer of PepsiCo Beverages Americas and the Global Nutrition Group, and she has experience in the areas of mergers &amp; integration, investor relations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160" w:type="dxa"/>
            <w:vAlign w:val="bottom"/>
            <w:tcBorders>
              <w:top w:val="single" w:sz="8" w:color="582C83"/>
              <w:right w:val="single" w:sz="8" w:color="582C83"/>
            </w:tcBorders>
          </w:tcPr>
          <w:p>
            <w:pPr>
              <w:spacing w:after="0"/>
              <w:rPr>
                <w:sz w:val="24"/>
                <w:szCs w:val="24"/>
                <w:color w:val="auto"/>
              </w:rPr>
            </w:pPr>
          </w:p>
        </w:tc>
        <w:tc>
          <w:tcPr>
            <w:tcW w:w="202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Age 62</w:t>
            </w:r>
          </w:p>
        </w:tc>
        <w:tc>
          <w:tcPr>
            <w:tcW w:w="196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40" w:type="dxa"/>
            <w:vAlign w:val="bottom"/>
            <w:tcBorders>
              <w:top w:val="single" w:sz="8" w:color="582C83"/>
              <w:right w:val="single" w:sz="8" w:color="582C83"/>
            </w:tcBorders>
          </w:tcPr>
          <w:p>
            <w:pPr>
              <w:ind w:left="20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96"/>
        </w:trPr>
        <w:tc>
          <w:tcPr>
            <w:tcW w:w="1080" w:type="dxa"/>
            <w:vAlign w:val="bottom"/>
            <w:tcBorders>
              <w:left w:val="single" w:sz="8" w:color="582C83"/>
              <w:right w:val="single" w:sz="8" w:color="582C83"/>
            </w:tcBorders>
          </w:tcPr>
          <w:p>
            <w:pPr>
              <w:spacing w:after="0"/>
              <w:rPr>
                <w:sz w:val="8"/>
                <w:szCs w:val="8"/>
                <w:color w:val="auto"/>
              </w:rPr>
            </w:pPr>
          </w:p>
        </w:tc>
        <w:tc>
          <w:tcPr>
            <w:tcW w:w="41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Christiana S. Shi</w:t>
            </w:r>
          </w:p>
        </w:tc>
        <w:tc>
          <w:tcPr>
            <w:tcW w:w="2020" w:type="dxa"/>
            <w:vAlign w:val="bottom"/>
            <w:tcBorders>
              <w:right w:val="single" w:sz="8" w:color="582C83"/>
            </w:tcBorders>
            <w:vMerge w:val="continue"/>
          </w:tcPr>
          <w:p>
            <w:pPr>
              <w:spacing w:after="0"/>
              <w:rPr>
                <w:sz w:val="8"/>
                <w:szCs w:val="8"/>
                <w:color w:val="auto"/>
              </w:rPr>
            </w:pPr>
          </w:p>
        </w:tc>
        <w:tc>
          <w:tcPr>
            <w:tcW w:w="1960" w:type="dxa"/>
            <w:vAlign w:val="bottom"/>
            <w:tcBorders>
              <w:right w:val="single" w:sz="8" w:color="582C83"/>
            </w:tcBorders>
          </w:tcPr>
          <w:p>
            <w:pPr>
              <w:spacing w:after="0"/>
              <w:rPr>
                <w:sz w:val="8"/>
                <w:szCs w:val="8"/>
                <w:color w:val="auto"/>
              </w:rPr>
            </w:pPr>
          </w:p>
        </w:tc>
        <w:tc>
          <w:tcPr>
            <w:tcW w:w="2020" w:type="dxa"/>
            <w:vAlign w:val="bottom"/>
            <w:tcBorders>
              <w:right w:val="single" w:sz="8" w:color="582C83"/>
            </w:tcBorders>
            <w:gridSpan w:val="2"/>
            <w:vMerge w:val="restart"/>
          </w:tcPr>
          <w:p>
            <w:pPr>
              <w:ind w:left="24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76"/>
        </w:trPr>
        <w:tc>
          <w:tcPr>
            <w:tcW w:w="1080" w:type="dxa"/>
            <w:vAlign w:val="bottom"/>
            <w:tcBorders>
              <w:left w:val="single" w:sz="8" w:color="582C83"/>
              <w:right w:val="single" w:sz="8" w:color="582C83"/>
            </w:tcBorders>
          </w:tcPr>
          <w:p>
            <w:pPr>
              <w:spacing w:after="0"/>
              <w:rPr>
                <w:sz w:val="15"/>
                <w:szCs w:val="15"/>
                <w:color w:val="auto"/>
              </w:rPr>
            </w:pPr>
          </w:p>
        </w:tc>
        <w:tc>
          <w:tcPr>
            <w:tcW w:w="4160" w:type="dxa"/>
            <w:vAlign w:val="bottom"/>
            <w:tcBorders>
              <w:right w:val="single" w:sz="8" w:color="582C83"/>
            </w:tcBorders>
            <w:vMerge w:val="continue"/>
          </w:tcPr>
          <w:p>
            <w:pPr>
              <w:spacing w:after="0"/>
              <w:rPr>
                <w:sz w:val="15"/>
                <w:szCs w:val="15"/>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6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2020" w:type="dxa"/>
            <w:vAlign w:val="bottom"/>
            <w:tcBorders>
              <w:right w:val="single" w:sz="8" w:color="582C83"/>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080" w:type="dxa"/>
            <w:vAlign w:val="bottom"/>
            <w:tcBorders>
              <w:left w:val="single" w:sz="8" w:color="582C83"/>
              <w:right w:val="single" w:sz="8" w:color="582C83"/>
            </w:tcBorders>
          </w:tcPr>
          <w:p>
            <w:pPr>
              <w:spacing w:after="0"/>
              <w:rPr>
                <w:sz w:val="11"/>
                <w:szCs w:val="11"/>
                <w:color w:val="auto"/>
              </w:rPr>
            </w:pPr>
          </w:p>
        </w:tc>
        <w:tc>
          <w:tcPr>
            <w:tcW w:w="4160" w:type="dxa"/>
            <w:vAlign w:val="bottom"/>
            <w:tcBorders>
              <w:right w:val="single" w:sz="8" w:color="582C83"/>
            </w:tcBorders>
            <w:vMerge w:val="restart"/>
          </w:tcPr>
          <w:p>
            <w:pPr>
              <w:ind w:left="180"/>
              <w:spacing w:after="0" w:line="243" w:lineRule="exact"/>
              <w:rPr>
                <w:sz w:val="20"/>
                <w:szCs w:val="20"/>
                <w:color w:val="auto"/>
              </w:rPr>
            </w:pPr>
            <w:r>
              <w:rPr>
                <w:rFonts w:ascii="Arial" w:cs="Arial" w:eastAsia="Arial" w:hAnsi="Arial"/>
                <w:sz w:val="22"/>
                <w:szCs w:val="22"/>
                <w:i w:val="1"/>
                <w:iCs w:val="1"/>
                <w:color w:val="auto"/>
              </w:rPr>
              <w:t>Former President, Direct-to-Consumer,</w:t>
            </w:r>
          </w:p>
        </w:tc>
        <w:tc>
          <w:tcPr>
            <w:tcW w:w="2020" w:type="dxa"/>
            <w:vAlign w:val="bottom"/>
            <w:tcBorders>
              <w:right w:val="single" w:sz="8" w:color="582C83"/>
            </w:tcBorders>
            <w:vMerge w:val="continue"/>
          </w:tcPr>
          <w:p>
            <w:pPr>
              <w:spacing w:after="0"/>
              <w:rPr>
                <w:sz w:val="11"/>
                <w:szCs w:val="11"/>
                <w:color w:val="auto"/>
              </w:rPr>
            </w:pPr>
          </w:p>
        </w:tc>
        <w:tc>
          <w:tcPr>
            <w:tcW w:w="1960" w:type="dxa"/>
            <w:vAlign w:val="bottom"/>
            <w:tcBorders>
              <w:right w:val="single" w:sz="8" w:color="582C83"/>
            </w:tcBorders>
            <w:vMerge w:val="continue"/>
          </w:tcPr>
          <w:p>
            <w:pPr>
              <w:spacing w:after="0"/>
              <w:rPr>
                <w:sz w:val="11"/>
                <w:szCs w:val="11"/>
                <w:color w:val="auto"/>
              </w:rPr>
            </w:pPr>
          </w:p>
        </w:tc>
        <w:tc>
          <w:tcPr>
            <w:tcW w:w="380" w:type="dxa"/>
            <w:vAlign w:val="bottom"/>
            <w:vMerge w:val="restart"/>
          </w:tcPr>
          <w:p>
            <w:pPr>
              <w:ind w:left="240"/>
              <w:spacing w:after="0" w:line="243" w:lineRule="exact"/>
              <w:rPr>
                <w:sz w:val="20"/>
                <w:szCs w:val="20"/>
                <w:color w:val="auto"/>
              </w:rPr>
            </w:pPr>
            <w:r>
              <w:rPr>
                <w:rFonts w:ascii="Arial" w:cs="Arial" w:eastAsia="Arial" w:hAnsi="Arial"/>
                <w:sz w:val="22"/>
                <w:szCs w:val="22"/>
                <w:color w:val="582C83"/>
              </w:rPr>
              <w:t>•</w:t>
            </w:r>
          </w:p>
        </w:tc>
        <w:tc>
          <w:tcPr>
            <w:tcW w:w="1640" w:type="dxa"/>
            <w:vAlign w:val="bottom"/>
            <w:tcBorders>
              <w:right w:val="single" w:sz="8" w:color="582C83"/>
            </w:tcBorders>
            <w:vMerge w:val="restart"/>
          </w:tcPr>
          <w:p>
            <w:pPr>
              <w:ind w:left="80"/>
              <w:spacing w:after="0" w:line="243" w:lineRule="exact"/>
              <w:rPr>
                <w:sz w:val="20"/>
                <w:szCs w:val="20"/>
                <w:color w:val="auto"/>
              </w:rPr>
            </w:pPr>
            <w:r>
              <w:rPr>
                <w:rFonts w:ascii="Arial" w:cs="Arial" w:eastAsia="Arial" w:hAnsi="Arial"/>
                <w:sz w:val="22"/>
                <w:szCs w:val="22"/>
                <w:color w:val="auto"/>
              </w:rPr>
              <w:t>Governance</w:t>
            </w:r>
          </w:p>
        </w:tc>
        <w:tc>
          <w:tcPr>
            <w:tcW w:w="0" w:type="dxa"/>
            <w:vAlign w:val="bottom"/>
          </w:tcPr>
          <w:p>
            <w:pPr>
              <w:spacing w:after="0"/>
              <w:rPr>
                <w:sz w:val="1"/>
                <w:szCs w:val="1"/>
                <w:color w:val="auto"/>
              </w:rPr>
            </w:pPr>
          </w:p>
        </w:tc>
      </w:tr>
      <w:tr>
        <w:trPr>
          <w:trHeight w:val="110"/>
        </w:trPr>
        <w:tc>
          <w:tcPr>
            <w:tcW w:w="1080" w:type="dxa"/>
            <w:vAlign w:val="bottom"/>
            <w:tcBorders>
              <w:left w:val="single" w:sz="8" w:color="582C83"/>
              <w:right w:val="single" w:sz="8" w:color="582C83"/>
            </w:tcBorders>
          </w:tcPr>
          <w:p>
            <w:pPr>
              <w:spacing w:after="0"/>
              <w:rPr>
                <w:sz w:val="9"/>
                <w:szCs w:val="9"/>
                <w:color w:val="auto"/>
              </w:rPr>
            </w:pPr>
          </w:p>
        </w:tc>
        <w:tc>
          <w:tcPr>
            <w:tcW w:w="4160" w:type="dxa"/>
            <w:vAlign w:val="bottom"/>
            <w:tcBorders>
              <w:right w:val="single" w:sz="8" w:color="582C83"/>
            </w:tcBorders>
            <w:vMerge w:val="continue"/>
          </w:tcPr>
          <w:p>
            <w:pPr>
              <w:spacing w:after="0"/>
              <w:rPr>
                <w:sz w:val="9"/>
                <w:szCs w:val="9"/>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January 2016</w:t>
            </w:r>
          </w:p>
        </w:tc>
        <w:tc>
          <w:tcPr>
            <w:tcW w:w="1960" w:type="dxa"/>
            <w:vAlign w:val="bottom"/>
            <w:tcBorders>
              <w:right w:val="single" w:sz="8" w:color="582C83"/>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4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41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Nike, Inc.</w:t>
            </w:r>
          </w:p>
        </w:tc>
        <w:tc>
          <w:tcPr>
            <w:tcW w:w="2020" w:type="dxa"/>
            <w:vAlign w:val="bottom"/>
            <w:tcBorders>
              <w:right w:val="single" w:sz="8" w:color="582C83"/>
            </w:tcBorders>
            <w:vMerge w:val="continue"/>
          </w:tcPr>
          <w:p>
            <w:pPr>
              <w:spacing w:after="0"/>
              <w:rPr>
                <w:sz w:val="15"/>
                <w:szCs w:val="15"/>
                <w:color w:val="auto"/>
              </w:rPr>
            </w:pPr>
          </w:p>
        </w:tc>
        <w:tc>
          <w:tcPr>
            <w:tcW w:w="1960" w:type="dxa"/>
            <w:vAlign w:val="bottom"/>
            <w:tcBorders>
              <w:right w:val="single" w:sz="8" w:color="582C83"/>
            </w:tcBorders>
          </w:tcPr>
          <w:p>
            <w:pPr>
              <w:spacing w:after="0"/>
              <w:rPr>
                <w:sz w:val="15"/>
                <w:szCs w:val="15"/>
                <w:color w:val="auto"/>
              </w:rPr>
            </w:pPr>
          </w:p>
        </w:tc>
        <w:tc>
          <w:tcPr>
            <w:tcW w:w="380" w:type="dxa"/>
            <w:vAlign w:val="bottom"/>
            <w:vMerge w:val="restart"/>
          </w:tcPr>
          <w:p>
            <w:pPr>
              <w:ind w:left="240"/>
              <w:spacing w:after="0"/>
              <w:rPr>
                <w:sz w:val="20"/>
                <w:szCs w:val="20"/>
                <w:color w:val="auto"/>
              </w:rPr>
            </w:pPr>
            <w:r>
              <w:rPr>
                <w:rFonts w:ascii="Arial" w:cs="Arial" w:eastAsia="Arial" w:hAnsi="Arial"/>
                <w:sz w:val="22"/>
                <w:szCs w:val="22"/>
                <w:color w:val="582C83"/>
              </w:rPr>
              <w:t>•</w:t>
            </w:r>
          </w:p>
        </w:tc>
        <w:tc>
          <w:tcPr>
            <w:tcW w:w="164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2"/>
                <w:szCs w:val="22"/>
                <w:color w:val="auto"/>
              </w:rPr>
              <w:t>People and</w:t>
            </w:r>
          </w:p>
        </w:tc>
        <w:tc>
          <w:tcPr>
            <w:tcW w:w="0" w:type="dxa"/>
            <w:vAlign w:val="bottom"/>
          </w:tcPr>
          <w:p>
            <w:pPr>
              <w:spacing w:after="0"/>
              <w:rPr>
                <w:sz w:val="1"/>
                <w:szCs w:val="1"/>
                <w:color w:val="auto"/>
              </w:rPr>
            </w:pPr>
          </w:p>
        </w:tc>
      </w:tr>
      <w:tr>
        <w:trPr>
          <w:trHeight w:val="122"/>
        </w:trPr>
        <w:tc>
          <w:tcPr>
            <w:tcW w:w="1080" w:type="dxa"/>
            <w:vAlign w:val="bottom"/>
            <w:tcBorders>
              <w:left w:val="single" w:sz="8" w:color="582C83"/>
              <w:right w:val="single" w:sz="8" w:color="582C83"/>
            </w:tcBorders>
          </w:tcPr>
          <w:p>
            <w:pPr>
              <w:spacing w:after="0"/>
              <w:rPr>
                <w:sz w:val="10"/>
                <w:szCs w:val="10"/>
                <w:color w:val="auto"/>
              </w:rPr>
            </w:pPr>
          </w:p>
        </w:tc>
        <w:tc>
          <w:tcPr>
            <w:tcW w:w="4160" w:type="dxa"/>
            <w:vAlign w:val="bottom"/>
            <w:tcBorders>
              <w:right w:val="single" w:sz="8" w:color="582C83"/>
            </w:tcBorders>
            <w:vMerge w:val="continue"/>
          </w:tcPr>
          <w:p>
            <w:pPr>
              <w:spacing w:after="0"/>
              <w:rPr>
                <w:sz w:val="10"/>
                <w:szCs w:val="10"/>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White/Female</w:t>
            </w:r>
          </w:p>
        </w:tc>
        <w:tc>
          <w:tcPr>
            <w:tcW w:w="1960" w:type="dxa"/>
            <w:vAlign w:val="bottom"/>
            <w:tcBorders>
              <w:right w:val="single" w:sz="8" w:color="582C83"/>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1640" w:type="dxa"/>
            <w:vAlign w:val="bottom"/>
            <w:tcBorders>
              <w:right w:val="single" w:sz="8" w:color="582C8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4160" w:type="dxa"/>
            <w:vAlign w:val="bottom"/>
            <w:tcBorders>
              <w:right w:val="single" w:sz="8" w:color="582C83"/>
            </w:tcBorders>
          </w:tcPr>
          <w:p>
            <w:pPr>
              <w:spacing w:after="0"/>
              <w:rPr>
                <w:sz w:val="15"/>
                <w:szCs w:val="15"/>
                <w:color w:val="auto"/>
              </w:rPr>
            </w:pPr>
          </w:p>
        </w:tc>
        <w:tc>
          <w:tcPr>
            <w:tcW w:w="2020" w:type="dxa"/>
            <w:vAlign w:val="bottom"/>
            <w:tcBorders>
              <w:right w:val="single" w:sz="8" w:color="582C83"/>
            </w:tcBorders>
            <w:vMerge w:val="continue"/>
          </w:tcPr>
          <w:p>
            <w:pPr>
              <w:spacing w:after="0"/>
              <w:rPr>
                <w:sz w:val="15"/>
                <w:szCs w:val="15"/>
                <w:color w:val="auto"/>
              </w:rPr>
            </w:pPr>
          </w:p>
        </w:tc>
        <w:tc>
          <w:tcPr>
            <w:tcW w:w="1960" w:type="dxa"/>
            <w:vAlign w:val="bottom"/>
            <w:tcBorders>
              <w:right w:val="single" w:sz="8" w:color="582C83"/>
            </w:tcBorders>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2"/>
                <w:szCs w:val="22"/>
                <w:color w:val="auto"/>
              </w:rPr>
              <w:t>Compensation</w:t>
            </w:r>
          </w:p>
        </w:tc>
        <w:tc>
          <w:tcPr>
            <w:tcW w:w="0" w:type="dxa"/>
            <w:vAlign w:val="bottom"/>
          </w:tcPr>
          <w:p>
            <w:pPr>
              <w:spacing w:after="0"/>
              <w:rPr>
                <w:sz w:val="1"/>
                <w:szCs w:val="1"/>
                <w:color w:val="auto"/>
              </w:rPr>
            </w:pPr>
          </w:p>
        </w:tc>
      </w:tr>
      <w:tr>
        <w:trPr>
          <w:trHeight w:val="108"/>
        </w:trPr>
        <w:tc>
          <w:tcPr>
            <w:tcW w:w="1080" w:type="dxa"/>
            <w:vAlign w:val="bottom"/>
            <w:tcBorders>
              <w:left w:val="single" w:sz="8" w:color="582C83"/>
              <w:right w:val="single" w:sz="8" w:color="582C83"/>
            </w:tcBorders>
          </w:tcPr>
          <w:p>
            <w:pPr>
              <w:spacing w:after="0"/>
              <w:rPr>
                <w:sz w:val="9"/>
                <w:szCs w:val="9"/>
                <w:color w:val="auto"/>
              </w:rPr>
            </w:pPr>
          </w:p>
        </w:tc>
        <w:tc>
          <w:tcPr>
            <w:tcW w:w="4160" w:type="dxa"/>
            <w:vAlign w:val="bottom"/>
            <w:tcBorders>
              <w:right w:val="single" w:sz="8" w:color="582C83"/>
            </w:tcBorders>
          </w:tcPr>
          <w:p>
            <w:pPr>
              <w:spacing w:after="0"/>
              <w:rPr>
                <w:sz w:val="9"/>
                <w:szCs w:val="9"/>
                <w:color w:val="auto"/>
              </w:rPr>
            </w:pPr>
          </w:p>
        </w:tc>
        <w:tc>
          <w:tcPr>
            <w:tcW w:w="2020" w:type="dxa"/>
            <w:vAlign w:val="bottom"/>
            <w:tcBorders>
              <w:right w:val="single" w:sz="8" w:color="582C83"/>
            </w:tcBorders>
          </w:tcPr>
          <w:p>
            <w:pPr>
              <w:spacing w:after="0"/>
              <w:rPr>
                <w:sz w:val="9"/>
                <w:szCs w:val="9"/>
                <w:color w:val="auto"/>
              </w:rPr>
            </w:pPr>
          </w:p>
        </w:tc>
        <w:tc>
          <w:tcPr>
            <w:tcW w:w="1960" w:type="dxa"/>
            <w:vAlign w:val="bottom"/>
            <w:tcBorders>
              <w:right w:val="single" w:sz="8" w:color="582C83"/>
            </w:tcBorders>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080" w:type="dxa"/>
            <w:vAlign w:val="bottom"/>
            <w:tcBorders>
              <w:left w:val="single" w:sz="8" w:color="582C83"/>
              <w:bottom w:val="single" w:sz="8" w:color="582C83"/>
              <w:right w:val="single" w:sz="8" w:color="582C83"/>
            </w:tcBorders>
          </w:tcPr>
          <w:p>
            <w:pPr>
              <w:spacing w:after="0"/>
              <w:rPr>
                <w:sz w:val="4"/>
                <w:szCs w:val="4"/>
                <w:color w:val="auto"/>
              </w:rPr>
            </w:pPr>
          </w:p>
        </w:tc>
        <w:tc>
          <w:tcPr>
            <w:tcW w:w="4160" w:type="dxa"/>
            <w:vAlign w:val="bottom"/>
            <w:tcBorders>
              <w:bottom w:val="single" w:sz="8" w:color="582C83"/>
              <w:right w:val="single" w:sz="8" w:color="582C83"/>
            </w:tcBorders>
          </w:tcPr>
          <w:p>
            <w:pPr>
              <w:spacing w:after="0"/>
              <w:rPr>
                <w:sz w:val="4"/>
                <w:szCs w:val="4"/>
                <w:color w:val="auto"/>
              </w:rPr>
            </w:pPr>
          </w:p>
        </w:tc>
        <w:tc>
          <w:tcPr>
            <w:tcW w:w="2020" w:type="dxa"/>
            <w:vAlign w:val="bottom"/>
            <w:tcBorders>
              <w:bottom w:val="single" w:sz="8" w:color="582C83"/>
              <w:right w:val="single" w:sz="8" w:color="582C83"/>
            </w:tcBorders>
          </w:tcPr>
          <w:p>
            <w:pPr>
              <w:spacing w:after="0"/>
              <w:rPr>
                <w:sz w:val="4"/>
                <w:szCs w:val="4"/>
                <w:color w:val="auto"/>
              </w:rPr>
            </w:pPr>
          </w:p>
        </w:tc>
        <w:tc>
          <w:tcPr>
            <w:tcW w:w="1960" w:type="dxa"/>
            <w:vAlign w:val="bottom"/>
            <w:tcBorders>
              <w:bottom w:val="single" w:sz="8" w:color="582C83"/>
              <w:right w:val="single" w:sz="8" w:color="582C83"/>
            </w:tcBorders>
          </w:tcPr>
          <w:p>
            <w:pPr>
              <w:spacing w:after="0"/>
              <w:rPr>
                <w:sz w:val="4"/>
                <w:szCs w:val="4"/>
                <w:color w:val="auto"/>
              </w:rPr>
            </w:pPr>
          </w:p>
        </w:tc>
        <w:tc>
          <w:tcPr>
            <w:tcW w:w="380" w:type="dxa"/>
            <w:vAlign w:val="bottom"/>
            <w:tcBorders>
              <w:bottom w:val="single" w:sz="8" w:color="582C83"/>
            </w:tcBorders>
          </w:tcPr>
          <w:p>
            <w:pPr>
              <w:spacing w:after="0"/>
              <w:rPr>
                <w:sz w:val="4"/>
                <w:szCs w:val="4"/>
                <w:color w:val="auto"/>
              </w:rPr>
            </w:pPr>
          </w:p>
        </w:tc>
        <w:tc>
          <w:tcPr>
            <w:tcW w:w="1640" w:type="dxa"/>
            <w:vAlign w:val="bottom"/>
            <w:tcBorders>
              <w:bottom w:val="single" w:sz="8" w:color="582C83"/>
              <w:right w:val="single" w:sz="8" w:color="582C8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46" w:lineRule="exact"/>
        <w:rPr>
          <w:sz w:val="20"/>
          <w:szCs w:val="20"/>
          <w:color w:val="auto"/>
        </w:rPr>
      </w:pPr>
    </w:p>
    <w:p>
      <w:pPr>
        <w:ind w:left="240" w:right="120" w:hanging="165"/>
        <w:spacing w:after="0"/>
        <w:tabs>
          <w:tab w:leader="none" w:pos="240" w:val="left"/>
        </w:tabs>
        <w:numPr>
          <w:ilvl w:val="0"/>
          <w:numId w:val="15"/>
        </w:numPr>
        <w:rPr>
          <w:rFonts w:ascii="Arial" w:cs="Arial" w:eastAsia="Arial" w:hAnsi="Arial"/>
          <w:sz w:val="22"/>
          <w:szCs w:val="22"/>
          <w:color w:val="582C83"/>
        </w:rPr>
      </w:pPr>
      <w:r>
        <w:rPr>
          <w:rFonts w:ascii="Arial" w:cs="Arial" w:eastAsia="Arial" w:hAnsi="Arial"/>
          <w:sz w:val="22"/>
          <w:szCs w:val="22"/>
          <w:color w:val="auto"/>
        </w:rPr>
        <w:t>During her career at McKinsey, Ms. Shi worked across North America, Europe, Latin America and Asia providing leadership, expertise and strategic vision to senior executives of Fortune 200 consumer companies. She designed and led performance transformation programs, developed cross-channel marketing and merchandising programs, and drove market entry work.</w:t>
      </w:r>
    </w:p>
    <w:p>
      <w:pPr>
        <w:spacing w:after="0" w:line="14" w:lineRule="exact"/>
        <w:rPr>
          <w:rFonts w:ascii="Arial" w:cs="Arial" w:eastAsia="Arial" w:hAnsi="Arial"/>
          <w:sz w:val="22"/>
          <w:szCs w:val="22"/>
          <w:color w:val="582C83"/>
        </w:rPr>
      </w:pPr>
    </w:p>
    <w:p>
      <w:pPr>
        <w:ind w:left="240" w:right="100" w:hanging="165"/>
        <w:spacing w:after="0" w:line="256" w:lineRule="auto"/>
        <w:tabs>
          <w:tab w:leader="none" w:pos="240" w:val="left"/>
        </w:tabs>
        <w:numPr>
          <w:ilvl w:val="0"/>
          <w:numId w:val="15"/>
        </w:numPr>
        <w:rPr>
          <w:rFonts w:ascii="Arial" w:cs="Arial" w:eastAsia="Arial" w:hAnsi="Arial"/>
          <w:sz w:val="22"/>
          <w:szCs w:val="22"/>
          <w:color w:val="582C83"/>
        </w:rPr>
      </w:pPr>
      <w:r>
        <w:rPr>
          <w:rFonts w:ascii="Arial" w:cs="Arial" w:eastAsia="Arial" w:hAnsi="Arial"/>
          <w:sz w:val="22"/>
          <w:szCs w:val="22"/>
          <w:color w:val="auto"/>
        </w:rPr>
        <w:t>In her various roles at Nike, Ms. Shi led Nike’s global digital commerce business and retail organization, as well as real estate, finance, supply chain operations and information technology.</w:t>
      </w:r>
    </w:p>
    <w:p>
      <w:pPr>
        <w:ind w:left="240" w:right="380" w:hanging="165"/>
        <w:spacing w:after="0" w:line="256" w:lineRule="auto"/>
        <w:tabs>
          <w:tab w:leader="none" w:pos="240" w:val="left"/>
        </w:tabs>
        <w:numPr>
          <w:ilvl w:val="0"/>
          <w:numId w:val="15"/>
        </w:numPr>
        <w:rPr>
          <w:rFonts w:ascii="Arial" w:cs="Arial" w:eastAsia="Arial" w:hAnsi="Arial"/>
          <w:sz w:val="22"/>
          <w:szCs w:val="22"/>
          <w:color w:val="582C83"/>
        </w:rPr>
      </w:pPr>
      <w:r>
        <w:rPr>
          <w:rFonts w:ascii="Arial" w:cs="Arial" w:eastAsia="Arial" w:hAnsi="Arial"/>
          <w:sz w:val="22"/>
          <w:szCs w:val="22"/>
          <w:color w:val="auto"/>
        </w:rPr>
        <w:t>With her deep knowledge of digital commerce, Ms. Shi helped lead a significant transformation and accelerated growth in Nike’s digital commerce capabilities.</w:t>
      </w:r>
    </w:p>
    <w:p>
      <w:pPr>
        <w:ind w:left="240" w:right="420" w:hanging="165"/>
        <w:spacing w:after="0" w:line="259" w:lineRule="auto"/>
        <w:tabs>
          <w:tab w:leader="none" w:pos="240" w:val="left"/>
        </w:tabs>
        <w:numPr>
          <w:ilvl w:val="0"/>
          <w:numId w:val="15"/>
        </w:numPr>
        <w:rPr>
          <w:rFonts w:ascii="Arial" w:cs="Arial" w:eastAsia="Arial" w:hAnsi="Arial"/>
          <w:sz w:val="22"/>
          <w:szCs w:val="22"/>
          <w:color w:val="582C83"/>
        </w:rPr>
      </w:pPr>
      <w:r>
        <w:rPr>
          <w:rFonts w:ascii="Arial" w:cs="Arial" w:eastAsia="Arial" w:hAnsi="Arial"/>
          <w:sz w:val="22"/>
          <w:szCs w:val="22"/>
          <w:color w:val="auto"/>
        </w:rPr>
        <w:t>Ms. Shi has extensive public company board and corporate governance experience. She is a director of United Parcel Service, Inc. She is a former director of West Marine, Inc. and Williams Sonoma,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8770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77060"/>
                    </a:xfrm>
                    <a:prstGeom prst="rect">
                      <a:avLst/>
                    </a:prstGeom>
                    <a:noFill/>
                  </pic:spPr>
                </pic:pic>
              </a:graphicData>
            </a:graphic>
          </wp:anchor>
        </w:drawing>
      </w:r>
    </w:p>
    <w:p>
      <w:pPr>
        <w:spacing w:after="0" w:line="136" w:lineRule="exact"/>
        <w:rPr>
          <w:sz w:val="20"/>
          <w:szCs w:val="20"/>
          <w:color w:val="auto"/>
        </w:rPr>
      </w:pPr>
    </w:p>
    <w:p>
      <w:pPr>
        <w:ind w:left="80" w:right="140"/>
        <w:spacing w:after="0" w:line="238" w:lineRule="auto"/>
        <w:rPr>
          <w:sz w:val="20"/>
          <w:szCs w:val="20"/>
          <w:color w:val="auto"/>
        </w:rPr>
      </w:pPr>
      <w:r>
        <w:rPr>
          <w:rFonts w:ascii="Arial" w:cs="Arial" w:eastAsia="Arial" w:hAnsi="Arial"/>
          <w:sz w:val="22"/>
          <w:szCs w:val="22"/>
          <w:color w:val="auto"/>
        </w:rPr>
        <w:t>Ms. Shi served as President, Direct-to-Consumer of Nike, Inc., a global provider of athletic footwear and apparel, from July 2013 until her retirement in September 2016. From 2012 to 2013, she served as Nike’s Vice President and General Manager, Global Digital Commerce. From 2010 to 2012, she served as Nike’s Chief Operating Officer for Global Direct-to-Consumer. Ms. Shi is a principal of Lovejoy Advisors, LLC, an advisory services firm for digitally transforming consumer and retail businesses, which she founded in November 2016.</w:t>
      </w:r>
    </w:p>
    <w:p>
      <w:pPr>
        <w:spacing w:after="0" w:line="96" w:lineRule="exact"/>
        <w:rPr>
          <w:sz w:val="20"/>
          <w:szCs w:val="20"/>
          <w:color w:val="auto"/>
        </w:rPr>
      </w:pPr>
    </w:p>
    <w:p>
      <w:pPr>
        <w:ind w:left="80" w:right="620"/>
        <w:spacing w:after="0" w:line="245" w:lineRule="auto"/>
        <w:rPr>
          <w:sz w:val="20"/>
          <w:szCs w:val="20"/>
          <w:color w:val="auto"/>
        </w:rPr>
      </w:pPr>
      <w:r>
        <w:rPr>
          <w:rFonts w:ascii="Arial" w:cs="Arial" w:eastAsia="Arial" w:hAnsi="Arial"/>
          <w:sz w:val="22"/>
          <w:szCs w:val="22"/>
          <w:color w:val="auto"/>
        </w:rPr>
        <w:t>Prior to joining Nike, Ms. Shi spent 24 years at McKinsey &amp; Company, a global management consulting firm, in various roles including ten years as Director and Senior Partner. Ms. Shi has served as a senior advisor for McKinsey’s Consumer Digital Practice since August 2020.</w:t>
      </w:r>
    </w:p>
    <w:p>
      <w:pPr>
        <w:spacing w:after="0" w:line="89" w:lineRule="exact"/>
        <w:rPr>
          <w:sz w:val="20"/>
          <w:szCs w:val="20"/>
          <w:color w:val="auto"/>
        </w:rPr>
      </w:pPr>
    </w:p>
    <w:p>
      <w:pPr>
        <w:ind w:left="80" w:right="560"/>
        <w:spacing w:after="0" w:line="259" w:lineRule="auto"/>
        <w:rPr>
          <w:sz w:val="20"/>
          <w:szCs w:val="20"/>
          <w:color w:val="auto"/>
        </w:rPr>
      </w:pPr>
      <w:r>
        <w:rPr>
          <w:rFonts w:ascii="Arial" w:cs="Arial" w:eastAsia="Arial" w:hAnsi="Arial"/>
          <w:sz w:val="22"/>
          <w:szCs w:val="22"/>
          <w:color w:val="auto"/>
        </w:rPr>
        <w:t>From 1981 to 1984, Ms. Shi served in various trading, institutional sales and investment banking roles at Merrill Lynch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tcPr>
          <w:p>
            <w:pPr>
              <w:spacing w:after="0"/>
              <w:rPr>
                <w:sz w:val="24"/>
                <w:szCs w:val="24"/>
                <w:color w:val="auto"/>
              </w:rPr>
            </w:pPr>
          </w:p>
        </w:tc>
        <w:tc>
          <w:tcPr>
            <w:tcW w:w="2020" w:type="dxa"/>
            <w:vAlign w:val="bottom"/>
            <w:tcBorders>
              <w:top w:val="single" w:sz="8" w:color="582C83"/>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Age 66</w:t>
            </w:r>
          </w:p>
        </w:tc>
        <w:tc>
          <w:tcPr>
            <w:tcW w:w="196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00" w:type="dxa"/>
            <w:vAlign w:val="bottom"/>
            <w:tcBorders>
              <w:top w:val="single" w:sz="8" w:color="582C83"/>
              <w:right w:val="single" w:sz="8" w:color="582C83"/>
            </w:tcBorders>
          </w:tcPr>
          <w:p>
            <w:pPr>
              <w:ind w:left="18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96"/>
        </w:trPr>
        <w:tc>
          <w:tcPr>
            <w:tcW w:w="1080" w:type="dxa"/>
            <w:vAlign w:val="bottom"/>
            <w:tcBorders>
              <w:left w:val="single" w:sz="8" w:color="582C83"/>
              <w:right w:val="single" w:sz="8" w:color="582C83"/>
            </w:tcBorders>
          </w:tcPr>
          <w:p>
            <w:pPr>
              <w:spacing w:after="0"/>
              <w:rPr>
                <w:sz w:val="8"/>
                <w:szCs w:val="8"/>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Patrick T. Siewert</w:t>
            </w:r>
          </w:p>
        </w:tc>
        <w:tc>
          <w:tcPr>
            <w:tcW w:w="2020" w:type="dxa"/>
            <w:vAlign w:val="bottom"/>
            <w:tcBorders>
              <w:right w:val="single" w:sz="8" w:color="582C83"/>
            </w:tcBorders>
            <w:vMerge w:val="continue"/>
          </w:tcPr>
          <w:p>
            <w:pPr>
              <w:spacing w:after="0"/>
              <w:rPr>
                <w:sz w:val="8"/>
                <w:szCs w:val="8"/>
                <w:color w:val="auto"/>
              </w:rPr>
            </w:pPr>
          </w:p>
        </w:tc>
        <w:tc>
          <w:tcPr>
            <w:tcW w:w="1960" w:type="dxa"/>
            <w:vAlign w:val="bottom"/>
            <w:tcBorders>
              <w:right w:val="single" w:sz="8" w:color="582C83"/>
            </w:tcBorders>
          </w:tcPr>
          <w:p>
            <w:pPr>
              <w:spacing w:after="0"/>
              <w:rPr>
                <w:sz w:val="8"/>
                <w:szCs w:val="8"/>
                <w:color w:val="auto"/>
              </w:rPr>
            </w:pPr>
          </w:p>
        </w:tc>
        <w:tc>
          <w:tcPr>
            <w:tcW w:w="1980" w:type="dxa"/>
            <w:vAlign w:val="bottom"/>
            <w:tcBorders>
              <w:right w:val="single" w:sz="8" w:color="582C83"/>
            </w:tcBorders>
            <w:gridSpan w:val="2"/>
            <w:vMerge w:val="restart"/>
          </w:tcPr>
          <w:p>
            <w:pPr>
              <w:ind w:left="22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76"/>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continue"/>
          </w:tcPr>
          <w:p>
            <w:pPr>
              <w:spacing w:after="0"/>
              <w:rPr>
                <w:sz w:val="15"/>
                <w:szCs w:val="15"/>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6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080" w:type="dxa"/>
            <w:vAlign w:val="bottom"/>
            <w:tcBorders>
              <w:left w:val="single" w:sz="8" w:color="582C83"/>
              <w:right w:val="single" w:sz="8" w:color="582C83"/>
            </w:tcBorders>
          </w:tcPr>
          <w:p>
            <w:pPr>
              <w:spacing w:after="0"/>
              <w:rPr>
                <w:sz w:val="11"/>
                <w:szCs w:val="11"/>
                <w:color w:val="auto"/>
              </w:rPr>
            </w:pPr>
          </w:p>
        </w:tc>
        <w:tc>
          <w:tcPr>
            <w:tcW w:w="4200" w:type="dxa"/>
            <w:vAlign w:val="bottom"/>
            <w:tcBorders>
              <w:right w:val="single" w:sz="8" w:color="582C83"/>
            </w:tcBorders>
            <w:vMerge w:val="restart"/>
          </w:tcPr>
          <w:p>
            <w:pPr>
              <w:ind w:left="180"/>
              <w:spacing w:after="0" w:line="243" w:lineRule="exact"/>
              <w:rPr>
                <w:sz w:val="20"/>
                <w:szCs w:val="20"/>
                <w:color w:val="auto"/>
              </w:rPr>
            </w:pPr>
            <w:r>
              <w:rPr>
                <w:rFonts w:ascii="Arial" w:cs="Arial" w:eastAsia="Arial" w:hAnsi="Arial"/>
                <w:sz w:val="22"/>
                <w:szCs w:val="22"/>
                <w:i w:val="1"/>
                <w:iCs w:val="1"/>
                <w:color w:val="auto"/>
              </w:rPr>
              <w:t>Managing Director and Partner,</w:t>
            </w:r>
          </w:p>
        </w:tc>
        <w:tc>
          <w:tcPr>
            <w:tcW w:w="2020" w:type="dxa"/>
            <w:vAlign w:val="bottom"/>
            <w:tcBorders>
              <w:right w:val="single" w:sz="8" w:color="582C83"/>
            </w:tcBorders>
            <w:vMerge w:val="continue"/>
          </w:tcPr>
          <w:p>
            <w:pPr>
              <w:spacing w:after="0"/>
              <w:rPr>
                <w:sz w:val="11"/>
                <w:szCs w:val="11"/>
                <w:color w:val="auto"/>
              </w:rPr>
            </w:pPr>
          </w:p>
        </w:tc>
        <w:tc>
          <w:tcPr>
            <w:tcW w:w="1960" w:type="dxa"/>
            <w:vAlign w:val="bottom"/>
            <w:tcBorders>
              <w:right w:val="single" w:sz="8" w:color="582C83"/>
            </w:tcBorders>
            <w:vMerge w:val="continue"/>
          </w:tcPr>
          <w:p>
            <w:pPr>
              <w:spacing w:after="0"/>
              <w:rPr>
                <w:sz w:val="11"/>
                <w:szCs w:val="11"/>
                <w:color w:val="auto"/>
              </w:rPr>
            </w:pPr>
          </w:p>
        </w:tc>
        <w:tc>
          <w:tcPr>
            <w:tcW w:w="380" w:type="dxa"/>
            <w:vAlign w:val="bottom"/>
            <w:vMerge w:val="restart"/>
          </w:tcPr>
          <w:p>
            <w:pPr>
              <w:ind w:left="240"/>
              <w:spacing w:after="0" w:line="243" w:lineRule="exact"/>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80"/>
              <w:spacing w:after="0" w:line="243" w:lineRule="exact"/>
              <w:rPr>
                <w:sz w:val="20"/>
                <w:szCs w:val="20"/>
                <w:color w:val="auto"/>
              </w:rPr>
            </w:pPr>
            <w:r>
              <w:rPr>
                <w:rFonts w:ascii="Arial" w:cs="Arial" w:eastAsia="Arial" w:hAnsi="Arial"/>
                <w:sz w:val="22"/>
                <w:szCs w:val="22"/>
                <w:color w:val="auto"/>
              </w:rPr>
              <w:t>Audit</w:t>
            </w:r>
          </w:p>
        </w:tc>
        <w:tc>
          <w:tcPr>
            <w:tcW w:w="0" w:type="dxa"/>
            <w:vAlign w:val="bottom"/>
          </w:tcPr>
          <w:p>
            <w:pPr>
              <w:spacing w:after="0"/>
              <w:rPr>
                <w:sz w:val="1"/>
                <w:szCs w:val="1"/>
                <w:color w:val="auto"/>
              </w:rPr>
            </w:pPr>
          </w:p>
        </w:tc>
      </w:tr>
      <w:tr>
        <w:trPr>
          <w:trHeight w:val="110"/>
        </w:trPr>
        <w:tc>
          <w:tcPr>
            <w:tcW w:w="1080" w:type="dxa"/>
            <w:vAlign w:val="bottom"/>
            <w:tcBorders>
              <w:left w:val="single" w:sz="8" w:color="582C83"/>
              <w:right w:val="single" w:sz="8" w:color="582C83"/>
            </w:tcBorders>
          </w:tcPr>
          <w:p>
            <w:pPr>
              <w:spacing w:after="0"/>
              <w:rPr>
                <w:sz w:val="9"/>
                <w:szCs w:val="9"/>
                <w:color w:val="auto"/>
              </w:rPr>
            </w:pPr>
          </w:p>
        </w:tc>
        <w:tc>
          <w:tcPr>
            <w:tcW w:w="4200" w:type="dxa"/>
            <w:vAlign w:val="bottom"/>
            <w:tcBorders>
              <w:right w:val="single" w:sz="8" w:color="582C83"/>
            </w:tcBorders>
            <w:vMerge w:val="continue"/>
          </w:tcPr>
          <w:p>
            <w:pPr>
              <w:spacing w:after="0"/>
              <w:rPr>
                <w:sz w:val="9"/>
                <w:szCs w:val="9"/>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October 2012</w:t>
            </w:r>
          </w:p>
        </w:tc>
        <w:tc>
          <w:tcPr>
            <w:tcW w:w="1960" w:type="dxa"/>
            <w:vAlign w:val="bottom"/>
            <w:tcBorders>
              <w:right w:val="single" w:sz="8" w:color="582C83"/>
            </w:tcBorders>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60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The Carlyle Group, L.P.</w:t>
            </w:r>
          </w:p>
        </w:tc>
        <w:tc>
          <w:tcPr>
            <w:tcW w:w="2020" w:type="dxa"/>
            <w:vAlign w:val="bottom"/>
            <w:tcBorders>
              <w:right w:val="single" w:sz="8" w:color="582C83"/>
            </w:tcBorders>
            <w:vMerge w:val="continue"/>
          </w:tcPr>
          <w:p>
            <w:pPr>
              <w:spacing w:after="0"/>
              <w:rPr>
                <w:sz w:val="15"/>
                <w:szCs w:val="15"/>
                <w:color w:val="auto"/>
              </w:rPr>
            </w:pPr>
          </w:p>
        </w:tc>
        <w:tc>
          <w:tcPr>
            <w:tcW w:w="1960" w:type="dxa"/>
            <w:vAlign w:val="bottom"/>
            <w:tcBorders>
              <w:right w:val="single" w:sz="8" w:color="582C83"/>
            </w:tcBorders>
          </w:tcPr>
          <w:p>
            <w:pPr>
              <w:spacing w:after="0"/>
              <w:rPr>
                <w:sz w:val="15"/>
                <w:szCs w:val="15"/>
                <w:color w:val="auto"/>
              </w:rPr>
            </w:pPr>
          </w:p>
        </w:tc>
        <w:tc>
          <w:tcPr>
            <w:tcW w:w="380" w:type="dxa"/>
            <w:vAlign w:val="bottom"/>
            <w:vMerge w:val="restart"/>
          </w:tcPr>
          <w:p>
            <w:pPr>
              <w:ind w:left="240"/>
              <w:spacing w:after="0"/>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2"/>
                <w:szCs w:val="22"/>
                <w:color w:val="auto"/>
              </w:rPr>
              <w:t>Finance</w:t>
            </w:r>
          </w:p>
        </w:tc>
        <w:tc>
          <w:tcPr>
            <w:tcW w:w="0" w:type="dxa"/>
            <w:vAlign w:val="bottom"/>
          </w:tcPr>
          <w:p>
            <w:pPr>
              <w:spacing w:after="0"/>
              <w:rPr>
                <w:sz w:val="1"/>
                <w:szCs w:val="1"/>
                <w:color w:val="auto"/>
              </w:rPr>
            </w:pPr>
          </w:p>
        </w:tc>
      </w:tr>
      <w:tr>
        <w:trPr>
          <w:trHeight w:val="122"/>
        </w:trPr>
        <w:tc>
          <w:tcPr>
            <w:tcW w:w="1080" w:type="dxa"/>
            <w:vAlign w:val="bottom"/>
            <w:tcBorders>
              <w:left w:val="single" w:sz="8" w:color="582C83"/>
              <w:right w:val="single" w:sz="8" w:color="582C83"/>
            </w:tcBorders>
          </w:tcPr>
          <w:p>
            <w:pPr>
              <w:spacing w:after="0"/>
              <w:rPr>
                <w:sz w:val="10"/>
                <w:szCs w:val="10"/>
                <w:color w:val="auto"/>
              </w:rPr>
            </w:pPr>
          </w:p>
        </w:tc>
        <w:tc>
          <w:tcPr>
            <w:tcW w:w="4200" w:type="dxa"/>
            <w:vAlign w:val="bottom"/>
            <w:tcBorders>
              <w:right w:val="single" w:sz="8" w:color="582C83"/>
            </w:tcBorders>
            <w:vMerge w:val="continue"/>
          </w:tcPr>
          <w:p>
            <w:pPr>
              <w:spacing w:after="0"/>
              <w:rPr>
                <w:sz w:val="10"/>
                <w:szCs w:val="10"/>
                <w:color w:val="auto"/>
              </w:rPr>
            </w:pPr>
          </w:p>
        </w:tc>
        <w:tc>
          <w:tcPr>
            <w:tcW w:w="202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White/Male</w:t>
            </w:r>
          </w:p>
        </w:tc>
        <w:tc>
          <w:tcPr>
            <w:tcW w:w="1960" w:type="dxa"/>
            <w:vAlign w:val="bottom"/>
            <w:tcBorders>
              <w:right w:val="single" w:sz="8" w:color="582C83"/>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1600" w:type="dxa"/>
            <w:vAlign w:val="bottom"/>
            <w:tcBorders>
              <w:right w:val="single" w:sz="8" w:color="582C8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4200" w:type="dxa"/>
            <w:vAlign w:val="bottom"/>
            <w:tcBorders>
              <w:right w:val="single" w:sz="8" w:color="582C83"/>
            </w:tcBorders>
          </w:tcPr>
          <w:p>
            <w:pPr>
              <w:spacing w:after="0"/>
              <w:rPr>
                <w:sz w:val="15"/>
                <w:szCs w:val="15"/>
                <w:color w:val="auto"/>
              </w:rPr>
            </w:pPr>
          </w:p>
        </w:tc>
        <w:tc>
          <w:tcPr>
            <w:tcW w:w="2020" w:type="dxa"/>
            <w:vAlign w:val="bottom"/>
            <w:tcBorders>
              <w:right w:val="single" w:sz="8" w:color="582C83"/>
            </w:tcBorders>
            <w:vMerge w:val="continue"/>
          </w:tcPr>
          <w:p>
            <w:pPr>
              <w:spacing w:after="0"/>
              <w:rPr>
                <w:sz w:val="15"/>
                <w:szCs w:val="15"/>
                <w:color w:val="auto"/>
              </w:rPr>
            </w:pPr>
          </w:p>
        </w:tc>
        <w:tc>
          <w:tcPr>
            <w:tcW w:w="1960" w:type="dxa"/>
            <w:vAlign w:val="bottom"/>
            <w:tcBorders>
              <w:right w:val="single" w:sz="8" w:color="582C83"/>
            </w:tcBorders>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Borders>
              <w:right w:val="single" w:sz="8" w:color="582C83"/>
            </w:tcBorders>
            <w:vMerge w:val="restart"/>
          </w:tcPr>
          <w:p>
            <w:pPr>
              <w:ind w:left="80"/>
              <w:spacing w:after="0"/>
              <w:rPr>
                <w:sz w:val="20"/>
                <w:szCs w:val="20"/>
                <w:color w:val="auto"/>
              </w:rPr>
            </w:pPr>
            <w:r>
              <w:rPr>
                <w:rFonts w:ascii="Arial" w:cs="Arial" w:eastAsia="Arial" w:hAnsi="Arial"/>
                <w:sz w:val="22"/>
                <w:szCs w:val="22"/>
                <w:color w:val="auto"/>
              </w:rPr>
              <w:t>(Chair)</w:t>
            </w:r>
          </w:p>
        </w:tc>
        <w:tc>
          <w:tcPr>
            <w:tcW w:w="0" w:type="dxa"/>
            <w:vAlign w:val="bottom"/>
          </w:tcPr>
          <w:p>
            <w:pPr>
              <w:spacing w:after="0"/>
              <w:rPr>
                <w:sz w:val="1"/>
                <w:szCs w:val="1"/>
                <w:color w:val="auto"/>
              </w:rPr>
            </w:pPr>
          </w:p>
        </w:tc>
      </w:tr>
      <w:tr>
        <w:trPr>
          <w:trHeight w:val="108"/>
        </w:trPr>
        <w:tc>
          <w:tcPr>
            <w:tcW w:w="1080" w:type="dxa"/>
            <w:vAlign w:val="bottom"/>
            <w:tcBorders>
              <w:left w:val="single" w:sz="8" w:color="582C83"/>
              <w:right w:val="single" w:sz="8" w:color="582C83"/>
            </w:tcBorders>
          </w:tcPr>
          <w:p>
            <w:pPr>
              <w:spacing w:after="0"/>
              <w:rPr>
                <w:sz w:val="9"/>
                <w:szCs w:val="9"/>
                <w:color w:val="auto"/>
              </w:rPr>
            </w:pPr>
          </w:p>
        </w:tc>
        <w:tc>
          <w:tcPr>
            <w:tcW w:w="4200" w:type="dxa"/>
            <w:vAlign w:val="bottom"/>
            <w:tcBorders>
              <w:right w:val="single" w:sz="8" w:color="582C83"/>
            </w:tcBorders>
          </w:tcPr>
          <w:p>
            <w:pPr>
              <w:spacing w:after="0"/>
              <w:rPr>
                <w:sz w:val="9"/>
                <w:szCs w:val="9"/>
                <w:color w:val="auto"/>
              </w:rPr>
            </w:pPr>
          </w:p>
        </w:tc>
        <w:tc>
          <w:tcPr>
            <w:tcW w:w="2020" w:type="dxa"/>
            <w:vAlign w:val="bottom"/>
            <w:tcBorders>
              <w:right w:val="single" w:sz="8" w:color="582C83"/>
            </w:tcBorders>
          </w:tcPr>
          <w:p>
            <w:pPr>
              <w:spacing w:after="0"/>
              <w:rPr>
                <w:sz w:val="9"/>
                <w:szCs w:val="9"/>
                <w:color w:val="auto"/>
              </w:rPr>
            </w:pPr>
          </w:p>
        </w:tc>
        <w:tc>
          <w:tcPr>
            <w:tcW w:w="1960" w:type="dxa"/>
            <w:vAlign w:val="bottom"/>
            <w:tcBorders>
              <w:right w:val="single" w:sz="8" w:color="582C83"/>
            </w:tcBorders>
          </w:tcPr>
          <w:p>
            <w:pPr>
              <w:spacing w:after="0"/>
              <w:rPr>
                <w:sz w:val="9"/>
                <w:szCs w:val="9"/>
                <w:color w:val="auto"/>
              </w:rPr>
            </w:pPr>
          </w:p>
        </w:tc>
        <w:tc>
          <w:tcPr>
            <w:tcW w:w="380" w:type="dxa"/>
            <w:vAlign w:val="bottom"/>
          </w:tcPr>
          <w:p>
            <w:pPr>
              <w:spacing w:after="0"/>
              <w:rPr>
                <w:sz w:val="9"/>
                <w:szCs w:val="9"/>
                <w:color w:val="auto"/>
              </w:rPr>
            </w:pPr>
          </w:p>
        </w:tc>
        <w:tc>
          <w:tcPr>
            <w:tcW w:w="1600" w:type="dxa"/>
            <w:vAlign w:val="bottom"/>
            <w:tcBorders>
              <w:right w:val="single" w:sz="8" w:color="582C8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080" w:type="dxa"/>
            <w:vAlign w:val="bottom"/>
            <w:tcBorders>
              <w:left w:val="single" w:sz="8" w:color="582C83"/>
              <w:bottom w:val="single" w:sz="8" w:color="582C83"/>
              <w:right w:val="single" w:sz="8" w:color="582C83"/>
            </w:tcBorders>
          </w:tcPr>
          <w:p>
            <w:pPr>
              <w:spacing w:after="0"/>
              <w:rPr>
                <w:sz w:val="4"/>
                <w:szCs w:val="4"/>
                <w:color w:val="auto"/>
              </w:rPr>
            </w:pPr>
          </w:p>
        </w:tc>
        <w:tc>
          <w:tcPr>
            <w:tcW w:w="4200" w:type="dxa"/>
            <w:vAlign w:val="bottom"/>
            <w:tcBorders>
              <w:bottom w:val="single" w:sz="8" w:color="582C83"/>
              <w:right w:val="single" w:sz="8" w:color="582C83"/>
            </w:tcBorders>
          </w:tcPr>
          <w:p>
            <w:pPr>
              <w:spacing w:after="0"/>
              <w:rPr>
                <w:sz w:val="4"/>
                <w:szCs w:val="4"/>
                <w:color w:val="auto"/>
              </w:rPr>
            </w:pPr>
          </w:p>
        </w:tc>
        <w:tc>
          <w:tcPr>
            <w:tcW w:w="2020" w:type="dxa"/>
            <w:vAlign w:val="bottom"/>
            <w:tcBorders>
              <w:bottom w:val="single" w:sz="8" w:color="582C83"/>
              <w:right w:val="single" w:sz="8" w:color="582C83"/>
            </w:tcBorders>
          </w:tcPr>
          <w:p>
            <w:pPr>
              <w:spacing w:after="0"/>
              <w:rPr>
                <w:sz w:val="4"/>
                <w:szCs w:val="4"/>
                <w:color w:val="auto"/>
              </w:rPr>
            </w:pPr>
          </w:p>
        </w:tc>
        <w:tc>
          <w:tcPr>
            <w:tcW w:w="1960" w:type="dxa"/>
            <w:vAlign w:val="bottom"/>
            <w:tcBorders>
              <w:bottom w:val="single" w:sz="8" w:color="582C83"/>
              <w:right w:val="single" w:sz="8" w:color="582C83"/>
            </w:tcBorders>
          </w:tcPr>
          <w:p>
            <w:pPr>
              <w:spacing w:after="0"/>
              <w:rPr>
                <w:sz w:val="4"/>
                <w:szCs w:val="4"/>
                <w:color w:val="auto"/>
              </w:rPr>
            </w:pPr>
          </w:p>
        </w:tc>
        <w:tc>
          <w:tcPr>
            <w:tcW w:w="380" w:type="dxa"/>
            <w:vAlign w:val="bottom"/>
            <w:tcBorders>
              <w:bottom w:val="single" w:sz="8" w:color="582C83"/>
            </w:tcBorders>
          </w:tcPr>
          <w:p>
            <w:pPr>
              <w:spacing w:after="0"/>
              <w:rPr>
                <w:sz w:val="4"/>
                <w:szCs w:val="4"/>
                <w:color w:val="auto"/>
              </w:rPr>
            </w:pPr>
          </w:p>
        </w:tc>
        <w:tc>
          <w:tcPr>
            <w:tcW w:w="1600" w:type="dxa"/>
            <w:vAlign w:val="bottom"/>
            <w:tcBorders>
              <w:bottom w:val="single" w:sz="8" w:color="582C83"/>
              <w:right w:val="single" w:sz="8" w:color="582C8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right="120" w:hanging="158"/>
        <w:spacing w:after="0" w:line="268" w:lineRule="auto"/>
        <w:tabs>
          <w:tab w:leader="none" w:pos="260" w:val="left"/>
        </w:tabs>
        <w:numPr>
          <w:ilvl w:val="0"/>
          <w:numId w:val="16"/>
        </w:numPr>
        <w:rPr>
          <w:rFonts w:ascii="Arial" w:cs="Arial" w:eastAsia="Arial" w:hAnsi="Arial"/>
          <w:sz w:val="21"/>
          <w:szCs w:val="21"/>
          <w:color w:val="582C83"/>
        </w:rPr>
      </w:pPr>
      <w:r>
        <w:rPr>
          <w:rFonts w:ascii="Arial" w:cs="Arial" w:eastAsia="Arial" w:hAnsi="Arial"/>
          <w:sz w:val="21"/>
          <w:szCs w:val="21"/>
          <w:color w:val="auto"/>
        </w:rPr>
        <w:t>While working at Coca-Cola, Eastman Kodak and Carlyle, Mr. Siewert developed extensive knowledge in the food and beverage and consumer products industries, especially insights into consumer trends and routes-to-market.</w:t>
      </w:r>
    </w:p>
    <w:p>
      <w:pPr>
        <w:ind w:left="260" w:right="540" w:hanging="158"/>
        <w:spacing w:after="0" w:line="256" w:lineRule="auto"/>
        <w:tabs>
          <w:tab w:leader="none" w:pos="260" w:val="left"/>
        </w:tabs>
        <w:numPr>
          <w:ilvl w:val="0"/>
          <w:numId w:val="16"/>
        </w:numPr>
        <w:rPr>
          <w:rFonts w:ascii="Arial" w:cs="Arial" w:eastAsia="Arial" w:hAnsi="Arial"/>
          <w:sz w:val="22"/>
          <w:szCs w:val="22"/>
          <w:color w:val="582C83"/>
        </w:rPr>
      </w:pPr>
      <w:r>
        <w:rPr>
          <w:rFonts w:ascii="Arial" w:cs="Arial" w:eastAsia="Arial" w:hAnsi="Arial"/>
          <w:sz w:val="22"/>
          <w:szCs w:val="22"/>
          <w:color w:val="auto"/>
        </w:rPr>
        <w:t>Mr. Siewert led business operations globally and in Europe, Africa and the Middle East and Asia. He currently focuses on investments in Asian markets and select global opportunities.</w:t>
      </w:r>
    </w:p>
    <w:p>
      <w:pPr>
        <w:ind w:left="260" w:right="540" w:hanging="158"/>
        <w:spacing w:after="0" w:line="259" w:lineRule="auto"/>
        <w:tabs>
          <w:tab w:leader="none" w:pos="260" w:val="left"/>
        </w:tabs>
        <w:numPr>
          <w:ilvl w:val="0"/>
          <w:numId w:val="16"/>
        </w:numPr>
        <w:rPr>
          <w:rFonts w:ascii="Arial" w:cs="Arial" w:eastAsia="Arial" w:hAnsi="Arial"/>
          <w:sz w:val="22"/>
          <w:szCs w:val="22"/>
          <w:color w:val="582C83"/>
        </w:rPr>
      </w:pPr>
      <w:r>
        <w:rPr>
          <w:rFonts w:ascii="Arial" w:cs="Arial" w:eastAsia="Arial" w:hAnsi="Arial"/>
          <w:sz w:val="22"/>
          <w:szCs w:val="22"/>
          <w:color w:val="auto"/>
        </w:rPr>
        <w:t>Mr. Siewert has extensive public company board and corporate governance experience. He is lead director of Avery Dennison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23430" cy="1423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23430" cy="1423035"/>
                    </a:xfrm>
                    <a:prstGeom prst="rect">
                      <a:avLst/>
                    </a:prstGeom>
                    <a:noFill/>
                  </pic:spPr>
                </pic:pic>
              </a:graphicData>
            </a:graphic>
          </wp:anchor>
        </w:drawing>
      </w:r>
    </w:p>
    <w:p>
      <w:pPr>
        <w:spacing w:after="0" w:line="82" w:lineRule="exact"/>
        <w:rPr>
          <w:sz w:val="20"/>
          <w:szCs w:val="20"/>
          <w:color w:val="auto"/>
        </w:rPr>
      </w:pPr>
    </w:p>
    <w:p>
      <w:pPr>
        <w:ind w:left="120" w:right="320"/>
        <w:spacing w:after="0" w:line="259" w:lineRule="auto"/>
        <w:rPr>
          <w:sz w:val="20"/>
          <w:szCs w:val="20"/>
          <w:color w:val="auto"/>
        </w:rPr>
      </w:pPr>
      <w:r>
        <w:rPr>
          <w:rFonts w:ascii="Arial" w:cs="Arial" w:eastAsia="Arial" w:hAnsi="Arial"/>
          <w:sz w:val="22"/>
          <w:szCs w:val="22"/>
          <w:color w:val="auto"/>
        </w:rPr>
        <w:t>Mr. Siewert has served as a Managing Director and Partner for The Carlyle Group, L.P., a global alternative asset management firm, since April 2007.</w:t>
      </w:r>
    </w:p>
    <w:p>
      <w:pPr>
        <w:spacing w:after="0" w:line="75" w:lineRule="exact"/>
        <w:rPr>
          <w:sz w:val="20"/>
          <w:szCs w:val="20"/>
          <w:color w:val="auto"/>
        </w:rPr>
      </w:pPr>
    </w:p>
    <w:p>
      <w:pPr>
        <w:ind w:left="120" w:right="180"/>
        <w:spacing w:after="0" w:line="283" w:lineRule="auto"/>
        <w:rPr>
          <w:sz w:val="20"/>
          <w:szCs w:val="20"/>
          <w:color w:val="auto"/>
        </w:rPr>
      </w:pPr>
      <w:r>
        <w:rPr>
          <w:rFonts w:ascii="Arial" w:cs="Arial" w:eastAsia="Arial" w:hAnsi="Arial"/>
          <w:sz w:val="21"/>
          <w:szCs w:val="21"/>
          <w:color w:val="auto"/>
        </w:rPr>
        <w:t>From 2001 to 2007, he held a variety of roles with The Coca-Cola Company, a global beverage company, including Group President and Chief Operating Officer, Asia, and was a member of the Global Executive Committee.</w:t>
      </w:r>
    </w:p>
    <w:p>
      <w:pPr>
        <w:spacing w:after="0" w:line="52" w:lineRule="exact"/>
        <w:rPr>
          <w:sz w:val="20"/>
          <w:szCs w:val="20"/>
          <w:color w:val="auto"/>
        </w:rPr>
      </w:pPr>
    </w:p>
    <w:p>
      <w:pPr>
        <w:jc w:val="both"/>
        <w:ind w:left="120" w:right="440"/>
        <w:spacing w:after="0" w:line="245" w:lineRule="auto"/>
        <w:rPr>
          <w:sz w:val="20"/>
          <w:szCs w:val="20"/>
          <w:color w:val="auto"/>
        </w:rPr>
      </w:pPr>
      <w:r>
        <w:rPr>
          <w:rFonts w:ascii="Arial" w:cs="Arial" w:eastAsia="Arial" w:hAnsi="Arial"/>
          <w:sz w:val="22"/>
          <w:szCs w:val="22"/>
          <w:color w:val="auto"/>
        </w:rPr>
        <w:t>From 1974 to 2001, he held a variety of roles with Eastman Kodak Company, a technology company focused on imaging products and services, including Chief Operating Officer, Consumer Imaging and Senior Vice President and President of the Kodak Professional Division.</w:t>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4200" w:type="dxa"/>
            <w:vAlign w:val="bottom"/>
            <w:tcBorders>
              <w:top w:val="single" w:sz="8" w:color="582C83"/>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Michael A. Todman</w:t>
            </w:r>
          </w:p>
        </w:tc>
        <w:tc>
          <w:tcPr>
            <w:tcW w:w="20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color w:val="auto"/>
                <w:w w:val="97"/>
              </w:rPr>
              <w:t>Age 64</w:t>
            </w:r>
          </w:p>
        </w:tc>
        <w:tc>
          <w:tcPr>
            <w:tcW w:w="1980" w:type="dxa"/>
            <w:vAlign w:val="bottom"/>
            <w:tcBorders>
              <w:top w:val="single" w:sz="8" w:color="582C83"/>
              <w:right w:val="single" w:sz="8" w:color="582C83"/>
            </w:tcBorders>
          </w:tcPr>
          <w:p>
            <w:pPr>
              <w:spacing w:after="0"/>
              <w:rPr>
                <w:sz w:val="24"/>
                <w:szCs w:val="24"/>
                <w:color w:val="auto"/>
              </w:rPr>
            </w:pPr>
          </w:p>
        </w:tc>
        <w:tc>
          <w:tcPr>
            <w:tcW w:w="380" w:type="dxa"/>
            <w:vAlign w:val="bottom"/>
            <w:tcBorders>
              <w:top w:val="single" w:sz="8" w:color="582C83"/>
            </w:tcBorders>
          </w:tcPr>
          <w:p>
            <w:pPr>
              <w:spacing w:after="0"/>
              <w:rPr>
                <w:sz w:val="24"/>
                <w:szCs w:val="24"/>
                <w:color w:val="auto"/>
              </w:rPr>
            </w:pPr>
          </w:p>
        </w:tc>
        <w:tc>
          <w:tcPr>
            <w:tcW w:w="1600" w:type="dxa"/>
            <w:vAlign w:val="bottom"/>
            <w:tcBorders>
              <w:top w:val="single" w:sz="8" w:color="582C83"/>
              <w:right w:val="single" w:sz="8" w:color="582C83"/>
            </w:tcBorders>
          </w:tcPr>
          <w:p>
            <w:pPr>
              <w:ind w:left="160"/>
              <w:spacing w:after="0"/>
              <w:rPr>
                <w:sz w:val="20"/>
                <w:szCs w:val="20"/>
                <w:color w:val="auto"/>
              </w:rPr>
            </w:pPr>
            <w:r>
              <w:rPr>
                <w:rFonts w:ascii="Arial" w:cs="Arial" w:eastAsia="Arial" w:hAnsi="Arial"/>
                <w:sz w:val="22"/>
                <w:szCs w:val="22"/>
                <w:b w:val="1"/>
                <w:bCs w:val="1"/>
                <w:color w:val="auto"/>
              </w:rPr>
              <w:t>BOARD</w:t>
            </w:r>
          </w:p>
        </w:tc>
        <w:tc>
          <w:tcPr>
            <w:tcW w:w="0" w:type="dxa"/>
            <w:vAlign w:val="bottom"/>
          </w:tcPr>
          <w:p>
            <w:pPr>
              <w:spacing w:after="0"/>
              <w:rPr>
                <w:sz w:val="1"/>
                <w:szCs w:val="1"/>
                <w:color w:val="auto"/>
              </w:rPr>
            </w:pPr>
          </w:p>
        </w:tc>
      </w:tr>
      <w:tr>
        <w:trPr>
          <w:trHeight w:val="150"/>
        </w:trPr>
        <w:tc>
          <w:tcPr>
            <w:tcW w:w="1080" w:type="dxa"/>
            <w:vAlign w:val="bottom"/>
            <w:tcBorders>
              <w:left w:val="single" w:sz="8" w:color="582C83"/>
              <w:right w:val="single" w:sz="8" w:color="582C83"/>
            </w:tcBorders>
          </w:tcPr>
          <w:p>
            <w:pPr>
              <w:spacing w:after="0"/>
              <w:rPr>
                <w:sz w:val="13"/>
                <w:szCs w:val="13"/>
                <w:color w:val="auto"/>
              </w:rPr>
            </w:pPr>
          </w:p>
        </w:tc>
        <w:tc>
          <w:tcPr>
            <w:tcW w:w="4200" w:type="dxa"/>
            <w:vAlign w:val="bottom"/>
            <w:tcBorders>
              <w:right w:val="single" w:sz="8" w:color="582C83"/>
            </w:tcBorders>
            <w:vMerge w:val="continue"/>
          </w:tcPr>
          <w:p>
            <w:pPr>
              <w:spacing w:after="0"/>
              <w:rPr>
                <w:sz w:val="13"/>
                <w:szCs w:val="13"/>
                <w:color w:val="auto"/>
              </w:rPr>
            </w:pP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1980" w:type="dxa"/>
            <w:vAlign w:val="bottom"/>
            <w:tcBorders>
              <w:right w:val="single" w:sz="8" w:color="582C83"/>
            </w:tcBorders>
            <w:vMerge w:val="restart"/>
          </w:tcPr>
          <w:p>
            <w:pPr>
              <w:ind w:left="200"/>
              <w:spacing w:after="0"/>
              <w:rPr>
                <w:sz w:val="20"/>
                <w:szCs w:val="20"/>
                <w:color w:val="auto"/>
              </w:rPr>
            </w:pPr>
            <w:r>
              <w:rPr>
                <w:rFonts w:ascii="Arial" w:cs="Arial" w:eastAsia="Arial" w:hAnsi="Arial"/>
                <w:sz w:val="22"/>
                <w:szCs w:val="22"/>
                <w:b w:val="1"/>
                <w:bCs w:val="1"/>
                <w:color w:val="582C83"/>
              </w:rPr>
              <w:t>INDEPENDENT</w:t>
            </w:r>
          </w:p>
        </w:tc>
        <w:tc>
          <w:tcPr>
            <w:tcW w:w="1980" w:type="dxa"/>
            <w:vAlign w:val="bottom"/>
            <w:tcBorders>
              <w:right w:val="single" w:sz="8" w:color="582C83"/>
            </w:tcBorders>
            <w:gridSpan w:val="2"/>
            <w:vMerge w:val="restart"/>
          </w:tcPr>
          <w:p>
            <w:pPr>
              <w:ind w:left="220"/>
              <w:spacing w:after="0"/>
              <w:rPr>
                <w:sz w:val="20"/>
                <w:szCs w:val="20"/>
                <w:color w:val="auto"/>
              </w:rPr>
            </w:pPr>
            <w:r>
              <w:rPr>
                <w:rFonts w:ascii="Arial" w:cs="Arial" w:eastAsia="Arial" w:hAnsi="Arial"/>
                <w:sz w:val="22"/>
                <w:szCs w:val="22"/>
                <w:b w:val="1"/>
                <w:bCs w:val="1"/>
                <w:color w:val="auto"/>
              </w:rPr>
              <w:t>COMMITTEES:</w:t>
            </w:r>
          </w:p>
        </w:tc>
        <w:tc>
          <w:tcPr>
            <w:tcW w:w="0" w:type="dxa"/>
            <w:vAlign w:val="bottom"/>
          </w:tcPr>
          <w:p>
            <w:pPr>
              <w:spacing w:after="0"/>
              <w:rPr>
                <w:sz w:val="1"/>
                <w:szCs w:val="1"/>
                <w:color w:val="auto"/>
              </w:rPr>
            </w:pPr>
          </w:p>
        </w:tc>
      </w:tr>
      <w:tr>
        <w:trPr>
          <w:trHeight w:val="135"/>
        </w:trPr>
        <w:tc>
          <w:tcPr>
            <w:tcW w:w="1080" w:type="dxa"/>
            <w:vAlign w:val="bottom"/>
            <w:tcBorders>
              <w:left w:val="single" w:sz="8" w:color="582C83"/>
              <w:right w:val="single" w:sz="8" w:color="582C83"/>
            </w:tcBorders>
          </w:tcPr>
          <w:p>
            <w:pPr>
              <w:spacing w:after="0"/>
              <w:rPr>
                <w:sz w:val="11"/>
                <w:szCs w:val="11"/>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Former Vice Chairman,</w:t>
            </w:r>
          </w:p>
        </w:tc>
        <w:tc>
          <w:tcPr>
            <w:tcW w:w="2000" w:type="dxa"/>
            <w:vAlign w:val="bottom"/>
            <w:tcBorders>
              <w:right w:val="single" w:sz="8" w:color="582C83"/>
            </w:tcBorders>
            <w:vMerge w:val="continue"/>
          </w:tcPr>
          <w:p>
            <w:pPr>
              <w:spacing w:after="0"/>
              <w:rPr>
                <w:sz w:val="11"/>
                <w:szCs w:val="11"/>
                <w:color w:val="auto"/>
              </w:rPr>
            </w:pPr>
          </w:p>
        </w:tc>
        <w:tc>
          <w:tcPr>
            <w:tcW w:w="1980" w:type="dxa"/>
            <w:vAlign w:val="bottom"/>
            <w:tcBorders>
              <w:right w:val="single" w:sz="8" w:color="582C83"/>
            </w:tcBorders>
            <w:vMerge w:val="continue"/>
          </w:tcPr>
          <w:p>
            <w:pPr>
              <w:spacing w:after="0"/>
              <w:rPr>
                <w:sz w:val="11"/>
                <w:szCs w:val="11"/>
                <w:color w:val="auto"/>
              </w:rPr>
            </w:pPr>
          </w:p>
        </w:tc>
        <w:tc>
          <w:tcPr>
            <w:tcW w:w="1980" w:type="dxa"/>
            <w:vAlign w:val="bottom"/>
            <w:tcBorders>
              <w:right w:val="single" w:sz="8" w:color="582C83"/>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80" w:type="dxa"/>
            <w:vAlign w:val="bottom"/>
            <w:tcBorders>
              <w:left w:val="single" w:sz="8" w:color="582C83"/>
              <w:right w:val="single" w:sz="8" w:color="582C83"/>
            </w:tcBorders>
          </w:tcPr>
          <w:p>
            <w:pPr>
              <w:spacing w:after="0"/>
              <w:rPr>
                <w:sz w:val="10"/>
                <w:szCs w:val="10"/>
                <w:color w:val="auto"/>
              </w:rPr>
            </w:pPr>
          </w:p>
        </w:tc>
        <w:tc>
          <w:tcPr>
            <w:tcW w:w="4200" w:type="dxa"/>
            <w:vAlign w:val="bottom"/>
            <w:tcBorders>
              <w:right w:val="single" w:sz="8" w:color="582C83"/>
            </w:tcBorders>
            <w:vMerge w:val="continue"/>
          </w:tcPr>
          <w:p>
            <w:pPr>
              <w:spacing w:after="0"/>
              <w:rPr>
                <w:sz w:val="10"/>
                <w:szCs w:val="10"/>
                <w:color w:val="auto"/>
              </w:rPr>
            </w:pP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May 2020</w:t>
            </w:r>
          </w:p>
        </w:tc>
        <w:tc>
          <w:tcPr>
            <w:tcW w:w="1980" w:type="dxa"/>
            <w:vAlign w:val="bottom"/>
            <w:tcBorders>
              <w:right w:val="single" w:sz="8" w:color="582C83"/>
            </w:tcBorders>
            <w:vMerge w:val="continue"/>
          </w:tcPr>
          <w:p>
            <w:pPr>
              <w:spacing w:after="0"/>
              <w:rPr>
                <w:sz w:val="10"/>
                <w:szCs w:val="10"/>
                <w:color w:val="auto"/>
              </w:rPr>
            </w:pPr>
          </w:p>
        </w:tc>
        <w:tc>
          <w:tcPr>
            <w:tcW w:w="380" w:type="dxa"/>
            <w:vAlign w:val="bottom"/>
            <w:vMerge w:val="restart"/>
          </w:tcPr>
          <w:p>
            <w:pPr>
              <w:ind w:left="220"/>
              <w:spacing w:after="0"/>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Audit</w:t>
            </w: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420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Whirlpool Corporation</w:t>
            </w:r>
          </w:p>
        </w:tc>
        <w:tc>
          <w:tcPr>
            <w:tcW w:w="2000" w:type="dxa"/>
            <w:vAlign w:val="bottom"/>
            <w:tcBorders>
              <w:right w:val="single" w:sz="8" w:color="582C83"/>
            </w:tcBorders>
            <w:vMerge w:val="continue"/>
          </w:tcPr>
          <w:p>
            <w:pPr>
              <w:spacing w:after="0"/>
              <w:rPr>
                <w:sz w:val="14"/>
                <w:szCs w:val="14"/>
                <w:color w:val="auto"/>
              </w:rPr>
            </w:pPr>
          </w:p>
        </w:tc>
        <w:tc>
          <w:tcPr>
            <w:tcW w:w="1980" w:type="dxa"/>
            <w:vAlign w:val="bottom"/>
            <w:tcBorders>
              <w:right w:val="single" w:sz="8" w:color="582C83"/>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1600" w:type="dxa"/>
            <w:vAlign w:val="bottom"/>
            <w:tcBorders>
              <w:right w:val="single" w:sz="8" w:color="582C83"/>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80" w:type="dxa"/>
            <w:vAlign w:val="bottom"/>
            <w:tcBorders>
              <w:left w:val="single" w:sz="8" w:color="582C83"/>
              <w:right w:val="single" w:sz="8" w:color="582C83"/>
            </w:tcBorders>
          </w:tcPr>
          <w:p>
            <w:pPr>
              <w:spacing w:after="0"/>
              <w:rPr>
                <w:sz w:val="10"/>
                <w:szCs w:val="10"/>
                <w:color w:val="auto"/>
              </w:rPr>
            </w:pPr>
          </w:p>
        </w:tc>
        <w:tc>
          <w:tcPr>
            <w:tcW w:w="4200" w:type="dxa"/>
            <w:vAlign w:val="bottom"/>
            <w:tcBorders>
              <w:right w:val="single" w:sz="8" w:color="582C83"/>
            </w:tcBorders>
            <w:vMerge w:val="continue"/>
          </w:tcPr>
          <w:p>
            <w:pPr>
              <w:spacing w:after="0"/>
              <w:rPr>
                <w:sz w:val="10"/>
                <w:szCs w:val="10"/>
                <w:color w:val="auto"/>
              </w:rPr>
            </w:pPr>
          </w:p>
        </w:tc>
        <w:tc>
          <w:tcPr>
            <w:tcW w:w="20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Black/Male</w:t>
            </w:r>
          </w:p>
        </w:tc>
        <w:tc>
          <w:tcPr>
            <w:tcW w:w="1980" w:type="dxa"/>
            <w:vAlign w:val="bottom"/>
            <w:tcBorders>
              <w:right w:val="single" w:sz="8" w:color="582C83"/>
            </w:tcBorders>
          </w:tcPr>
          <w:p>
            <w:pPr>
              <w:spacing w:after="0"/>
              <w:rPr>
                <w:sz w:val="10"/>
                <w:szCs w:val="10"/>
                <w:color w:val="auto"/>
              </w:rPr>
            </w:pPr>
          </w:p>
        </w:tc>
        <w:tc>
          <w:tcPr>
            <w:tcW w:w="380" w:type="dxa"/>
            <w:vAlign w:val="bottom"/>
            <w:vMerge w:val="restart"/>
          </w:tcPr>
          <w:p>
            <w:pPr>
              <w:ind w:left="220"/>
              <w:spacing w:after="0"/>
              <w:rPr>
                <w:sz w:val="20"/>
                <w:szCs w:val="20"/>
                <w:color w:val="auto"/>
              </w:rPr>
            </w:pPr>
            <w:r>
              <w:rPr>
                <w:rFonts w:ascii="Arial" w:cs="Arial" w:eastAsia="Arial" w:hAnsi="Arial"/>
                <w:sz w:val="22"/>
                <w:szCs w:val="22"/>
                <w:color w:val="582C83"/>
              </w:rPr>
              <w:t>•</w:t>
            </w:r>
          </w:p>
        </w:tc>
        <w:tc>
          <w:tcPr>
            <w:tcW w:w="160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Governance</w:t>
            </w:r>
          </w:p>
        </w:tc>
        <w:tc>
          <w:tcPr>
            <w:tcW w:w="0" w:type="dxa"/>
            <w:vAlign w:val="bottom"/>
          </w:tcPr>
          <w:p>
            <w:pPr>
              <w:spacing w:after="0"/>
              <w:rPr>
                <w:sz w:val="1"/>
                <w:szCs w:val="1"/>
                <w:color w:val="auto"/>
              </w:rPr>
            </w:pPr>
          </w:p>
        </w:tc>
      </w:tr>
      <w:tr>
        <w:trPr>
          <w:trHeight w:val="189"/>
        </w:trPr>
        <w:tc>
          <w:tcPr>
            <w:tcW w:w="1080" w:type="dxa"/>
            <w:vAlign w:val="bottom"/>
            <w:tcBorders>
              <w:left w:val="single" w:sz="8" w:color="582C83"/>
              <w:right w:val="single" w:sz="8" w:color="582C83"/>
            </w:tcBorders>
          </w:tcPr>
          <w:p>
            <w:pPr>
              <w:spacing w:after="0"/>
              <w:rPr>
                <w:sz w:val="16"/>
                <w:szCs w:val="16"/>
                <w:color w:val="auto"/>
              </w:rPr>
            </w:pPr>
          </w:p>
        </w:tc>
        <w:tc>
          <w:tcPr>
            <w:tcW w:w="4200" w:type="dxa"/>
            <w:vAlign w:val="bottom"/>
            <w:tcBorders>
              <w:right w:val="single" w:sz="8" w:color="582C83"/>
            </w:tcBorders>
          </w:tcPr>
          <w:p>
            <w:pPr>
              <w:spacing w:after="0"/>
              <w:rPr>
                <w:sz w:val="16"/>
                <w:szCs w:val="16"/>
                <w:color w:val="auto"/>
              </w:rPr>
            </w:pPr>
          </w:p>
        </w:tc>
        <w:tc>
          <w:tcPr>
            <w:tcW w:w="2000" w:type="dxa"/>
            <w:vAlign w:val="bottom"/>
            <w:tcBorders>
              <w:right w:val="single" w:sz="8" w:color="582C83"/>
            </w:tcBorders>
            <w:vMerge w:val="continue"/>
          </w:tcPr>
          <w:p>
            <w:pPr>
              <w:spacing w:after="0"/>
              <w:rPr>
                <w:sz w:val="16"/>
                <w:szCs w:val="16"/>
                <w:color w:val="auto"/>
              </w:rPr>
            </w:pPr>
          </w:p>
        </w:tc>
        <w:tc>
          <w:tcPr>
            <w:tcW w:w="1980" w:type="dxa"/>
            <w:vAlign w:val="bottom"/>
            <w:tcBorders>
              <w:right w:val="single" w:sz="8" w:color="582C83"/>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1600" w:type="dxa"/>
            <w:vAlign w:val="bottom"/>
            <w:tcBorders>
              <w:right w:val="single" w:sz="8" w:color="582C8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080" w:type="dxa"/>
            <w:vAlign w:val="bottom"/>
            <w:tcBorders>
              <w:left w:val="single" w:sz="8" w:color="582C83"/>
              <w:bottom w:val="single" w:sz="8" w:color="582C83"/>
              <w:right w:val="single" w:sz="8" w:color="582C83"/>
            </w:tcBorders>
          </w:tcPr>
          <w:p>
            <w:pPr>
              <w:spacing w:after="0"/>
              <w:rPr>
                <w:sz w:val="5"/>
                <w:szCs w:val="5"/>
                <w:color w:val="auto"/>
              </w:rPr>
            </w:pPr>
          </w:p>
        </w:tc>
        <w:tc>
          <w:tcPr>
            <w:tcW w:w="4200" w:type="dxa"/>
            <w:vAlign w:val="bottom"/>
            <w:tcBorders>
              <w:bottom w:val="single" w:sz="8" w:color="582C83"/>
              <w:right w:val="single" w:sz="8" w:color="582C83"/>
            </w:tcBorders>
          </w:tcPr>
          <w:p>
            <w:pPr>
              <w:spacing w:after="0"/>
              <w:rPr>
                <w:sz w:val="5"/>
                <w:szCs w:val="5"/>
                <w:color w:val="auto"/>
              </w:rPr>
            </w:pPr>
          </w:p>
        </w:tc>
        <w:tc>
          <w:tcPr>
            <w:tcW w:w="2000" w:type="dxa"/>
            <w:vAlign w:val="bottom"/>
            <w:tcBorders>
              <w:bottom w:val="single" w:sz="8" w:color="582C83"/>
              <w:right w:val="single" w:sz="8" w:color="582C83"/>
            </w:tcBorders>
          </w:tcPr>
          <w:p>
            <w:pPr>
              <w:spacing w:after="0"/>
              <w:rPr>
                <w:sz w:val="5"/>
                <w:szCs w:val="5"/>
                <w:color w:val="auto"/>
              </w:rPr>
            </w:pPr>
          </w:p>
        </w:tc>
        <w:tc>
          <w:tcPr>
            <w:tcW w:w="1980" w:type="dxa"/>
            <w:vAlign w:val="bottom"/>
            <w:tcBorders>
              <w:bottom w:val="single" w:sz="8" w:color="582C83"/>
              <w:right w:val="single" w:sz="8" w:color="582C83"/>
            </w:tcBorders>
          </w:tcPr>
          <w:p>
            <w:pPr>
              <w:spacing w:after="0"/>
              <w:rPr>
                <w:sz w:val="5"/>
                <w:szCs w:val="5"/>
                <w:color w:val="auto"/>
              </w:rPr>
            </w:pPr>
          </w:p>
        </w:tc>
        <w:tc>
          <w:tcPr>
            <w:tcW w:w="380" w:type="dxa"/>
            <w:vAlign w:val="bottom"/>
            <w:tcBorders>
              <w:bottom w:val="single" w:sz="8" w:color="582C83"/>
            </w:tcBorders>
          </w:tcPr>
          <w:p>
            <w:pPr>
              <w:spacing w:after="0"/>
              <w:rPr>
                <w:sz w:val="5"/>
                <w:szCs w:val="5"/>
                <w:color w:val="auto"/>
              </w:rPr>
            </w:pPr>
          </w:p>
        </w:tc>
        <w:tc>
          <w:tcPr>
            <w:tcW w:w="16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54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5475" cy="62547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hanging="158"/>
        <w:spacing w:after="0"/>
        <w:tabs>
          <w:tab w:leader="none" w:pos="260" w:val="left"/>
        </w:tabs>
        <w:numPr>
          <w:ilvl w:val="0"/>
          <w:numId w:val="17"/>
        </w:numPr>
        <w:rPr>
          <w:rFonts w:ascii="Arial" w:cs="Arial" w:eastAsia="Arial" w:hAnsi="Arial"/>
          <w:sz w:val="22"/>
          <w:szCs w:val="22"/>
          <w:color w:val="582C83"/>
        </w:rPr>
      </w:pPr>
      <w:r>
        <w:rPr>
          <w:rFonts w:ascii="Arial" w:cs="Arial" w:eastAsia="Arial" w:hAnsi="Arial"/>
          <w:sz w:val="22"/>
          <w:szCs w:val="22"/>
          <w:color w:val="auto"/>
        </w:rPr>
        <w:t>Mr. Todman has broad leadership experience, including leading a $10 billion international business unit.</w:t>
      </w:r>
    </w:p>
    <w:p>
      <w:pPr>
        <w:spacing w:after="0" w:line="44" w:lineRule="exact"/>
        <w:rPr>
          <w:rFonts w:ascii="Arial" w:cs="Arial" w:eastAsia="Arial" w:hAnsi="Arial"/>
          <w:sz w:val="22"/>
          <w:szCs w:val="22"/>
          <w:color w:val="582C83"/>
        </w:rPr>
      </w:pPr>
    </w:p>
    <w:p>
      <w:pPr>
        <w:ind w:left="260" w:right="180" w:hanging="158"/>
        <w:spacing w:after="0" w:line="256" w:lineRule="auto"/>
        <w:tabs>
          <w:tab w:leader="none" w:pos="260" w:val="left"/>
        </w:tabs>
        <w:numPr>
          <w:ilvl w:val="0"/>
          <w:numId w:val="17"/>
        </w:numPr>
        <w:rPr>
          <w:rFonts w:ascii="Arial" w:cs="Arial" w:eastAsia="Arial" w:hAnsi="Arial"/>
          <w:sz w:val="22"/>
          <w:szCs w:val="22"/>
          <w:color w:val="582C83"/>
        </w:rPr>
      </w:pPr>
      <w:r>
        <w:rPr>
          <w:rFonts w:ascii="Arial" w:cs="Arial" w:eastAsia="Arial" w:hAnsi="Arial"/>
          <w:sz w:val="22"/>
          <w:szCs w:val="22"/>
          <w:color w:val="auto"/>
        </w:rPr>
        <w:t>Mr. Todman brings strong industry knowledge and marketing experience. He has extensive consumer experience from Whirlpool and as a director of Newell Brands and Brown-Forman.</w:t>
      </w:r>
    </w:p>
    <w:p>
      <w:pPr>
        <w:ind w:left="260" w:right="780" w:hanging="158"/>
        <w:spacing w:after="0" w:line="256" w:lineRule="auto"/>
        <w:tabs>
          <w:tab w:leader="none" w:pos="260" w:val="left"/>
        </w:tabs>
        <w:numPr>
          <w:ilvl w:val="0"/>
          <w:numId w:val="17"/>
        </w:numPr>
        <w:rPr>
          <w:rFonts w:ascii="Arial" w:cs="Arial" w:eastAsia="Arial" w:hAnsi="Arial"/>
          <w:sz w:val="22"/>
          <w:szCs w:val="22"/>
          <w:color w:val="582C83"/>
        </w:rPr>
      </w:pPr>
      <w:r>
        <w:rPr>
          <w:rFonts w:ascii="Arial" w:cs="Arial" w:eastAsia="Arial" w:hAnsi="Arial"/>
          <w:sz w:val="22"/>
          <w:szCs w:val="22"/>
          <w:color w:val="auto"/>
        </w:rPr>
        <w:t>Mr. Todman has comprehensive knowledge of emerging markets and has led strategic growth initiatives for emerging markets in Asia.</w:t>
      </w:r>
    </w:p>
    <w:p>
      <w:pPr>
        <w:ind w:left="260" w:right="240" w:hanging="158"/>
        <w:spacing w:after="0" w:line="283" w:lineRule="auto"/>
        <w:tabs>
          <w:tab w:leader="none" w:pos="260" w:val="left"/>
        </w:tabs>
        <w:numPr>
          <w:ilvl w:val="0"/>
          <w:numId w:val="17"/>
        </w:numPr>
        <w:rPr>
          <w:rFonts w:ascii="Arial" w:cs="Arial" w:eastAsia="Arial" w:hAnsi="Arial"/>
          <w:sz w:val="21"/>
          <w:szCs w:val="21"/>
          <w:color w:val="582C83"/>
        </w:rPr>
      </w:pPr>
      <w:r>
        <w:rPr>
          <w:rFonts w:ascii="Arial" w:cs="Arial" w:eastAsia="Arial" w:hAnsi="Arial"/>
          <w:sz w:val="21"/>
          <w:szCs w:val="21"/>
          <w:color w:val="auto"/>
        </w:rPr>
        <w:t>Mr. Todman has extensive public company board and corporate governance experience. He is a director of Brown-Forman, Carrier Global Corporation and Prudential and a former director of Newell Brands and Whirlpool.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23430" cy="1491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59" w:lineRule="exact"/>
        <w:rPr>
          <w:sz w:val="20"/>
          <w:szCs w:val="20"/>
          <w:color w:val="auto"/>
        </w:rPr>
      </w:pPr>
    </w:p>
    <w:p>
      <w:pPr>
        <w:ind w:left="120" w:right="100"/>
        <w:spacing w:after="0" w:line="251" w:lineRule="auto"/>
        <w:rPr>
          <w:sz w:val="20"/>
          <w:szCs w:val="20"/>
          <w:color w:val="auto"/>
        </w:rPr>
      </w:pPr>
      <w:r>
        <w:rPr>
          <w:rFonts w:ascii="Arial" w:cs="Arial" w:eastAsia="Arial" w:hAnsi="Arial"/>
          <w:sz w:val="21"/>
          <w:szCs w:val="21"/>
          <w:color w:val="auto"/>
        </w:rPr>
        <w:t>Mr. Todman served as Vice Chairman of Whirlpool Corporation, a major home appliance company, from November 2014 until his retirement in December 2015, and as a member of the Board of Directors from 2006 to December 2015. Prior to that, Mr. Todman was President, Whirlpool International, from 2009 to 2014 and President, Whirlpool North America, from 2007 to 2009. Mr. Todman was employed by Whirlpool beginning in 1993 in various capacities, including management, operations, sales and marketing positions in North America and Europe.</w:t>
      </w:r>
    </w:p>
    <w:p>
      <w:pPr>
        <w:spacing w:after="0" w:line="87" w:lineRule="exact"/>
        <w:rPr>
          <w:sz w:val="20"/>
          <w:szCs w:val="20"/>
          <w:color w:val="auto"/>
        </w:rPr>
      </w:pPr>
    </w:p>
    <w:p>
      <w:pPr>
        <w:ind w:left="120" w:right="340"/>
        <w:spacing w:after="0" w:line="245" w:lineRule="auto"/>
        <w:rPr>
          <w:sz w:val="20"/>
          <w:szCs w:val="20"/>
          <w:color w:val="auto"/>
        </w:rPr>
      </w:pPr>
      <w:r>
        <w:rPr>
          <w:rFonts w:ascii="Arial" w:cs="Arial" w:eastAsia="Arial" w:hAnsi="Arial"/>
          <w:sz w:val="22"/>
          <w:szCs w:val="22"/>
          <w:color w:val="auto"/>
        </w:rPr>
        <w:t>Before joining Whirlpool, Mr. Todman served in a variety of roles of increasing responsibility with Wang Laboratories, Inc., a manufacturer of computer systems, from 1983 to 1993, and PricewaterhouseCoopers LLP, a multinational professional services firm, from 1979 to 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352"/>
        </w:trPr>
        <w:tc>
          <w:tcPr>
            <w:tcW w:w="1080" w:type="dxa"/>
            <w:vAlign w:val="bottom"/>
            <w:tcBorders>
              <w:top w:val="single" w:sz="8" w:color="582C83"/>
              <w:left w:val="single" w:sz="8" w:color="582C83"/>
              <w:right w:val="single" w:sz="8" w:color="582C83"/>
            </w:tcBorders>
          </w:tcPr>
          <w:p>
            <w:pPr>
              <w:spacing w:after="0"/>
              <w:rPr>
                <w:sz w:val="24"/>
                <w:szCs w:val="24"/>
                <w:color w:val="auto"/>
              </w:rPr>
            </w:pPr>
          </w:p>
        </w:tc>
        <w:tc>
          <w:tcPr>
            <w:tcW w:w="5860" w:type="dxa"/>
            <w:vAlign w:val="bottom"/>
            <w:tcBorders>
              <w:top w:val="single" w:sz="8" w:color="582C83"/>
              <w:right w:val="single" w:sz="8" w:color="582C83"/>
            </w:tcBorders>
            <w:vMerge w:val="restart"/>
          </w:tcPr>
          <w:p>
            <w:pPr>
              <w:ind w:left="180"/>
              <w:spacing w:after="0"/>
              <w:rPr>
                <w:sz w:val="20"/>
                <w:szCs w:val="20"/>
                <w:color w:val="auto"/>
              </w:rPr>
            </w:pPr>
            <w:r>
              <w:rPr>
                <w:rFonts w:ascii="Arial" w:cs="Arial" w:eastAsia="Arial" w:hAnsi="Arial"/>
                <w:sz w:val="22"/>
                <w:szCs w:val="22"/>
                <w:b w:val="1"/>
                <w:bCs w:val="1"/>
                <w:color w:val="auto"/>
              </w:rPr>
              <w:t>Dirk Van de Put</w:t>
            </w:r>
          </w:p>
        </w:tc>
        <w:tc>
          <w:tcPr>
            <w:tcW w:w="4300" w:type="dxa"/>
            <w:vAlign w:val="bottom"/>
            <w:tcBorders>
              <w:top w:val="single" w:sz="8" w:color="582C83"/>
              <w:right w:val="single" w:sz="8" w:color="582C83"/>
            </w:tcBorders>
          </w:tcPr>
          <w:p>
            <w:pPr>
              <w:jc w:val="center"/>
              <w:spacing w:after="0"/>
              <w:rPr>
                <w:sz w:val="20"/>
                <w:szCs w:val="20"/>
                <w:color w:val="auto"/>
              </w:rPr>
            </w:pPr>
            <w:r>
              <w:rPr>
                <w:rFonts w:ascii="Arial" w:cs="Arial" w:eastAsia="Arial" w:hAnsi="Arial"/>
                <w:sz w:val="22"/>
                <w:szCs w:val="22"/>
                <w:color w:val="auto"/>
                <w:w w:val="97"/>
              </w:rPr>
              <w:t>Age 61</w:t>
            </w:r>
          </w:p>
        </w:tc>
        <w:tc>
          <w:tcPr>
            <w:tcW w:w="0" w:type="dxa"/>
            <w:vAlign w:val="bottom"/>
          </w:tcPr>
          <w:p>
            <w:pPr>
              <w:spacing w:after="0"/>
              <w:rPr>
                <w:sz w:val="1"/>
                <w:szCs w:val="1"/>
                <w:color w:val="auto"/>
              </w:rPr>
            </w:pPr>
          </w:p>
        </w:tc>
      </w:tr>
      <w:tr>
        <w:trPr>
          <w:trHeight w:val="162"/>
        </w:trPr>
        <w:tc>
          <w:tcPr>
            <w:tcW w:w="1080" w:type="dxa"/>
            <w:vAlign w:val="bottom"/>
            <w:tcBorders>
              <w:left w:val="single" w:sz="8" w:color="582C83"/>
              <w:right w:val="single" w:sz="8" w:color="582C83"/>
            </w:tcBorders>
          </w:tcPr>
          <w:p>
            <w:pPr>
              <w:spacing w:after="0"/>
              <w:rPr>
                <w:sz w:val="14"/>
                <w:szCs w:val="14"/>
                <w:color w:val="auto"/>
              </w:rPr>
            </w:pPr>
          </w:p>
        </w:tc>
        <w:tc>
          <w:tcPr>
            <w:tcW w:w="5860" w:type="dxa"/>
            <w:vAlign w:val="bottom"/>
            <w:tcBorders>
              <w:right w:val="single" w:sz="8" w:color="582C83"/>
            </w:tcBorders>
            <w:vMerge w:val="continue"/>
          </w:tcPr>
          <w:p>
            <w:pPr>
              <w:spacing w:after="0"/>
              <w:rPr>
                <w:sz w:val="14"/>
                <w:szCs w:val="14"/>
                <w:color w:val="auto"/>
              </w:rPr>
            </w:pPr>
          </w:p>
        </w:tc>
        <w:tc>
          <w:tcPr>
            <w:tcW w:w="43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b w:val="1"/>
                <w:bCs w:val="1"/>
                <w:color w:val="auto"/>
                <w:w w:val="98"/>
              </w:rPr>
              <w:t>DIRECTOR SINCE:</w:t>
            </w:r>
          </w:p>
        </w:tc>
        <w:tc>
          <w:tcPr>
            <w:tcW w:w="0" w:type="dxa"/>
            <w:vAlign w:val="bottom"/>
          </w:tcPr>
          <w:p>
            <w:pPr>
              <w:spacing w:after="0"/>
              <w:rPr>
                <w:sz w:val="1"/>
                <w:szCs w:val="1"/>
                <w:color w:val="auto"/>
              </w:rPr>
            </w:pPr>
          </w:p>
        </w:tc>
      </w:tr>
      <w:tr>
        <w:trPr>
          <w:trHeight w:val="147"/>
        </w:trPr>
        <w:tc>
          <w:tcPr>
            <w:tcW w:w="1080" w:type="dxa"/>
            <w:vAlign w:val="bottom"/>
            <w:tcBorders>
              <w:left w:val="single" w:sz="8" w:color="582C83"/>
              <w:right w:val="single" w:sz="8" w:color="582C83"/>
            </w:tcBorders>
          </w:tcPr>
          <w:p>
            <w:pPr>
              <w:spacing w:after="0"/>
              <w:rPr>
                <w:sz w:val="12"/>
                <w:szCs w:val="12"/>
                <w:color w:val="auto"/>
              </w:rPr>
            </w:pPr>
          </w:p>
        </w:tc>
        <w:tc>
          <w:tcPr>
            <w:tcW w:w="58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Chairman and Chief Executive Officer,</w:t>
            </w:r>
          </w:p>
        </w:tc>
        <w:tc>
          <w:tcPr>
            <w:tcW w:w="4300" w:type="dxa"/>
            <w:vAlign w:val="bottom"/>
            <w:tcBorders>
              <w:right w:val="single" w:sz="8" w:color="582C8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582C83"/>
              <w:right w:val="single" w:sz="8" w:color="582C83"/>
            </w:tcBorders>
          </w:tcPr>
          <w:p>
            <w:pPr>
              <w:spacing w:after="0"/>
              <w:rPr>
                <w:sz w:val="9"/>
                <w:szCs w:val="9"/>
                <w:color w:val="auto"/>
              </w:rPr>
            </w:pPr>
          </w:p>
        </w:tc>
        <w:tc>
          <w:tcPr>
            <w:tcW w:w="5860" w:type="dxa"/>
            <w:vAlign w:val="bottom"/>
            <w:tcBorders>
              <w:right w:val="single" w:sz="8" w:color="582C83"/>
            </w:tcBorders>
            <w:vMerge w:val="continue"/>
          </w:tcPr>
          <w:p>
            <w:pPr>
              <w:spacing w:after="0"/>
              <w:rPr>
                <w:sz w:val="9"/>
                <w:szCs w:val="9"/>
                <w:color w:val="auto"/>
              </w:rPr>
            </w:pPr>
          </w:p>
        </w:tc>
        <w:tc>
          <w:tcPr>
            <w:tcW w:w="43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7"/>
              </w:rPr>
              <w:t>November 2017</w:t>
            </w:r>
          </w:p>
        </w:tc>
        <w:tc>
          <w:tcPr>
            <w:tcW w:w="0" w:type="dxa"/>
            <w:vAlign w:val="bottom"/>
          </w:tcPr>
          <w:p>
            <w:pPr>
              <w:spacing w:after="0"/>
              <w:rPr>
                <w:sz w:val="1"/>
                <w:szCs w:val="1"/>
                <w:color w:val="auto"/>
              </w:rPr>
            </w:pPr>
          </w:p>
        </w:tc>
      </w:tr>
      <w:tr>
        <w:trPr>
          <w:trHeight w:val="175"/>
        </w:trPr>
        <w:tc>
          <w:tcPr>
            <w:tcW w:w="1080" w:type="dxa"/>
            <w:vAlign w:val="bottom"/>
            <w:tcBorders>
              <w:left w:val="single" w:sz="8" w:color="582C83"/>
              <w:right w:val="single" w:sz="8" w:color="582C83"/>
            </w:tcBorders>
          </w:tcPr>
          <w:p>
            <w:pPr>
              <w:spacing w:after="0"/>
              <w:rPr>
                <w:sz w:val="15"/>
                <w:szCs w:val="15"/>
                <w:color w:val="auto"/>
              </w:rPr>
            </w:pPr>
          </w:p>
        </w:tc>
        <w:tc>
          <w:tcPr>
            <w:tcW w:w="5860" w:type="dxa"/>
            <w:vAlign w:val="bottom"/>
            <w:tcBorders>
              <w:right w:val="single" w:sz="8" w:color="582C83"/>
            </w:tcBorders>
            <w:vMerge w:val="restart"/>
          </w:tcPr>
          <w:p>
            <w:pPr>
              <w:ind w:left="180"/>
              <w:spacing w:after="0"/>
              <w:rPr>
                <w:sz w:val="20"/>
                <w:szCs w:val="20"/>
                <w:color w:val="auto"/>
              </w:rPr>
            </w:pPr>
            <w:r>
              <w:rPr>
                <w:rFonts w:ascii="Arial" w:cs="Arial" w:eastAsia="Arial" w:hAnsi="Arial"/>
                <w:sz w:val="22"/>
                <w:szCs w:val="22"/>
                <w:i w:val="1"/>
                <w:iCs w:val="1"/>
                <w:color w:val="auto"/>
              </w:rPr>
              <w:t>Mondelēz International, Inc.</w:t>
            </w:r>
          </w:p>
        </w:tc>
        <w:tc>
          <w:tcPr>
            <w:tcW w:w="4300" w:type="dxa"/>
            <w:vAlign w:val="bottom"/>
            <w:tcBorders>
              <w:right w:val="single" w:sz="8" w:color="582C83"/>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80" w:type="dxa"/>
            <w:vAlign w:val="bottom"/>
            <w:tcBorders>
              <w:left w:val="single" w:sz="8" w:color="582C83"/>
              <w:right w:val="single" w:sz="8" w:color="582C83"/>
            </w:tcBorders>
          </w:tcPr>
          <w:p>
            <w:pPr>
              <w:spacing w:after="0"/>
              <w:rPr>
                <w:sz w:val="9"/>
                <w:szCs w:val="9"/>
                <w:color w:val="auto"/>
              </w:rPr>
            </w:pPr>
          </w:p>
        </w:tc>
        <w:tc>
          <w:tcPr>
            <w:tcW w:w="5860" w:type="dxa"/>
            <w:vAlign w:val="bottom"/>
            <w:tcBorders>
              <w:right w:val="single" w:sz="8" w:color="582C83"/>
            </w:tcBorders>
            <w:vMerge w:val="continue"/>
          </w:tcPr>
          <w:p>
            <w:pPr>
              <w:spacing w:after="0"/>
              <w:rPr>
                <w:sz w:val="9"/>
                <w:szCs w:val="9"/>
                <w:color w:val="auto"/>
              </w:rPr>
            </w:pPr>
          </w:p>
        </w:tc>
        <w:tc>
          <w:tcPr>
            <w:tcW w:w="4300" w:type="dxa"/>
            <w:vAlign w:val="bottom"/>
            <w:tcBorders>
              <w:right w:val="single" w:sz="8" w:color="582C83"/>
            </w:tcBorders>
            <w:vMerge w:val="restart"/>
          </w:tcPr>
          <w:p>
            <w:pPr>
              <w:jc w:val="center"/>
              <w:spacing w:after="0"/>
              <w:rPr>
                <w:sz w:val="20"/>
                <w:szCs w:val="20"/>
                <w:color w:val="auto"/>
              </w:rPr>
            </w:pPr>
            <w:r>
              <w:rPr>
                <w:rFonts w:ascii="Arial" w:cs="Arial" w:eastAsia="Arial" w:hAnsi="Arial"/>
                <w:sz w:val="22"/>
                <w:szCs w:val="22"/>
                <w:color w:val="auto"/>
                <w:w w:val="98"/>
              </w:rPr>
              <w:t>White/Male</w:t>
            </w:r>
          </w:p>
        </w:tc>
        <w:tc>
          <w:tcPr>
            <w:tcW w:w="0" w:type="dxa"/>
            <w:vAlign w:val="bottom"/>
          </w:tcPr>
          <w:p>
            <w:pPr>
              <w:spacing w:after="0"/>
              <w:rPr>
                <w:sz w:val="1"/>
                <w:szCs w:val="1"/>
                <w:color w:val="auto"/>
              </w:rPr>
            </w:pPr>
          </w:p>
        </w:tc>
      </w:tr>
      <w:tr>
        <w:trPr>
          <w:trHeight w:val="189"/>
        </w:trPr>
        <w:tc>
          <w:tcPr>
            <w:tcW w:w="1080" w:type="dxa"/>
            <w:vAlign w:val="bottom"/>
            <w:tcBorders>
              <w:left w:val="single" w:sz="8" w:color="582C83"/>
              <w:right w:val="single" w:sz="8" w:color="582C83"/>
            </w:tcBorders>
          </w:tcPr>
          <w:p>
            <w:pPr>
              <w:spacing w:after="0"/>
              <w:rPr>
                <w:sz w:val="16"/>
                <w:szCs w:val="16"/>
                <w:color w:val="auto"/>
              </w:rPr>
            </w:pPr>
          </w:p>
        </w:tc>
        <w:tc>
          <w:tcPr>
            <w:tcW w:w="5860" w:type="dxa"/>
            <w:vAlign w:val="bottom"/>
            <w:tcBorders>
              <w:right w:val="single" w:sz="8" w:color="582C83"/>
            </w:tcBorders>
          </w:tcPr>
          <w:p>
            <w:pPr>
              <w:spacing w:after="0"/>
              <w:rPr>
                <w:sz w:val="16"/>
                <w:szCs w:val="16"/>
                <w:color w:val="auto"/>
              </w:rPr>
            </w:pPr>
          </w:p>
        </w:tc>
        <w:tc>
          <w:tcPr>
            <w:tcW w:w="4300" w:type="dxa"/>
            <w:vAlign w:val="bottom"/>
            <w:tcBorders>
              <w:right w:val="single" w:sz="8" w:color="582C8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080" w:type="dxa"/>
            <w:vAlign w:val="bottom"/>
            <w:tcBorders>
              <w:left w:val="single" w:sz="8" w:color="582C83"/>
              <w:bottom w:val="single" w:sz="8" w:color="582C83"/>
              <w:right w:val="single" w:sz="8" w:color="582C83"/>
            </w:tcBorders>
          </w:tcPr>
          <w:p>
            <w:pPr>
              <w:spacing w:after="0"/>
              <w:rPr>
                <w:sz w:val="5"/>
                <w:szCs w:val="5"/>
                <w:color w:val="auto"/>
              </w:rPr>
            </w:pPr>
          </w:p>
        </w:tc>
        <w:tc>
          <w:tcPr>
            <w:tcW w:w="5860" w:type="dxa"/>
            <w:vAlign w:val="bottom"/>
            <w:tcBorders>
              <w:bottom w:val="single" w:sz="8" w:color="582C83"/>
              <w:right w:val="single" w:sz="8" w:color="582C83"/>
            </w:tcBorders>
          </w:tcPr>
          <w:p>
            <w:pPr>
              <w:spacing w:after="0"/>
              <w:rPr>
                <w:sz w:val="5"/>
                <w:szCs w:val="5"/>
                <w:color w:val="auto"/>
              </w:rPr>
            </w:pPr>
          </w:p>
        </w:tc>
        <w:tc>
          <w:tcPr>
            <w:tcW w:w="4300" w:type="dxa"/>
            <w:vAlign w:val="bottom"/>
            <w:tcBorders>
              <w:bottom w:val="single" w:sz="8" w:color="582C83"/>
              <w:right w:val="single" w:sz="8" w:color="582C8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-650875</wp:posOffset>
            </wp:positionV>
            <wp:extent cx="625475" cy="6261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DIRECTOR QUALIFICATIONS:</w:t>
      </w:r>
    </w:p>
    <w:p>
      <w:pPr>
        <w:spacing w:after="0" w:line="60" w:lineRule="exact"/>
        <w:rPr>
          <w:sz w:val="20"/>
          <w:szCs w:val="20"/>
          <w:color w:val="auto"/>
        </w:rPr>
      </w:pPr>
    </w:p>
    <w:p>
      <w:pPr>
        <w:ind w:left="260" w:right="280" w:hanging="158"/>
        <w:spacing w:after="0" w:line="256" w:lineRule="auto"/>
        <w:tabs>
          <w:tab w:leader="none" w:pos="260" w:val="left"/>
        </w:tabs>
        <w:numPr>
          <w:ilvl w:val="0"/>
          <w:numId w:val="18"/>
        </w:numPr>
        <w:rPr>
          <w:rFonts w:ascii="Arial" w:cs="Arial" w:eastAsia="Arial" w:hAnsi="Arial"/>
          <w:sz w:val="22"/>
          <w:szCs w:val="22"/>
          <w:color w:val="582C83"/>
        </w:rPr>
      </w:pPr>
      <w:r>
        <w:rPr>
          <w:rFonts w:ascii="Arial" w:cs="Arial" w:eastAsia="Arial" w:hAnsi="Arial"/>
          <w:sz w:val="22"/>
          <w:szCs w:val="22"/>
          <w:color w:val="auto"/>
        </w:rPr>
        <w:t>Mr. Van de Put is a seasoned global Chief Executive Officer with experience and expertise in all critical business and commercial operations in both emerging and developed markets.</w:t>
      </w:r>
    </w:p>
    <w:p>
      <w:pPr>
        <w:ind w:left="260" w:hanging="158"/>
        <w:spacing w:after="0"/>
        <w:tabs>
          <w:tab w:leader="none" w:pos="260" w:val="left"/>
        </w:tabs>
        <w:numPr>
          <w:ilvl w:val="0"/>
          <w:numId w:val="18"/>
        </w:numPr>
        <w:rPr>
          <w:rFonts w:ascii="Arial" w:cs="Arial" w:eastAsia="Arial" w:hAnsi="Arial"/>
          <w:sz w:val="22"/>
          <w:szCs w:val="22"/>
          <w:color w:val="582C83"/>
        </w:rPr>
      </w:pPr>
      <w:r>
        <w:rPr>
          <w:rFonts w:ascii="Arial" w:cs="Arial" w:eastAsia="Arial" w:hAnsi="Arial"/>
          <w:sz w:val="22"/>
          <w:szCs w:val="22"/>
          <w:color w:val="auto"/>
        </w:rPr>
        <w:t>Mr. Van de Put brings a global perspective, having lived and worked on three different continents.</w:t>
      </w:r>
    </w:p>
    <w:p>
      <w:pPr>
        <w:spacing w:after="0" w:line="44" w:lineRule="exact"/>
        <w:rPr>
          <w:rFonts w:ascii="Arial" w:cs="Arial" w:eastAsia="Arial" w:hAnsi="Arial"/>
          <w:sz w:val="22"/>
          <w:szCs w:val="22"/>
          <w:color w:val="582C83"/>
        </w:rPr>
      </w:pPr>
    </w:p>
    <w:p>
      <w:pPr>
        <w:ind w:left="260" w:right="300" w:hanging="158"/>
        <w:spacing w:after="0" w:line="256" w:lineRule="auto"/>
        <w:tabs>
          <w:tab w:leader="none" w:pos="260" w:val="left"/>
        </w:tabs>
        <w:numPr>
          <w:ilvl w:val="0"/>
          <w:numId w:val="18"/>
        </w:numPr>
        <w:rPr>
          <w:rFonts w:ascii="Arial" w:cs="Arial" w:eastAsia="Arial" w:hAnsi="Arial"/>
          <w:sz w:val="22"/>
          <w:szCs w:val="22"/>
          <w:color w:val="582C83"/>
        </w:rPr>
      </w:pPr>
      <w:r>
        <w:rPr>
          <w:rFonts w:ascii="Arial" w:cs="Arial" w:eastAsia="Arial" w:hAnsi="Arial"/>
          <w:sz w:val="22"/>
          <w:szCs w:val="22"/>
          <w:color w:val="auto"/>
        </w:rPr>
        <w:t>Mr. Van de Put has extensive leadership experience, including 30 years of experience in the food and consumer packaged goods industry.</w:t>
      </w:r>
    </w:p>
    <w:p>
      <w:pPr>
        <w:ind w:left="260" w:hanging="158"/>
        <w:spacing w:after="0"/>
        <w:tabs>
          <w:tab w:leader="none" w:pos="260" w:val="left"/>
        </w:tabs>
        <w:numPr>
          <w:ilvl w:val="0"/>
          <w:numId w:val="18"/>
        </w:numPr>
        <w:rPr>
          <w:rFonts w:ascii="Arial" w:cs="Arial" w:eastAsia="Arial" w:hAnsi="Arial"/>
          <w:sz w:val="22"/>
          <w:szCs w:val="22"/>
          <w:color w:val="582C83"/>
        </w:rPr>
      </w:pPr>
      <w:r>
        <w:rPr>
          <w:rFonts w:ascii="Arial" w:cs="Arial" w:eastAsia="Arial" w:hAnsi="Arial"/>
          <w:sz w:val="22"/>
          <w:szCs w:val="22"/>
          <w:color w:val="auto"/>
        </w:rPr>
        <w:t>Mr. Van de Put is fluent in English, Dutch, French, Spanish and Portuguese.</w:t>
      </w:r>
    </w:p>
    <w:p>
      <w:pPr>
        <w:spacing w:after="0" w:line="44" w:lineRule="exact"/>
        <w:rPr>
          <w:rFonts w:ascii="Arial" w:cs="Arial" w:eastAsia="Arial" w:hAnsi="Arial"/>
          <w:sz w:val="22"/>
          <w:szCs w:val="22"/>
          <w:color w:val="582C83"/>
        </w:rPr>
      </w:pPr>
    </w:p>
    <w:p>
      <w:pPr>
        <w:ind w:left="260" w:right="780" w:hanging="158"/>
        <w:spacing w:after="0" w:line="259" w:lineRule="auto"/>
        <w:tabs>
          <w:tab w:leader="none" w:pos="260" w:val="left"/>
        </w:tabs>
        <w:numPr>
          <w:ilvl w:val="0"/>
          <w:numId w:val="18"/>
        </w:numPr>
        <w:rPr>
          <w:rFonts w:ascii="Arial" w:cs="Arial" w:eastAsia="Arial" w:hAnsi="Arial"/>
          <w:sz w:val="22"/>
          <w:szCs w:val="22"/>
          <w:color w:val="582C83"/>
        </w:rPr>
      </w:pPr>
      <w:r>
        <w:rPr>
          <w:rFonts w:ascii="Arial" w:cs="Arial" w:eastAsia="Arial" w:hAnsi="Arial"/>
          <w:sz w:val="22"/>
          <w:szCs w:val="22"/>
          <w:color w:val="auto"/>
        </w:rPr>
        <w:t>Mr. Van de Put has public company board and corporate governance experience. He is a former director of Keurig Dr Pepper Inc. and Mattel,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123430" cy="25031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23430" cy="2503170"/>
                    </a:xfrm>
                    <a:prstGeom prst="rect">
                      <a:avLst/>
                    </a:prstGeom>
                    <a:noFill/>
                  </pic:spPr>
                </pic:pic>
              </a:graphicData>
            </a:graphic>
          </wp:anchor>
        </w:drawing>
      </w:r>
    </w:p>
    <w:p>
      <w:pPr>
        <w:spacing w:after="0" w:line="69" w:lineRule="exact"/>
        <w:rPr>
          <w:sz w:val="20"/>
          <w:szCs w:val="20"/>
          <w:color w:val="auto"/>
        </w:rPr>
      </w:pPr>
    </w:p>
    <w:p>
      <w:pPr>
        <w:ind w:left="120" w:right="240"/>
        <w:spacing w:after="0"/>
        <w:rPr>
          <w:sz w:val="20"/>
          <w:szCs w:val="20"/>
          <w:color w:val="auto"/>
        </w:rPr>
      </w:pPr>
      <w:r>
        <w:rPr>
          <w:rFonts w:ascii="Arial" w:cs="Arial" w:eastAsia="Arial" w:hAnsi="Arial"/>
          <w:sz w:val="22"/>
          <w:szCs w:val="22"/>
          <w:color w:val="auto"/>
        </w:rPr>
        <w:t>Mr. Van de Put became Chief Executive Officer of Mondelēz International and joined the Company’s Board of Directors in November 2017. He became Chairman in April 2018. Mr. Van de Put served as President and Chief Executive Officer of McCain Foods Limited, a multinational frozen food provider, from 2011 to 2017, and served as its Chief Operating Officer from 2010 to 2011.</w:t>
      </w:r>
    </w:p>
    <w:p>
      <w:pPr>
        <w:spacing w:after="0" w:line="95" w:lineRule="exact"/>
        <w:rPr>
          <w:sz w:val="20"/>
          <w:szCs w:val="20"/>
          <w:color w:val="auto"/>
        </w:rPr>
      </w:pPr>
    </w:p>
    <w:p>
      <w:pPr>
        <w:ind w:left="120" w:right="220"/>
        <w:spacing w:after="0" w:line="238" w:lineRule="auto"/>
        <w:rPr>
          <w:sz w:val="20"/>
          <w:szCs w:val="20"/>
          <w:color w:val="auto"/>
        </w:rPr>
      </w:pPr>
      <w:r>
        <w:rPr>
          <w:rFonts w:ascii="Arial" w:cs="Arial" w:eastAsia="Arial" w:hAnsi="Arial"/>
          <w:sz w:val="22"/>
          <w:szCs w:val="22"/>
          <w:color w:val="auto"/>
        </w:rPr>
        <w:t>Mr. Van de Put also served as President and Chief Executive Officer, Global Over-the-Counter, Consumer Health Division of Novartis AG, a global healthcare company, from 2009 to 2010. From 1998 to 2009, he held a variety of roles with Groupe Danone SA, a multinational provider of packaged water, dairy and baby food products, including Executive Vice President, Fresh Dairy and Waters, Americas, and Executive Vice President, Fresh Dairy and Waters, Latin America.</w:t>
      </w:r>
    </w:p>
    <w:p>
      <w:pPr>
        <w:spacing w:after="0" w:line="96" w:lineRule="exact"/>
        <w:rPr>
          <w:sz w:val="20"/>
          <w:szCs w:val="20"/>
          <w:color w:val="auto"/>
        </w:rPr>
      </w:pPr>
    </w:p>
    <w:p>
      <w:pPr>
        <w:ind w:left="120" w:right="120"/>
        <w:spacing w:after="0" w:line="238" w:lineRule="auto"/>
        <w:rPr>
          <w:sz w:val="20"/>
          <w:szCs w:val="20"/>
          <w:color w:val="auto"/>
        </w:rPr>
      </w:pPr>
      <w:r>
        <w:rPr>
          <w:rFonts w:ascii="Arial" w:cs="Arial" w:eastAsia="Arial" w:hAnsi="Arial"/>
          <w:sz w:val="22"/>
          <w:szCs w:val="22"/>
          <w:color w:val="auto"/>
        </w:rPr>
        <w:t>From 1997 to 1998, he served as President, Coca-Cola Caribbean, and as Vice President, Value Chain Management, Coca-Cola Brazil with Coca-Cola. From 1986 to 1997, he held a variety of roles with Mars, a global manufacturer of confectionery, pet food and other food products and a provider of animal care services, including General Manager and President, Southern Cone Region, Mars South America and Vice President, Marketing, 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37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8655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00"/>
        <w:spacing w:after="0"/>
        <w:rPr>
          <w:sz w:val="20"/>
          <w:szCs w:val="20"/>
          <w:color w:val="auto"/>
        </w:rPr>
      </w:pPr>
      <w:r>
        <w:rPr>
          <w:rFonts w:ascii="Arial" w:cs="Arial" w:eastAsia="Arial" w:hAnsi="Arial"/>
          <w:sz w:val="47"/>
          <w:szCs w:val="47"/>
          <w:b w:val="1"/>
          <w:bCs w:val="1"/>
          <w:color w:val="582C83"/>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right="400"/>
        <w:spacing w:after="0" w:line="236" w:lineRule="auto"/>
        <w:rPr>
          <w:sz w:val="20"/>
          <w:szCs w:val="20"/>
          <w:color w:val="auto"/>
        </w:rPr>
      </w:pPr>
      <w:r>
        <w:rPr>
          <w:rFonts w:ascii="Arial" w:cs="Arial" w:eastAsia="Arial" w:hAnsi="Arial"/>
          <w:sz w:val="22"/>
          <w:szCs w:val="22"/>
          <w:color w:val="auto"/>
        </w:rPr>
        <w:t>This section describes our governance policies, key practices, Board leadership structure and oversight functions. Our Board is committed to corporate governance practices that promote and protect the long-term interests of our shareholders. We design our corporate governance practices to provide a robust and balanced framework for the Board in upholding its fiduciary responsibilities and to promote accountability with, and trust in, the Company. Our Board believes that having and adhering to a strong corporate governance framework is essential to our long-term success.</w:t>
      </w:r>
    </w:p>
    <w:p>
      <w:pPr>
        <w:spacing w:after="0" w:line="151" w:lineRule="exact"/>
        <w:rPr>
          <w:sz w:val="20"/>
          <w:szCs w:val="20"/>
          <w:color w:val="auto"/>
        </w:rPr>
      </w:pPr>
    </w:p>
    <w:p>
      <w:pPr>
        <w:ind w:left="320"/>
        <w:spacing w:after="0"/>
        <w:rPr>
          <w:sz w:val="20"/>
          <w:szCs w:val="20"/>
          <w:color w:val="auto"/>
        </w:rPr>
      </w:pPr>
      <w:r>
        <w:rPr>
          <w:sz w:val="1"/>
          <w:szCs w:val="1"/>
          <w:color w:val="auto"/>
        </w:rPr>
        <w:drawing>
          <wp:inline distT="0" distB="0" distL="0" distR="0">
            <wp:extent cx="17145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Governance Guidelines</w:t>
      </w:r>
    </w:p>
    <w:p>
      <w:pPr>
        <w:spacing w:after="0" w:line="199" w:lineRule="exact"/>
        <w:rPr>
          <w:sz w:val="20"/>
          <w:szCs w:val="20"/>
          <w:color w:val="auto"/>
        </w:rPr>
      </w:pPr>
    </w:p>
    <w:p>
      <w:pPr>
        <w:ind w:left="360" w:right="500"/>
        <w:spacing w:after="0" w:line="288" w:lineRule="auto"/>
        <w:rPr>
          <w:sz w:val="20"/>
          <w:szCs w:val="20"/>
          <w:color w:val="auto"/>
        </w:rPr>
      </w:pPr>
      <w:r>
        <w:rPr>
          <w:rFonts w:ascii="Arial" w:cs="Arial" w:eastAsia="Arial" w:hAnsi="Arial"/>
          <w:sz w:val="24"/>
          <w:szCs w:val="24"/>
          <w:b w:val="1"/>
          <w:bCs w:val="1"/>
          <w:color w:val="582C83"/>
        </w:rPr>
        <w:t>KEY ELEMENTS OF OUR GOVERNANCE FRAMEWORK, PRACTICES AND POLICIES ENHANCE OUR BOARD’S EFFECTIVENESS AND ACCOUNTABILITY TO SHAREHOLDERS</w:t>
      </w:r>
    </w:p>
    <w:p>
      <w:pPr>
        <w:spacing w:after="0" w:line="1" w:lineRule="exact"/>
        <w:rPr>
          <w:sz w:val="20"/>
          <w:szCs w:val="20"/>
          <w:color w:val="auto"/>
        </w:rPr>
      </w:pPr>
    </w:p>
    <w:p>
      <w:pPr>
        <w:ind w:left="360" w:right="460"/>
        <w:spacing w:after="0" w:line="255" w:lineRule="auto"/>
        <w:rPr>
          <w:sz w:val="20"/>
          <w:szCs w:val="20"/>
          <w:color w:val="auto"/>
        </w:rPr>
      </w:pPr>
      <w:r>
        <w:rPr>
          <w:rFonts w:ascii="Arial" w:cs="Arial" w:eastAsia="Arial" w:hAnsi="Arial"/>
          <w:sz w:val="21"/>
          <w:szCs w:val="21"/>
          <w:color w:val="auto"/>
        </w:rPr>
        <w:t>The Guidelines articulate our governance philosophy, practices and policies in a range of areas, including the Board’s role and responsibilities, Board composition and structure, responsibilities of the Board’s committees, CEO and Board performance evaluations, and succession planning. At least annually, the Governance Committee reviews the Guidelines and recommends any changes to the Board for its consideration.</w:t>
      </w:r>
    </w:p>
    <w:p>
      <w:pPr>
        <w:spacing w:after="0" w:line="187" w:lineRule="exact"/>
        <w:rPr>
          <w:sz w:val="20"/>
          <w:szCs w:val="20"/>
          <w:color w:val="auto"/>
        </w:rPr>
      </w:pPr>
    </w:p>
    <w:tbl>
      <w:tblPr>
        <w:tblLayout w:type="fixed"/>
        <w:tblInd w:w="360" w:type="dxa"/>
        <w:tblCellMar>
          <w:top w:w="0" w:type="dxa"/>
          <w:left w:w="0" w:type="dxa"/>
          <w:bottom w:w="0" w:type="dxa"/>
          <w:right w:w="0" w:type="dxa"/>
        </w:tblCellMar>
      </w:tblPr>
      <w:tr>
        <w:trPr>
          <w:trHeight w:val="319"/>
        </w:trPr>
        <w:tc>
          <w:tcPr>
            <w:tcW w:w="538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Key practice/policy</w:t>
            </w:r>
          </w:p>
        </w:tc>
        <w:tc>
          <w:tcPr>
            <w:tcW w:w="516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Benefits</w:t>
            </w:r>
          </w:p>
        </w:tc>
      </w:tr>
      <w:tr>
        <w:trPr>
          <w:trHeight w:val="269"/>
        </w:trPr>
        <w:tc>
          <w:tcPr>
            <w:tcW w:w="538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Shareholders elect directors annually by</w:t>
            </w:r>
          </w:p>
        </w:tc>
        <w:tc>
          <w:tcPr>
            <w:tcW w:w="5160" w:type="dxa"/>
            <w:vAlign w:val="bottom"/>
            <w:shd w:val="clear" w:color="auto" w:fill="EBE6F0"/>
          </w:tcPr>
          <w:p>
            <w:pPr>
              <w:ind w:left="80"/>
              <w:spacing w:after="0"/>
              <w:rPr>
                <w:sz w:val="20"/>
                <w:szCs w:val="20"/>
                <w:color w:val="auto"/>
              </w:rPr>
            </w:pPr>
            <w:r>
              <w:rPr>
                <w:rFonts w:ascii="Arial" w:cs="Arial" w:eastAsia="Arial" w:hAnsi="Arial"/>
                <w:sz w:val="22"/>
                <w:szCs w:val="22"/>
                <w:color w:val="auto"/>
              </w:rPr>
              <w:t>Strengthens Board, committee and individual</w:t>
            </w:r>
          </w:p>
        </w:tc>
      </w:tr>
      <w:tr>
        <w:trPr>
          <w:trHeight w:val="319"/>
        </w:trPr>
        <w:tc>
          <w:tcPr>
            <w:tcW w:w="53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b w:val="1"/>
                <w:bCs w:val="1"/>
                <w:color w:val="582C83"/>
              </w:rPr>
              <w:t xml:space="preserve">majority vote </w:t>
            </w:r>
            <w:r>
              <w:rPr>
                <w:rFonts w:ascii="Arial" w:cs="Arial" w:eastAsia="Arial" w:hAnsi="Arial"/>
                <w:sz w:val="22"/>
                <w:szCs w:val="22"/>
                <w:color w:val="000000"/>
              </w:rPr>
              <w:t>in uncontested elections.</w:t>
            </w:r>
          </w:p>
        </w:tc>
        <w:tc>
          <w:tcPr>
            <w:tcW w:w="51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director accountability.</w:t>
            </w:r>
          </w:p>
        </w:tc>
      </w:tr>
      <w:tr>
        <w:trPr>
          <w:trHeight w:val="271"/>
        </w:trPr>
        <w:tc>
          <w:tcPr>
            <w:tcW w:w="5380" w:type="dxa"/>
            <w:vAlign w:val="bottom"/>
          </w:tcPr>
          <w:p>
            <w:pPr>
              <w:ind w:left="60"/>
              <w:spacing w:after="0"/>
              <w:rPr>
                <w:sz w:val="20"/>
                <w:szCs w:val="20"/>
                <w:color w:val="auto"/>
              </w:rPr>
            </w:pPr>
            <w:r>
              <w:rPr>
                <w:rFonts w:ascii="Arial" w:cs="Arial" w:eastAsia="Arial" w:hAnsi="Arial"/>
                <w:sz w:val="22"/>
                <w:szCs w:val="22"/>
                <w:color w:val="auto"/>
              </w:rPr>
              <w:t xml:space="preserve">By-Laws provide for </w:t>
            </w:r>
            <w:r>
              <w:rPr>
                <w:rFonts w:ascii="Arial" w:cs="Arial" w:eastAsia="Arial" w:hAnsi="Arial"/>
                <w:sz w:val="22"/>
                <w:szCs w:val="22"/>
                <w:b w:val="1"/>
                <w:bCs w:val="1"/>
                <w:color w:val="582C83"/>
              </w:rPr>
              <w:t>proxy access</w:t>
            </w:r>
            <w:r>
              <w:rPr>
                <w:rFonts w:ascii="Arial" w:cs="Arial" w:eastAsia="Arial" w:hAnsi="Arial"/>
                <w:sz w:val="22"/>
                <w:szCs w:val="22"/>
                <w:color w:val="auto"/>
              </w:rPr>
              <w:t>, enabling</w:t>
            </w:r>
          </w:p>
        </w:tc>
        <w:tc>
          <w:tcPr>
            <w:tcW w:w="5160" w:type="dxa"/>
            <w:vAlign w:val="bottom"/>
          </w:tcPr>
          <w:p>
            <w:pPr>
              <w:ind w:left="60"/>
              <w:spacing w:after="0"/>
              <w:rPr>
                <w:sz w:val="20"/>
                <w:szCs w:val="20"/>
                <w:color w:val="auto"/>
              </w:rPr>
            </w:pPr>
            <w:r>
              <w:rPr>
                <w:rFonts w:ascii="Arial" w:cs="Arial" w:eastAsia="Arial" w:hAnsi="Arial"/>
                <w:sz w:val="22"/>
                <w:szCs w:val="22"/>
                <w:color w:val="auto"/>
              </w:rPr>
              <w:t>Further strengthens Board accountability and</w:t>
            </w:r>
          </w:p>
        </w:tc>
      </w:tr>
      <w:tr>
        <w:trPr>
          <w:trHeight w:val="243"/>
        </w:trPr>
        <w:tc>
          <w:tcPr>
            <w:tcW w:w="5380" w:type="dxa"/>
            <w:vAlign w:val="bottom"/>
          </w:tcPr>
          <w:p>
            <w:pPr>
              <w:ind w:left="60"/>
              <w:spacing w:after="0" w:line="243" w:lineRule="exact"/>
              <w:rPr>
                <w:sz w:val="20"/>
                <w:szCs w:val="20"/>
                <w:color w:val="auto"/>
              </w:rPr>
            </w:pPr>
            <w:r>
              <w:rPr>
                <w:rFonts w:ascii="Arial" w:cs="Arial" w:eastAsia="Arial" w:hAnsi="Arial"/>
                <w:sz w:val="22"/>
                <w:szCs w:val="22"/>
                <w:color w:val="auto"/>
              </w:rPr>
              <w:t>substantial shareholders to add their nominee(s) to</w:t>
            </w:r>
          </w:p>
        </w:tc>
        <w:tc>
          <w:tcPr>
            <w:tcW w:w="5160" w:type="dxa"/>
            <w:vAlign w:val="bottom"/>
          </w:tcPr>
          <w:p>
            <w:pPr>
              <w:ind w:left="60"/>
              <w:spacing w:after="0" w:line="243" w:lineRule="exact"/>
              <w:rPr>
                <w:sz w:val="20"/>
                <w:szCs w:val="20"/>
                <w:color w:val="auto"/>
              </w:rPr>
            </w:pPr>
            <w:r>
              <w:rPr>
                <w:rFonts w:ascii="Arial" w:cs="Arial" w:eastAsia="Arial" w:hAnsi="Arial"/>
                <w:sz w:val="22"/>
                <w:szCs w:val="22"/>
                <w:color w:val="auto"/>
              </w:rPr>
              <w:t>encourages engagement with substantial</w:t>
            </w:r>
          </w:p>
        </w:tc>
      </w:tr>
      <w:tr>
        <w:trPr>
          <w:trHeight w:val="283"/>
        </w:trPr>
        <w:tc>
          <w:tcPr>
            <w:tcW w:w="5380" w:type="dxa"/>
            <w:vAlign w:val="bottom"/>
          </w:tcPr>
          <w:p>
            <w:pPr>
              <w:ind w:left="60"/>
              <w:spacing w:after="0"/>
              <w:rPr>
                <w:sz w:val="20"/>
                <w:szCs w:val="20"/>
                <w:color w:val="auto"/>
              </w:rPr>
            </w:pPr>
            <w:r>
              <w:rPr>
                <w:rFonts w:ascii="Arial" w:cs="Arial" w:eastAsia="Arial" w:hAnsi="Arial"/>
                <w:sz w:val="22"/>
                <w:szCs w:val="22"/>
                <w:color w:val="auto"/>
              </w:rPr>
              <w:t>the proxy. Key parameters:</w:t>
            </w:r>
          </w:p>
        </w:tc>
        <w:tc>
          <w:tcPr>
            <w:tcW w:w="5160" w:type="dxa"/>
            <w:vAlign w:val="bottom"/>
          </w:tcPr>
          <w:p>
            <w:pPr>
              <w:ind w:left="60"/>
              <w:spacing w:after="0"/>
              <w:rPr>
                <w:sz w:val="20"/>
                <w:szCs w:val="20"/>
                <w:color w:val="auto"/>
              </w:rPr>
            </w:pPr>
            <w:r>
              <w:rPr>
                <w:rFonts w:ascii="Arial" w:cs="Arial" w:eastAsia="Arial" w:hAnsi="Arial"/>
                <w:sz w:val="22"/>
                <w:szCs w:val="22"/>
                <w:color w:val="auto"/>
              </w:rPr>
              <w:t>shareholders regarding Board composition.</w:t>
            </w:r>
          </w:p>
        </w:tc>
      </w:tr>
    </w:tbl>
    <w:p>
      <w:pPr>
        <w:ind w:left="640" w:right="6140" w:hanging="214"/>
        <w:spacing w:after="0" w:line="249" w:lineRule="auto"/>
        <w:tabs>
          <w:tab w:leader="none" w:pos="640" w:val="left"/>
        </w:tabs>
        <w:numPr>
          <w:ilvl w:val="0"/>
          <w:numId w:val="19"/>
        </w:numPr>
        <w:rPr>
          <w:rFonts w:ascii="Arial" w:cs="Arial" w:eastAsia="Arial" w:hAnsi="Arial"/>
          <w:sz w:val="22"/>
          <w:szCs w:val="22"/>
          <w:color w:val="582C83"/>
        </w:rPr>
      </w:pPr>
      <w:r>
        <w:rPr>
          <w:rFonts w:ascii="Arial" w:cs="Arial" w:eastAsia="Arial" w:hAnsi="Arial"/>
          <w:sz w:val="22"/>
          <w:szCs w:val="22"/>
          <w:i w:val="1"/>
          <w:iCs w:val="1"/>
          <w:color w:val="auto"/>
        </w:rPr>
        <w:t>Minimum Ownership Threshold</w:t>
      </w:r>
      <w:r>
        <w:rPr>
          <w:rFonts w:ascii="Arial" w:cs="Arial" w:eastAsia="Arial" w:hAnsi="Arial"/>
          <w:sz w:val="22"/>
          <w:szCs w:val="22"/>
          <w:color w:val="auto"/>
        </w:rPr>
        <w:t>: 3% or more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outstanding Common Stock;</w:t>
      </w:r>
    </w:p>
    <w:p>
      <w:pPr>
        <w:spacing w:after="0" w:line="1" w:lineRule="exact"/>
        <w:rPr>
          <w:rFonts w:ascii="Arial" w:cs="Arial" w:eastAsia="Arial" w:hAnsi="Arial"/>
          <w:sz w:val="22"/>
          <w:szCs w:val="22"/>
          <w:color w:val="582C83"/>
        </w:rPr>
      </w:pPr>
    </w:p>
    <w:p>
      <w:pPr>
        <w:ind w:left="640" w:right="6120" w:hanging="214"/>
        <w:spacing w:after="0" w:line="249" w:lineRule="auto"/>
        <w:tabs>
          <w:tab w:leader="none" w:pos="640" w:val="left"/>
        </w:tabs>
        <w:numPr>
          <w:ilvl w:val="0"/>
          <w:numId w:val="19"/>
        </w:numPr>
        <w:rPr>
          <w:rFonts w:ascii="Arial" w:cs="Arial" w:eastAsia="Arial" w:hAnsi="Arial"/>
          <w:sz w:val="22"/>
          <w:szCs w:val="22"/>
          <w:color w:val="582C83"/>
        </w:rPr>
      </w:pPr>
      <w:r>
        <w:rPr>
          <w:rFonts w:ascii="Arial" w:cs="Arial" w:eastAsia="Arial" w:hAnsi="Arial"/>
          <w:sz w:val="22"/>
          <w:szCs w:val="22"/>
          <w:i w:val="1"/>
          <w:iCs w:val="1"/>
          <w:color w:val="auto"/>
        </w:rPr>
        <w:t>Ownership Duration</w:t>
      </w:r>
      <w:r>
        <w:rPr>
          <w:rFonts w:ascii="Arial" w:cs="Arial" w:eastAsia="Arial" w:hAnsi="Arial"/>
          <w:sz w:val="22"/>
          <w:szCs w:val="22"/>
          <w:color w:val="auto"/>
        </w:rPr>
        <w:t>: continuously for at least 3</w:t>
      </w:r>
      <w:r>
        <w:rPr>
          <w:rFonts w:ascii="Arial" w:cs="Arial" w:eastAsia="Arial" w:hAnsi="Arial"/>
          <w:sz w:val="22"/>
          <w:szCs w:val="22"/>
          <w:i w:val="1"/>
          <w:iCs w:val="1"/>
          <w:color w:val="auto"/>
        </w:rPr>
        <w:t xml:space="preserve"> </w:t>
      </w:r>
      <w:r>
        <w:rPr>
          <w:rFonts w:ascii="Arial" w:cs="Arial" w:eastAsia="Arial" w:hAnsi="Arial"/>
          <w:sz w:val="22"/>
          <w:szCs w:val="22"/>
          <w:color w:val="auto"/>
        </w:rPr>
        <w:t>years;</w:t>
      </w:r>
    </w:p>
    <w:p>
      <w:pPr>
        <w:spacing w:after="0" w:line="1" w:lineRule="exact"/>
        <w:rPr>
          <w:rFonts w:ascii="Arial" w:cs="Arial" w:eastAsia="Arial" w:hAnsi="Arial"/>
          <w:sz w:val="22"/>
          <w:szCs w:val="22"/>
          <w:color w:val="582C83"/>
        </w:rPr>
      </w:pPr>
    </w:p>
    <w:p>
      <w:pPr>
        <w:jc w:val="both"/>
        <w:ind w:left="640" w:right="6160" w:hanging="214"/>
        <w:spacing w:after="0" w:line="243" w:lineRule="auto"/>
        <w:tabs>
          <w:tab w:leader="none" w:pos="640" w:val="left"/>
        </w:tabs>
        <w:numPr>
          <w:ilvl w:val="0"/>
          <w:numId w:val="19"/>
        </w:numPr>
        <w:rPr>
          <w:rFonts w:ascii="Arial" w:cs="Arial" w:eastAsia="Arial" w:hAnsi="Arial"/>
          <w:sz w:val="22"/>
          <w:szCs w:val="22"/>
          <w:color w:val="582C83"/>
        </w:rPr>
      </w:pPr>
      <w:r>
        <w:rPr>
          <w:rFonts w:ascii="Arial" w:cs="Arial" w:eastAsia="Arial" w:hAnsi="Arial"/>
          <w:sz w:val="22"/>
          <w:szCs w:val="22"/>
          <w:i w:val="1"/>
          <w:iCs w:val="1"/>
          <w:color w:val="auto"/>
        </w:rPr>
        <w:t>Nominating Group Size</w:t>
      </w:r>
      <w:r>
        <w:rPr>
          <w:rFonts w:ascii="Arial" w:cs="Arial" w:eastAsia="Arial" w:hAnsi="Arial"/>
          <w:sz w:val="22"/>
          <w:szCs w:val="22"/>
          <w:color w:val="auto"/>
        </w:rPr>
        <w:t>: up to 20 shareholders</w:t>
      </w:r>
      <w:r>
        <w:rPr>
          <w:rFonts w:ascii="Arial" w:cs="Arial" w:eastAsia="Arial" w:hAnsi="Arial"/>
          <w:sz w:val="22"/>
          <w:szCs w:val="22"/>
          <w:i w:val="1"/>
          <w:iCs w:val="1"/>
          <w:color w:val="auto"/>
        </w:rPr>
        <w:t xml:space="preserve"> </w:t>
      </w:r>
      <w:r>
        <w:rPr>
          <w:rFonts w:ascii="Arial" w:cs="Arial" w:eastAsia="Arial" w:hAnsi="Arial"/>
          <w:sz w:val="22"/>
          <w:szCs w:val="22"/>
          <w:color w:val="auto"/>
        </w:rPr>
        <w:t>may aggregate holdings to meet the minimum ownership threshold; and</w:t>
      </w:r>
    </w:p>
    <w:p>
      <w:pPr>
        <w:spacing w:after="0" w:line="1" w:lineRule="exact"/>
        <w:rPr>
          <w:rFonts w:ascii="Arial" w:cs="Arial" w:eastAsia="Arial" w:hAnsi="Arial"/>
          <w:sz w:val="22"/>
          <w:szCs w:val="22"/>
          <w:color w:val="582C83"/>
        </w:rPr>
      </w:pPr>
    </w:p>
    <w:p>
      <w:pPr>
        <w:ind w:left="640" w:right="5880" w:hanging="214"/>
        <w:spacing w:after="0" w:line="259" w:lineRule="auto"/>
        <w:tabs>
          <w:tab w:leader="none" w:pos="640" w:val="left"/>
        </w:tabs>
        <w:numPr>
          <w:ilvl w:val="0"/>
          <w:numId w:val="19"/>
        </w:numPr>
        <w:rPr>
          <w:rFonts w:ascii="Arial" w:cs="Arial" w:eastAsia="Arial" w:hAnsi="Arial"/>
          <w:sz w:val="22"/>
          <w:szCs w:val="22"/>
          <w:color w:val="582C83"/>
        </w:rPr>
      </w:pPr>
      <w:r>
        <w:rPr>
          <w:rFonts w:ascii="Arial" w:cs="Arial" w:eastAsia="Arial" w:hAnsi="Arial"/>
          <w:sz w:val="22"/>
          <w:szCs w:val="22"/>
          <w:i w:val="1"/>
          <w:iCs w:val="1"/>
          <w:color w:val="auto"/>
        </w:rPr>
        <w:t>Maximum Nominations Permitted</w:t>
      </w:r>
      <w:r>
        <w:rPr>
          <w:rFonts w:ascii="Arial" w:cs="Arial" w:eastAsia="Arial" w:hAnsi="Arial"/>
          <w:sz w:val="22"/>
          <w:szCs w:val="22"/>
          <w:color w:val="auto"/>
        </w:rPr>
        <w:t>: greater of 20%</w:t>
      </w:r>
      <w:r>
        <w:rPr>
          <w:rFonts w:ascii="Arial" w:cs="Arial" w:eastAsia="Arial" w:hAnsi="Arial"/>
          <w:sz w:val="22"/>
          <w:szCs w:val="22"/>
          <w:i w:val="1"/>
          <w:iCs w:val="1"/>
          <w:color w:val="auto"/>
        </w:rPr>
        <w:t xml:space="preserve"> </w:t>
      </w:r>
      <w:r>
        <w:rPr>
          <w:rFonts w:ascii="Arial" w:cs="Arial" w:eastAsia="Arial" w:hAnsi="Arial"/>
          <w:sz w:val="22"/>
          <w:szCs w:val="22"/>
          <w:color w:val="auto"/>
        </w:rPr>
        <w:t>of the Board or 2 nominees.</w:t>
      </w:r>
    </w:p>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284"/>
        </w:trPr>
        <w:tc>
          <w:tcPr>
            <w:tcW w:w="5380" w:type="dxa"/>
            <w:vAlign w:val="bottom"/>
            <w:shd w:val="clear" w:color="auto" w:fill="EBE6F0"/>
          </w:tcPr>
          <w:p>
            <w:pPr>
              <w:ind w:left="80"/>
              <w:spacing w:after="0"/>
              <w:rPr>
                <w:sz w:val="20"/>
                <w:szCs w:val="20"/>
                <w:color w:val="auto"/>
              </w:rPr>
            </w:pPr>
            <w:r>
              <w:rPr>
                <w:rFonts w:ascii="Arial" w:cs="Arial" w:eastAsia="Arial" w:hAnsi="Arial"/>
                <w:sz w:val="22"/>
                <w:szCs w:val="22"/>
                <w:color w:val="auto"/>
              </w:rPr>
              <w:t>By-Laws allow shareholders of record of at least</w:t>
            </w:r>
          </w:p>
        </w:tc>
        <w:tc>
          <w:tcPr>
            <w:tcW w:w="5160" w:type="dxa"/>
            <w:vAlign w:val="bottom"/>
            <w:shd w:val="clear" w:color="auto" w:fill="EBE6F0"/>
          </w:tcPr>
          <w:p>
            <w:pPr>
              <w:ind w:left="80"/>
              <w:spacing w:after="0"/>
              <w:rPr>
                <w:sz w:val="20"/>
                <w:szCs w:val="20"/>
                <w:color w:val="auto"/>
              </w:rPr>
            </w:pPr>
            <w:r>
              <w:rPr>
                <w:rFonts w:ascii="Arial" w:cs="Arial" w:eastAsia="Arial" w:hAnsi="Arial"/>
                <w:sz w:val="22"/>
                <w:szCs w:val="22"/>
                <w:color w:val="auto"/>
              </w:rPr>
              <w:t>Further strengthens Board accountability and</w:t>
            </w:r>
          </w:p>
        </w:tc>
      </w:tr>
      <w:tr>
        <w:trPr>
          <w:trHeight w:val="241"/>
        </w:trPr>
        <w:tc>
          <w:tcPr>
            <w:tcW w:w="5380" w:type="dxa"/>
            <w:vAlign w:val="bottom"/>
            <w:shd w:val="clear" w:color="auto" w:fill="EBE6F0"/>
          </w:tcPr>
          <w:p>
            <w:pPr>
              <w:ind w:left="80"/>
              <w:spacing w:after="0" w:line="241" w:lineRule="exact"/>
              <w:rPr>
                <w:sz w:val="20"/>
                <w:szCs w:val="20"/>
                <w:color w:val="auto"/>
              </w:rPr>
            </w:pPr>
            <w:r>
              <w:rPr>
                <w:rFonts w:ascii="Arial" w:cs="Arial" w:eastAsia="Arial" w:hAnsi="Arial"/>
                <w:sz w:val="22"/>
                <w:szCs w:val="22"/>
                <w:color w:val="auto"/>
              </w:rPr>
              <w:t>20% of the voting power of the outstanding stock to</w:t>
            </w:r>
          </w:p>
        </w:tc>
        <w:tc>
          <w:tcPr>
            <w:tcW w:w="5160" w:type="dxa"/>
            <w:vAlign w:val="bottom"/>
            <w:shd w:val="clear" w:color="auto" w:fill="EBE6F0"/>
          </w:tcPr>
          <w:p>
            <w:pPr>
              <w:ind w:left="80"/>
              <w:spacing w:after="0" w:line="241" w:lineRule="exact"/>
              <w:rPr>
                <w:sz w:val="20"/>
                <w:szCs w:val="20"/>
                <w:color w:val="auto"/>
              </w:rPr>
            </w:pPr>
            <w:r>
              <w:rPr>
                <w:rFonts w:ascii="Arial" w:cs="Arial" w:eastAsia="Arial" w:hAnsi="Arial"/>
                <w:sz w:val="22"/>
                <w:szCs w:val="22"/>
                <w:color w:val="auto"/>
              </w:rPr>
              <w:t>encourages engagement with substantial</w:t>
            </w:r>
          </w:p>
        </w:tc>
      </w:tr>
      <w:tr>
        <w:trPr>
          <w:trHeight w:val="319"/>
        </w:trPr>
        <w:tc>
          <w:tcPr>
            <w:tcW w:w="53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 xml:space="preserve">call a </w:t>
            </w:r>
            <w:r>
              <w:rPr>
                <w:rFonts w:ascii="Arial" w:cs="Arial" w:eastAsia="Arial" w:hAnsi="Arial"/>
                <w:sz w:val="22"/>
                <w:szCs w:val="22"/>
                <w:b w:val="1"/>
                <w:bCs w:val="1"/>
                <w:color w:val="582C83"/>
              </w:rPr>
              <w:t>special meeting of shareholders</w:t>
            </w:r>
            <w:r>
              <w:rPr>
                <w:rFonts w:ascii="Arial" w:cs="Arial" w:eastAsia="Arial" w:hAnsi="Arial"/>
                <w:sz w:val="22"/>
                <w:szCs w:val="22"/>
                <w:color w:val="auto"/>
              </w:rPr>
              <w:t>.</w:t>
            </w:r>
          </w:p>
        </w:tc>
        <w:tc>
          <w:tcPr>
            <w:tcW w:w="51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shareholders regarding important matters.</w:t>
            </w:r>
          </w:p>
        </w:tc>
      </w:tr>
      <w:tr>
        <w:trPr>
          <w:trHeight w:val="271"/>
        </w:trPr>
        <w:tc>
          <w:tcPr>
            <w:tcW w:w="5380" w:type="dxa"/>
            <w:vAlign w:val="bottom"/>
          </w:tcPr>
          <w:p>
            <w:pPr>
              <w:ind w:left="60"/>
              <w:spacing w:after="0"/>
              <w:rPr>
                <w:sz w:val="20"/>
                <w:szCs w:val="20"/>
                <w:color w:val="auto"/>
              </w:rPr>
            </w:pPr>
            <w:r>
              <w:rPr>
                <w:rFonts w:ascii="Arial" w:cs="Arial" w:eastAsia="Arial" w:hAnsi="Arial"/>
                <w:sz w:val="22"/>
                <w:szCs w:val="22"/>
                <w:color w:val="auto"/>
              </w:rPr>
              <w:t xml:space="preserve">We regularly </w:t>
            </w:r>
            <w:r>
              <w:rPr>
                <w:rFonts w:ascii="Arial" w:cs="Arial" w:eastAsia="Arial" w:hAnsi="Arial"/>
                <w:sz w:val="22"/>
                <w:szCs w:val="22"/>
                <w:b w:val="1"/>
                <w:bCs w:val="1"/>
                <w:color w:val="582C83"/>
              </w:rPr>
              <w:t>engage with shareholders</w:t>
            </w:r>
            <w:r>
              <w:rPr>
                <w:rFonts w:ascii="Arial" w:cs="Arial" w:eastAsia="Arial" w:hAnsi="Arial"/>
                <w:sz w:val="22"/>
                <w:szCs w:val="22"/>
                <w:color w:val="auto"/>
              </w:rPr>
              <w:t xml:space="preserve"> to seek</w:t>
            </w:r>
          </w:p>
        </w:tc>
        <w:tc>
          <w:tcPr>
            <w:tcW w:w="5160" w:type="dxa"/>
            <w:vAlign w:val="bottom"/>
          </w:tcPr>
          <w:p>
            <w:pPr>
              <w:ind w:left="60"/>
              <w:spacing w:after="0"/>
              <w:rPr>
                <w:sz w:val="20"/>
                <w:szCs w:val="20"/>
                <w:color w:val="auto"/>
              </w:rPr>
            </w:pPr>
            <w:r>
              <w:rPr>
                <w:rFonts w:ascii="Arial" w:cs="Arial" w:eastAsia="Arial" w:hAnsi="Arial"/>
                <w:sz w:val="22"/>
                <w:szCs w:val="22"/>
                <w:color w:val="auto"/>
              </w:rPr>
              <w:t>Allows shareholders to regularly provide feedback</w:t>
            </w:r>
          </w:p>
        </w:tc>
      </w:tr>
      <w:tr>
        <w:trPr>
          <w:trHeight w:val="243"/>
        </w:trPr>
        <w:tc>
          <w:tcPr>
            <w:tcW w:w="5380" w:type="dxa"/>
            <w:vAlign w:val="bottom"/>
          </w:tcPr>
          <w:p>
            <w:pPr>
              <w:ind w:left="60"/>
              <w:spacing w:after="0" w:line="243" w:lineRule="exact"/>
              <w:rPr>
                <w:sz w:val="20"/>
                <w:szCs w:val="20"/>
                <w:color w:val="auto"/>
              </w:rPr>
            </w:pPr>
            <w:r>
              <w:rPr>
                <w:rFonts w:ascii="Arial" w:cs="Arial" w:eastAsia="Arial" w:hAnsi="Arial"/>
                <w:sz w:val="22"/>
                <w:szCs w:val="22"/>
                <w:color w:val="auto"/>
              </w:rPr>
              <w:t>their input on emerging issues, address their</w:t>
            </w:r>
          </w:p>
        </w:tc>
        <w:tc>
          <w:tcPr>
            <w:tcW w:w="5160" w:type="dxa"/>
            <w:vAlign w:val="bottom"/>
          </w:tcPr>
          <w:p>
            <w:pPr>
              <w:ind w:left="60"/>
              <w:spacing w:after="0" w:line="243" w:lineRule="exact"/>
              <w:rPr>
                <w:sz w:val="20"/>
                <w:szCs w:val="20"/>
                <w:color w:val="auto"/>
              </w:rPr>
            </w:pPr>
            <w:r>
              <w:rPr>
                <w:rFonts w:ascii="Arial" w:cs="Arial" w:eastAsia="Arial" w:hAnsi="Arial"/>
                <w:sz w:val="22"/>
                <w:szCs w:val="22"/>
                <w:color w:val="auto"/>
              </w:rPr>
              <w:t>on the Company’s strategy, governance,</w:t>
            </w:r>
          </w:p>
        </w:tc>
      </w:tr>
      <w:tr>
        <w:trPr>
          <w:trHeight w:val="283"/>
        </w:trPr>
        <w:tc>
          <w:tcPr>
            <w:tcW w:w="5380" w:type="dxa"/>
            <w:vAlign w:val="bottom"/>
          </w:tcPr>
          <w:p>
            <w:pPr>
              <w:ind w:left="60"/>
              <w:spacing w:after="0"/>
              <w:rPr>
                <w:sz w:val="20"/>
                <w:szCs w:val="20"/>
                <w:color w:val="auto"/>
              </w:rPr>
            </w:pPr>
            <w:r>
              <w:rPr>
                <w:rFonts w:ascii="Arial" w:cs="Arial" w:eastAsia="Arial" w:hAnsi="Arial"/>
                <w:sz w:val="22"/>
                <w:szCs w:val="22"/>
                <w:color w:val="auto"/>
              </w:rPr>
              <w:t>questions and understand their perspectives.</w:t>
            </w:r>
          </w:p>
        </w:tc>
        <w:tc>
          <w:tcPr>
            <w:tcW w:w="5160" w:type="dxa"/>
            <w:vAlign w:val="bottom"/>
          </w:tcPr>
          <w:p>
            <w:pPr>
              <w:ind w:left="60"/>
              <w:spacing w:after="0"/>
              <w:rPr>
                <w:sz w:val="20"/>
                <w:szCs w:val="20"/>
                <w:color w:val="auto"/>
              </w:rPr>
            </w:pPr>
            <w:r>
              <w:rPr>
                <w:rFonts w:ascii="Arial" w:cs="Arial" w:eastAsia="Arial" w:hAnsi="Arial"/>
                <w:sz w:val="22"/>
                <w:szCs w:val="22"/>
                <w:color w:val="auto"/>
              </w:rPr>
              <w:t>compensation and sustainability practices.</w:t>
            </w:r>
          </w:p>
        </w:tc>
      </w:tr>
    </w:tbl>
    <w:p>
      <w:pPr>
        <w:spacing w:after="0" w:line="28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independent Lead Director is available for</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consultation with our major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5750" w:type="dxa"/>
            <w:vAlign w:val="bottom"/>
            <w:tcBorders>
              <w:bottom w:val="single" w:sz="8" w:color="582C83"/>
            </w:tcBorders>
            <w:gridSpan w:val="2"/>
          </w:tcPr>
          <w:p>
            <w:pPr>
              <w:ind w:left="80"/>
              <w:spacing w:after="0"/>
              <w:rPr>
                <w:sz w:val="20"/>
                <w:szCs w:val="20"/>
                <w:color w:val="auto"/>
              </w:rPr>
            </w:pPr>
            <w:r>
              <w:rPr>
                <w:rFonts w:ascii="Arial" w:cs="Arial" w:eastAsia="Arial" w:hAnsi="Arial"/>
                <w:sz w:val="22"/>
                <w:szCs w:val="22"/>
                <w:b w:val="1"/>
                <w:bCs w:val="1"/>
                <w:color w:val="auto"/>
              </w:rPr>
              <w:t>Key practice/policy</w:t>
            </w:r>
          </w:p>
        </w:tc>
        <w:tc>
          <w:tcPr>
            <w:tcW w:w="5510" w:type="dxa"/>
            <w:vAlign w:val="bottom"/>
            <w:tcBorders>
              <w:bottom w:val="single" w:sz="8" w:color="582C83"/>
            </w:tcBorders>
            <w:gridSpan w:val="2"/>
          </w:tcPr>
          <w:p>
            <w:pPr>
              <w:ind w:left="70"/>
              <w:spacing w:after="0"/>
              <w:rPr>
                <w:sz w:val="20"/>
                <w:szCs w:val="20"/>
                <w:color w:val="auto"/>
              </w:rPr>
            </w:pPr>
            <w:r>
              <w:rPr>
                <w:rFonts w:ascii="Arial" w:cs="Arial" w:eastAsia="Arial" w:hAnsi="Arial"/>
                <w:sz w:val="22"/>
                <w:szCs w:val="22"/>
                <w:b w:val="1"/>
                <w:bCs w:val="1"/>
                <w:color w:val="auto"/>
              </w:rPr>
              <w:t>Benefits</w:t>
            </w:r>
          </w:p>
        </w:tc>
        <w:tc>
          <w:tcPr>
            <w:tcW w:w="0" w:type="dxa"/>
            <w:vAlign w:val="bottom"/>
          </w:tcPr>
          <w:p>
            <w:pPr>
              <w:spacing w:after="0"/>
              <w:rPr>
                <w:sz w:val="1"/>
                <w:szCs w:val="1"/>
                <w:color w:val="auto"/>
              </w:rPr>
            </w:pPr>
          </w:p>
        </w:tc>
      </w:tr>
      <w:tr>
        <w:trPr>
          <w:trHeight w:val="271"/>
        </w:trPr>
        <w:tc>
          <w:tcPr>
            <w:tcW w:w="5520" w:type="dxa"/>
            <w:vAlign w:val="bottom"/>
            <w:shd w:val="clear" w:color="auto" w:fill="EBE6F0"/>
          </w:tcPr>
          <w:p>
            <w:pPr>
              <w:ind w:left="80"/>
              <w:spacing w:after="0"/>
              <w:rPr>
                <w:sz w:val="20"/>
                <w:szCs w:val="20"/>
                <w:color w:val="auto"/>
              </w:rPr>
            </w:pPr>
            <w:r>
              <w:rPr>
                <w:rFonts w:ascii="Arial" w:cs="Arial" w:eastAsia="Arial" w:hAnsi="Arial"/>
                <w:sz w:val="22"/>
                <w:szCs w:val="22"/>
                <w:color w:val="auto"/>
              </w:rPr>
              <w:t xml:space="preserve">Our </w:t>
            </w:r>
            <w:r>
              <w:rPr>
                <w:rFonts w:ascii="Arial" w:cs="Arial" w:eastAsia="Arial" w:hAnsi="Arial"/>
                <w:sz w:val="22"/>
                <w:szCs w:val="22"/>
                <w:b w:val="1"/>
                <w:bCs w:val="1"/>
                <w:color w:val="582C83"/>
              </w:rPr>
              <w:t>independent Lead Director</w:t>
            </w:r>
            <w:r>
              <w:rPr>
                <w:rFonts w:ascii="Arial" w:cs="Arial" w:eastAsia="Arial" w:hAnsi="Arial"/>
                <w:sz w:val="22"/>
                <w:szCs w:val="22"/>
                <w:color w:val="auto"/>
              </w:rPr>
              <w:t xml:space="preserve"> has substantive</w:t>
            </w:r>
          </w:p>
        </w:tc>
        <w:tc>
          <w:tcPr>
            <w:tcW w:w="230" w:type="dxa"/>
            <w:vAlign w:val="bottom"/>
            <w:shd w:val="clear" w:color="auto" w:fill="EBE6F0"/>
          </w:tcPr>
          <w:p>
            <w:pPr>
              <w:spacing w:after="0"/>
              <w:rPr>
                <w:sz w:val="23"/>
                <w:szCs w:val="23"/>
                <w:color w:val="auto"/>
              </w:rPr>
            </w:pPr>
          </w:p>
        </w:tc>
        <w:tc>
          <w:tcPr>
            <w:tcW w:w="5510" w:type="dxa"/>
            <w:vAlign w:val="bottom"/>
            <w:gridSpan w:val="2"/>
            <w:shd w:val="clear" w:color="auto" w:fill="EBE6F0"/>
          </w:tcPr>
          <w:p>
            <w:pPr>
              <w:ind w:left="70"/>
              <w:spacing w:after="0"/>
              <w:rPr>
                <w:sz w:val="20"/>
                <w:szCs w:val="20"/>
                <w:color w:val="auto"/>
              </w:rPr>
            </w:pPr>
            <w:r>
              <w:rPr>
                <w:rFonts w:ascii="Arial" w:cs="Arial" w:eastAsia="Arial" w:hAnsi="Arial"/>
                <w:sz w:val="22"/>
                <w:szCs w:val="22"/>
                <w:color w:val="auto"/>
              </w:rPr>
              <w:t>A highly effective and engaged independent Lead</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responsibilities: engages in planning and approval of</w:t>
            </w:r>
          </w:p>
        </w:tc>
        <w:tc>
          <w:tcPr>
            <w:tcW w:w="230" w:type="dxa"/>
            <w:vAlign w:val="bottom"/>
            <w:shd w:val="clear" w:color="auto" w:fill="EBE6F0"/>
          </w:tcPr>
          <w:p>
            <w:pPr>
              <w:spacing w:after="0"/>
              <w:rPr>
                <w:sz w:val="21"/>
                <w:szCs w:val="21"/>
                <w:color w:val="auto"/>
              </w:rPr>
            </w:pPr>
          </w:p>
        </w:tc>
        <w:tc>
          <w:tcPr>
            <w:tcW w:w="5510" w:type="dxa"/>
            <w:vAlign w:val="bottom"/>
            <w:gridSpan w:val="2"/>
            <w:shd w:val="clear" w:color="auto" w:fill="EBE6F0"/>
          </w:tcPr>
          <w:p>
            <w:pPr>
              <w:ind w:left="70"/>
              <w:spacing w:after="0" w:line="243" w:lineRule="exact"/>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r>
        <w:trPr>
          <w:trHeight w:val="256"/>
        </w:trPr>
        <w:tc>
          <w:tcPr>
            <w:tcW w:w="5520" w:type="dxa"/>
            <w:vAlign w:val="bottom"/>
            <w:shd w:val="clear" w:color="auto" w:fill="EBE6F0"/>
          </w:tcPr>
          <w:p>
            <w:pPr>
              <w:ind w:left="80"/>
              <w:spacing w:after="0"/>
              <w:rPr>
                <w:sz w:val="20"/>
                <w:szCs w:val="20"/>
                <w:color w:val="auto"/>
              </w:rPr>
            </w:pPr>
            <w:r>
              <w:rPr>
                <w:rFonts w:ascii="Arial" w:cs="Arial" w:eastAsia="Arial" w:hAnsi="Arial"/>
                <w:sz w:val="22"/>
                <w:szCs w:val="22"/>
                <w:color w:val="auto"/>
              </w:rPr>
              <w:t>meeting schedules and agendas; presides over</w:t>
            </w:r>
          </w:p>
        </w:tc>
        <w:tc>
          <w:tcPr>
            <w:tcW w:w="230" w:type="dxa"/>
            <w:vAlign w:val="bottom"/>
            <w:shd w:val="clear" w:color="auto" w:fill="EBE6F0"/>
          </w:tcPr>
          <w:p>
            <w:pPr>
              <w:spacing w:after="0"/>
              <w:rPr>
                <w:sz w:val="22"/>
                <w:szCs w:val="22"/>
                <w:color w:val="auto"/>
              </w:rPr>
            </w:pPr>
          </w:p>
        </w:tc>
        <w:tc>
          <w:tcPr>
            <w:tcW w:w="5510" w:type="dxa"/>
            <w:vAlign w:val="bottom"/>
            <w:gridSpan w:val="2"/>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Reviews and approves agendas in advance of Board</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frequent executive sessions of independent directors;</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meetings as well as the content of Board meeting</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assists with communication between management and</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materials;</w:t>
            </w:r>
          </w:p>
        </w:tc>
        <w:tc>
          <w:tcPr>
            <w:tcW w:w="0" w:type="dxa"/>
            <w:vAlign w:val="bottom"/>
          </w:tcPr>
          <w:p>
            <w:pPr>
              <w:spacing w:after="0"/>
              <w:rPr>
                <w:sz w:val="1"/>
                <w:szCs w:val="1"/>
                <w:color w:val="auto"/>
              </w:rPr>
            </w:pPr>
          </w:p>
        </w:tc>
      </w:tr>
      <w:tr>
        <w:trPr>
          <w:trHeight w:val="230"/>
        </w:trPr>
        <w:tc>
          <w:tcPr>
            <w:tcW w:w="5520" w:type="dxa"/>
            <w:vAlign w:val="bottom"/>
            <w:shd w:val="clear" w:color="auto" w:fill="EBE6F0"/>
          </w:tcPr>
          <w:p>
            <w:pPr>
              <w:ind w:left="80"/>
              <w:spacing w:after="0" w:line="230" w:lineRule="exact"/>
              <w:rPr>
                <w:sz w:val="20"/>
                <w:szCs w:val="20"/>
                <w:color w:val="auto"/>
              </w:rPr>
            </w:pPr>
            <w:r>
              <w:rPr>
                <w:rFonts w:ascii="Arial" w:cs="Arial" w:eastAsia="Arial" w:hAnsi="Arial"/>
                <w:sz w:val="22"/>
                <w:szCs w:val="22"/>
                <w:color w:val="auto"/>
              </w:rPr>
              <w:t>the directors; provides input into the design of the</w:t>
            </w:r>
          </w:p>
        </w:tc>
        <w:tc>
          <w:tcPr>
            <w:tcW w:w="230" w:type="dxa"/>
            <w:vAlign w:val="bottom"/>
            <w:shd w:val="clear" w:color="auto" w:fill="EBE6F0"/>
          </w:tcPr>
          <w:p>
            <w:pPr>
              <w:spacing w:after="0"/>
              <w:rPr>
                <w:sz w:val="20"/>
                <w:szCs w:val="20"/>
                <w:color w:val="auto"/>
              </w:rPr>
            </w:pPr>
          </w:p>
        </w:tc>
        <w:tc>
          <w:tcPr>
            <w:tcW w:w="5510" w:type="dxa"/>
            <w:vAlign w:val="bottom"/>
            <w:gridSpan w:val="2"/>
            <w:vMerge w:val="restart"/>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Fosters candid discussion during regular executive</w:t>
            </w:r>
          </w:p>
        </w:tc>
        <w:tc>
          <w:tcPr>
            <w:tcW w:w="0" w:type="dxa"/>
            <w:vAlign w:val="bottom"/>
          </w:tcPr>
          <w:p>
            <w:pPr>
              <w:spacing w:after="0"/>
              <w:rPr>
                <w:sz w:val="1"/>
                <w:szCs w:val="1"/>
                <w:color w:val="auto"/>
              </w:rPr>
            </w:pPr>
          </w:p>
        </w:tc>
      </w:tr>
      <w:tr>
        <w:trPr>
          <w:trHeight w:val="81"/>
        </w:trPr>
        <w:tc>
          <w:tcPr>
            <w:tcW w:w="5520" w:type="dxa"/>
            <w:vAlign w:val="bottom"/>
            <w:vMerge w:val="restart"/>
            <w:shd w:val="clear" w:color="auto" w:fill="EBE6F0"/>
          </w:tcPr>
          <w:p>
            <w:pPr>
              <w:ind w:left="80"/>
              <w:spacing w:after="0" w:line="243" w:lineRule="exact"/>
              <w:rPr>
                <w:sz w:val="20"/>
                <w:szCs w:val="20"/>
                <w:color w:val="auto"/>
              </w:rPr>
            </w:pPr>
            <w:r>
              <w:rPr>
                <w:rFonts w:ascii="Arial" w:cs="Arial" w:eastAsia="Arial" w:hAnsi="Arial"/>
                <w:sz w:val="22"/>
                <w:szCs w:val="22"/>
                <w:color w:val="auto"/>
              </w:rPr>
              <w:t>annual Board, committee and individual director self-</w:t>
            </w:r>
          </w:p>
        </w:tc>
        <w:tc>
          <w:tcPr>
            <w:tcW w:w="230" w:type="dxa"/>
            <w:vAlign w:val="bottom"/>
            <w:shd w:val="clear" w:color="auto" w:fill="EBE6F0"/>
          </w:tcPr>
          <w:p>
            <w:pPr>
              <w:spacing w:after="0"/>
              <w:rPr>
                <w:sz w:val="7"/>
                <w:szCs w:val="7"/>
                <w:color w:val="auto"/>
              </w:rPr>
            </w:pPr>
          </w:p>
        </w:tc>
        <w:tc>
          <w:tcPr>
            <w:tcW w:w="5510" w:type="dxa"/>
            <w:vAlign w:val="bottom"/>
            <w:gridSpan w:val="2"/>
            <w:vMerge w:val="continue"/>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5520" w:type="dxa"/>
            <w:vAlign w:val="bottom"/>
            <w:vMerge w:val="continue"/>
            <w:shd w:val="clear" w:color="auto" w:fill="EBE6F0"/>
          </w:tcPr>
          <w:p>
            <w:pPr>
              <w:spacing w:after="0"/>
              <w:rPr>
                <w:sz w:val="14"/>
                <w:szCs w:val="14"/>
                <w:color w:val="auto"/>
              </w:rPr>
            </w:pPr>
          </w:p>
        </w:tc>
        <w:tc>
          <w:tcPr>
            <w:tcW w:w="230" w:type="dxa"/>
            <w:vAlign w:val="bottom"/>
            <w:shd w:val="clear" w:color="auto" w:fill="EBE6F0"/>
          </w:tcPr>
          <w:p>
            <w:pPr>
              <w:spacing w:after="0"/>
              <w:rPr>
                <w:sz w:val="14"/>
                <w:szCs w:val="14"/>
                <w:color w:val="auto"/>
              </w:rPr>
            </w:pPr>
          </w:p>
        </w:tc>
        <w:tc>
          <w:tcPr>
            <w:tcW w:w="230" w:type="dxa"/>
            <w:vAlign w:val="bottom"/>
            <w:shd w:val="clear" w:color="auto" w:fill="EBE6F0"/>
          </w:tcPr>
          <w:p>
            <w:pPr>
              <w:spacing w:after="0"/>
              <w:rPr>
                <w:sz w:val="14"/>
                <w:szCs w:val="14"/>
                <w:color w:val="auto"/>
              </w:rPr>
            </w:pPr>
          </w:p>
        </w:tc>
        <w:tc>
          <w:tcPr>
            <w:tcW w:w="5280" w:type="dxa"/>
            <w:vAlign w:val="bottom"/>
            <w:vMerge w:val="restart"/>
            <w:shd w:val="clear" w:color="auto" w:fill="EBE6F0"/>
          </w:tcPr>
          <w:p>
            <w:pPr>
              <w:ind w:left="60"/>
              <w:spacing w:after="0"/>
              <w:rPr>
                <w:sz w:val="20"/>
                <w:szCs w:val="20"/>
                <w:color w:val="auto"/>
              </w:rPr>
            </w:pPr>
            <w:r>
              <w:rPr>
                <w:rFonts w:ascii="Arial" w:cs="Arial" w:eastAsia="Arial" w:hAnsi="Arial"/>
                <w:sz w:val="22"/>
                <w:szCs w:val="22"/>
                <w:color w:val="auto"/>
              </w:rPr>
              <w:t>sessions of the independent directors;</w:t>
            </w:r>
          </w:p>
        </w:tc>
        <w:tc>
          <w:tcPr>
            <w:tcW w:w="0" w:type="dxa"/>
            <w:vAlign w:val="bottom"/>
          </w:tcPr>
          <w:p>
            <w:pPr>
              <w:spacing w:after="0"/>
              <w:rPr>
                <w:sz w:val="1"/>
                <w:szCs w:val="1"/>
                <w:color w:val="auto"/>
              </w:rPr>
            </w:pPr>
          </w:p>
        </w:tc>
      </w:tr>
      <w:tr>
        <w:trPr>
          <w:trHeight w:val="121"/>
        </w:trPr>
        <w:tc>
          <w:tcPr>
            <w:tcW w:w="5520" w:type="dxa"/>
            <w:vAlign w:val="bottom"/>
            <w:vMerge w:val="restart"/>
            <w:shd w:val="clear" w:color="auto" w:fill="EBE6F0"/>
          </w:tcPr>
          <w:p>
            <w:pPr>
              <w:ind w:left="80"/>
              <w:spacing w:after="0" w:line="243" w:lineRule="exact"/>
              <w:rPr>
                <w:sz w:val="20"/>
                <w:szCs w:val="20"/>
                <w:color w:val="auto"/>
              </w:rPr>
            </w:pPr>
            <w:r>
              <w:rPr>
                <w:rFonts w:ascii="Arial" w:cs="Arial" w:eastAsia="Arial" w:hAnsi="Arial"/>
                <w:sz w:val="22"/>
                <w:szCs w:val="22"/>
                <w:color w:val="auto"/>
              </w:rPr>
              <w:t>evaluation process; and consults with major</w:t>
            </w:r>
          </w:p>
        </w:tc>
        <w:tc>
          <w:tcPr>
            <w:tcW w:w="230" w:type="dxa"/>
            <w:vAlign w:val="bottom"/>
            <w:shd w:val="clear" w:color="auto" w:fill="EBE6F0"/>
          </w:tcPr>
          <w:p>
            <w:pPr>
              <w:spacing w:after="0"/>
              <w:rPr>
                <w:sz w:val="10"/>
                <w:szCs w:val="10"/>
                <w:color w:val="auto"/>
              </w:rPr>
            </w:pPr>
          </w:p>
        </w:tc>
        <w:tc>
          <w:tcPr>
            <w:tcW w:w="230" w:type="dxa"/>
            <w:vAlign w:val="bottom"/>
            <w:shd w:val="clear" w:color="auto" w:fill="EBE6F0"/>
          </w:tcPr>
          <w:p>
            <w:pPr>
              <w:spacing w:after="0"/>
              <w:rPr>
                <w:sz w:val="10"/>
                <w:szCs w:val="10"/>
                <w:color w:val="auto"/>
              </w:rPr>
            </w:pPr>
          </w:p>
        </w:tc>
        <w:tc>
          <w:tcPr>
            <w:tcW w:w="5280" w:type="dxa"/>
            <w:vAlign w:val="bottom"/>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520" w:type="dxa"/>
            <w:vAlign w:val="bottom"/>
            <w:vMerge w:val="continue"/>
            <w:shd w:val="clear" w:color="auto" w:fill="EBE6F0"/>
          </w:tcPr>
          <w:p>
            <w:pPr>
              <w:spacing w:after="0"/>
              <w:rPr>
                <w:sz w:val="10"/>
                <w:szCs w:val="10"/>
                <w:color w:val="auto"/>
              </w:rPr>
            </w:pPr>
          </w:p>
        </w:tc>
        <w:tc>
          <w:tcPr>
            <w:tcW w:w="230" w:type="dxa"/>
            <w:vAlign w:val="bottom"/>
            <w:shd w:val="clear" w:color="auto" w:fill="EBE6F0"/>
          </w:tcPr>
          <w:p>
            <w:pPr>
              <w:spacing w:after="0"/>
              <w:rPr>
                <w:sz w:val="10"/>
                <w:szCs w:val="10"/>
                <w:color w:val="auto"/>
              </w:rPr>
            </w:pPr>
          </w:p>
        </w:tc>
        <w:tc>
          <w:tcPr>
            <w:tcW w:w="5510" w:type="dxa"/>
            <w:vAlign w:val="bottom"/>
            <w:gridSpan w:val="2"/>
            <w:vMerge w:val="restart"/>
            <w:shd w:val="clear" w:color="auto" w:fill="EBE6F0"/>
          </w:tcPr>
          <w:p>
            <w:pPr>
              <w:ind w:left="7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Facilitates effective communication and interaction</w:t>
            </w:r>
          </w:p>
        </w:tc>
        <w:tc>
          <w:tcPr>
            <w:tcW w:w="0" w:type="dxa"/>
            <w:vAlign w:val="bottom"/>
          </w:tcPr>
          <w:p>
            <w:pPr>
              <w:spacing w:after="0"/>
              <w:rPr>
                <w:sz w:val="1"/>
                <w:szCs w:val="1"/>
                <w:color w:val="auto"/>
              </w:rPr>
            </w:pPr>
          </w:p>
        </w:tc>
      </w:tr>
      <w:tr>
        <w:trPr>
          <w:trHeight w:val="121"/>
        </w:trPr>
        <w:tc>
          <w:tcPr>
            <w:tcW w:w="5520" w:type="dxa"/>
            <w:vAlign w:val="bottom"/>
            <w:vMerge w:val="restart"/>
            <w:shd w:val="clear" w:color="auto" w:fill="EBE6F0"/>
          </w:tcPr>
          <w:p>
            <w:pPr>
              <w:ind w:left="80"/>
              <w:spacing w:after="0"/>
              <w:rPr>
                <w:sz w:val="20"/>
                <w:szCs w:val="20"/>
                <w:color w:val="auto"/>
              </w:rPr>
            </w:pPr>
            <w:r>
              <w:rPr>
                <w:rFonts w:ascii="Arial" w:cs="Arial" w:eastAsia="Arial" w:hAnsi="Arial"/>
                <w:sz w:val="22"/>
                <w:szCs w:val="22"/>
                <w:color w:val="auto"/>
              </w:rPr>
              <w:t>shareholders.</w:t>
            </w:r>
          </w:p>
        </w:tc>
        <w:tc>
          <w:tcPr>
            <w:tcW w:w="230" w:type="dxa"/>
            <w:vAlign w:val="bottom"/>
            <w:shd w:val="clear" w:color="auto" w:fill="EBE6F0"/>
          </w:tcPr>
          <w:p>
            <w:pPr>
              <w:spacing w:after="0"/>
              <w:rPr>
                <w:sz w:val="10"/>
                <w:szCs w:val="10"/>
                <w:color w:val="auto"/>
              </w:rPr>
            </w:pPr>
          </w:p>
        </w:tc>
        <w:tc>
          <w:tcPr>
            <w:tcW w:w="5510" w:type="dxa"/>
            <w:vAlign w:val="bottom"/>
            <w:gridSpan w:val="2"/>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520" w:type="dxa"/>
            <w:vAlign w:val="bottom"/>
            <w:vMerge w:val="continue"/>
            <w:shd w:val="clear" w:color="auto" w:fill="EBE6F0"/>
          </w:tcPr>
          <w:p>
            <w:pPr>
              <w:spacing w:after="0"/>
              <w:rPr>
                <w:sz w:val="14"/>
                <w:szCs w:val="14"/>
                <w:color w:val="auto"/>
              </w:rPr>
            </w:pPr>
          </w:p>
        </w:tc>
        <w:tc>
          <w:tcPr>
            <w:tcW w:w="230" w:type="dxa"/>
            <w:vAlign w:val="bottom"/>
            <w:shd w:val="clear" w:color="auto" w:fill="EBE6F0"/>
          </w:tcPr>
          <w:p>
            <w:pPr>
              <w:spacing w:after="0"/>
              <w:rPr>
                <w:sz w:val="14"/>
                <w:szCs w:val="14"/>
                <w:color w:val="auto"/>
              </w:rPr>
            </w:pPr>
          </w:p>
        </w:tc>
        <w:tc>
          <w:tcPr>
            <w:tcW w:w="230" w:type="dxa"/>
            <w:vAlign w:val="bottom"/>
            <w:shd w:val="clear" w:color="auto" w:fill="EBE6F0"/>
          </w:tcPr>
          <w:p>
            <w:pPr>
              <w:spacing w:after="0"/>
              <w:rPr>
                <w:sz w:val="14"/>
                <w:szCs w:val="14"/>
                <w:color w:val="auto"/>
              </w:rPr>
            </w:pPr>
          </w:p>
        </w:tc>
        <w:tc>
          <w:tcPr>
            <w:tcW w:w="5280" w:type="dxa"/>
            <w:vAlign w:val="bottom"/>
            <w:vMerge w:val="restart"/>
            <w:shd w:val="clear" w:color="auto" w:fill="EBE6F0"/>
          </w:tcPr>
          <w:p>
            <w:pPr>
              <w:ind w:left="60"/>
              <w:spacing w:after="0"/>
              <w:rPr>
                <w:sz w:val="20"/>
                <w:szCs w:val="20"/>
                <w:color w:val="auto"/>
              </w:rPr>
            </w:pPr>
            <w:r>
              <w:rPr>
                <w:rFonts w:ascii="Arial" w:cs="Arial" w:eastAsia="Arial" w:hAnsi="Arial"/>
                <w:sz w:val="22"/>
                <w:szCs w:val="22"/>
                <w:color w:val="auto"/>
              </w:rPr>
              <w:t>between the Board and management;</w:t>
            </w:r>
          </w:p>
        </w:tc>
        <w:tc>
          <w:tcPr>
            <w:tcW w:w="0" w:type="dxa"/>
            <w:vAlign w:val="bottom"/>
          </w:tcPr>
          <w:p>
            <w:pPr>
              <w:spacing w:after="0"/>
              <w:rPr>
                <w:sz w:val="1"/>
                <w:szCs w:val="1"/>
                <w:color w:val="auto"/>
              </w:rPr>
            </w:pPr>
          </w:p>
        </w:tc>
      </w:tr>
      <w:tr>
        <w:trPr>
          <w:trHeight w:val="122"/>
        </w:trPr>
        <w:tc>
          <w:tcPr>
            <w:tcW w:w="5520" w:type="dxa"/>
            <w:vAlign w:val="bottom"/>
            <w:shd w:val="clear" w:color="auto" w:fill="EBE6F0"/>
          </w:tcPr>
          <w:p>
            <w:pPr>
              <w:spacing w:after="0"/>
              <w:rPr>
                <w:sz w:val="10"/>
                <w:szCs w:val="10"/>
                <w:color w:val="auto"/>
              </w:rPr>
            </w:pPr>
          </w:p>
        </w:tc>
        <w:tc>
          <w:tcPr>
            <w:tcW w:w="230" w:type="dxa"/>
            <w:vAlign w:val="bottom"/>
            <w:shd w:val="clear" w:color="auto" w:fill="EBE6F0"/>
          </w:tcPr>
          <w:p>
            <w:pPr>
              <w:spacing w:after="0"/>
              <w:rPr>
                <w:sz w:val="10"/>
                <w:szCs w:val="10"/>
                <w:color w:val="auto"/>
              </w:rPr>
            </w:pPr>
          </w:p>
        </w:tc>
        <w:tc>
          <w:tcPr>
            <w:tcW w:w="230" w:type="dxa"/>
            <w:vAlign w:val="bottom"/>
            <w:shd w:val="clear" w:color="auto" w:fill="EBE6F0"/>
          </w:tcPr>
          <w:p>
            <w:pPr>
              <w:spacing w:after="0"/>
              <w:rPr>
                <w:sz w:val="10"/>
                <w:szCs w:val="10"/>
                <w:color w:val="auto"/>
              </w:rPr>
            </w:pPr>
          </w:p>
        </w:tc>
        <w:tc>
          <w:tcPr>
            <w:tcW w:w="5280" w:type="dxa"/>
            <w:vAlign w:val="bottom"/>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582C83"/>
              </w:rPr>
              <w:t>•</w:t>
            </w: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Conducts the annual Board, committee and</w:t>
            </w:r>
          </w:p>
        </w:tc>
        <w:tc>
          <w:tcPr>
            <w:tcW w:w="0" w:type="dxa"/>
            <w:vAlign w:val="bottom"/>
          </w:tcPr>
          <w:p>
            <w:pPr>
              <w:spacing w:after="0"/>
              <w:rPr>
                <w:sz w:val="1"/>
                <w:szCs w:val="1"/>
                <w:color w:val="auto"/>
              </w:rPr>
            </w:pPr>
          </w:p>
        </w:tc>
      </w:tr>
      <w:tr>
        <w:trPr>
          <w:trHeight w:val="283"/>
        </w:trPr>
        <w:tc>
          <w:tcPr>
            <w:tcW w:w="5520" w:type="dxa"/>
            <w:vAlign w:val="bottom"/>
            <w:shd w:val="clear" w:color="auto" w:fill="EBE6F0"/>
          </w:tcPr>
          <w:p>
            <w:pPr>
              <w:spacing w:after="0"/>
              <w:rPr>
                <w:sz w:val="24"/>
                <w:szCs w:val="24"/>
                <w:color w:val="auto"/>
              </w:rPr>
            </w:pPr>
          </w:p>
        </w:tc>
        <w:tc>
          <w:tcPr>
            <w:tcW w:w="230" w:type="dxa"/>
            <w:vAlign w:val="bottom"/>
            <w:shd w:val="clear" w:color="auto" w:fill="EBE6F0"/>
          </w:tcPr>
          <w:p>
            <w:pPr>
              <w:spacing w:after="0"/>
              <w:rPr>
                <w:sz w:val="24"/>
                <w:szCs w:val="24"/>
                <w:color w:val="auto"/>
              </w:rPr>
            </w:pPr>
          </w:p>
        </w:tc>
        <w:tc>
          <w:tcPr>
            <w:tcW w:w="230" w:type="dxa"/>
            <w:vAlign w:val="bottom"/>
            <w:shd w:val="clear" w:color="auto" w:fill="EBE6F0"/>
          </w:tcPr>
          <w:p>
            <w:pPr>
              <w:spacing w:after="0"/>
              <w:rPr>
                <w:sz w:val="24"/>
                <w:szCs w:val="24"/>
                <w:color w:val="auto"/>
              </w:rPr>
            </w:pPr>
          </w:p>
        </w:tc>
        <w:tc>
          <w:tcPr>
            <w:tcW w:w="5280" w:type="dxa"/>
            <w:vAlign w:val="bottom"/>
            <w:shd w:val="clear" w:color="auto" w:fill="EBE6F0"/>
          </w:tcPr>
          <w:p>
            <w:pPr>
              <w:ind w:left="60"/>
              <w:spacing w:after="0"/>
              <w:rPr>
                <w:sz w:val="20"/>
                <w:szCs w:val="20"/>
                <w:color w:val="auto"/>
              </w:rPr>
            </w:pPr>
            <w:r>
              <w:rPr>
                <w:rFonts w:ascii="Arial" w:cs="Arial" w:eastAsia="Arial" w:hAnsi="Arial"/>
                <w:sz w:val="22"/>
                <w:szCs w:val="22"/>
                <w:color w:val="auto"/>
              </w:rPr>
              <w:t>individual director self-evaluation process; and</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582C83"/>
              </w:rPr>
              <w:t>•</w:t>
            </w: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Provides feedback to management regarding Board</w:t>
            </w:r>
          </w:p>
        </w:tc>
        <w:tc>
          <w:tcPr>
            <w:tcW w:w="0" w:type="dxa"/>
            <w:vAlign w:val="bottom"/>
          </w:tcPr>
          <w:p>
            <w:pPr>
              <w:spacing w:after="0"/>
              <w:rPr>
                <w:sz w:val="1"/>
                <w:szCs w:val="1"/>
                <w:color w:val="auto"/>
              </w:rPr>
            </w:pPr>
          </w:p>
        </w:tc>
      </w:tr>
      <w:tr>
        <w:trPr>
          <w:trHeight w:val="317"/>
        </w:trPr>
        <w:tc>
          <w:tcPr>
            <w:tcW w:w="5520" w:type="dxa"/>
            <w:vAlign w:val="bottom"/>
            <w:tcBorders>
              <w:bottom w:val="single" w:sz="8" w:color="EBE6F0"/>
            </w:tcBorders>
            <w:shd w:val="clear" w:color="auto" w:fill="EBE6F0"/>
          </w:tcPr>
          <w:p>
            <w:pPr>
              <w:spacing w:after="0"/>
              <w:rPr>
                <w:sz w:val="24"/>
                <w:szCs w:val="24"/>
                <w:color w:val="auto"/>
              </w:rPr>
            </w:pPr>
          </w:p>
        </w:tc>
        <w:tc>
          <w:tcPr>
            <w:tcW w:w="230" w:type="dxa"/>
            <w:vAlign w:val="bottom"/>
            <w:tcBorders>
              <w:bottom w:val="single" w:sz="8" w:color="EBE6F0"/>
            </w:tcBorders>
            <w:shd w:val="clear" w:color="auto" w:fill="EBE6F0"/>
          </w:tcPr>
          <w:p>
            <w:pPr>
              <w:spacing w:after="0"/>
              <w:rPr>
                <w:sz w:val="24"/>
                <w:szCs w:val="24"/>
                <w:color w:val="auto"/>
              </w:rPr>
            </w:pPr>
          </w:p>
        </w:tc>
        <w:tc>
          <w:tcPr>
            <w:tcW w:w="230" w:type="dxa"/>
            <w:vAlign w:val="bottom"/>
            <w:tcBorders>
              <w:bottom w:val="single" w:sz="8" w:color="EBE6F0"/>
            </w:tcBorders>
            <w:shd w:val="clear" w:color="auto" w:fill="EBE6F0"/>
          </w:tcPr>
          <w:p>
            <w:pPr>
              <w:spacing w:after="0"/>
              <w:rPr>
                <w:sz w:val="24"/>
                <w:szCs w:val="24"/>
                <w:color w:val="auto"/>
              </w:rPr>
            </w:pPr>
          </w:p>
        </w:tc>
        <w:tc>
          <w:tcPr>
            <w:tcW w:w="52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22"/>
                <w:szCs w:val="22"/>
                <w:color w:val="auto"/>
              </w:rPr>
              <w:t>concerns and information needs.</w:t>
            </w:r>
          </w:p>
        </w:tc>
        <w:tc>
          <w:tcPr>
            <w:tcW w:w="0" w:type="dxa"/>
            <w:vAlign w:val="bottom"/>
          </w:tcPr>
          <w:p>
            <w:pPr>
              <w:spacing w:after="0"/>
              <w:rPr>
                <w:sz w:val="1"/>
                <w:szCs w:val="1"/>
                <w:color w:val="auto"/>
              </w:rPr>
            </w:pPr>
          </w:p>
        </w:tc>
      </w:tr>
      <w:tr>
        <w:trPr>
          <w:trHeight w:val="269"/>
        </w:trPr>
        <w:tc>
          <w:tcPr>
            <w:tcW w:w="5750" w:type="dxa"/>
            <w:vAlign w:val="bottom"/>
            <w:gridSpan w:val="2"/>
          </w:tcPr>
          <w:p>
            <w:pPr>
              <w:ind w:left="80"/>
              <w:spacing w:after="0"/>
              <w:rPr>
                <w:sz w:val="20"/>
                <w:szCs w:val="20"/>
                <w:color w:val="auto"/>
              </w:rPr>
            </w:pPr>
            <w:r>
              <w:rPr>
                <w:rFonts w:ascii="Arial" w:cs="Arial" w:eastAsia="Arial" w:hAnsi="Arial"/>
                <w:sz w:val="22"/>
                <w:szCs w:val="22"/>
                <w:color w:val="auto"/>
              </w:rPr>
              <w:t xml:space="preserve">The Guidelines provide that the </w:t>
            </w:r>
            <w:r>
              <w:rPr>
                <w:rFonts w:ascii="Arial" w:cs="Arial" w:eastAsia="Arial" w:hAnsi="Arial"/>
                <w:sz w:val="22"/>
                <w:szCs w:val="22"/>
                <w:b w:val="1"/>
                <w:bCs w:val="1"/>
                <w:color w:val="582C83"/>
              </w:rPr>
              <w:t>Chairman and CEO</w:t>
            </w:r>
          </w:p>
        </w:tc>
        <w:tc>
          <w:tcPr>
            <w:tcW w:w="5510" w:type="dxa"/>
            <w:vAlign w:val="bottom"/>
            <w:gridSpan w:val="2"/>
          </w:tcPr>
          <w:p>
            <w:pPr>
              <w:ind w:left="70"/>
              <w:spacing w:after="0"/>
              <w:rPr>
                <w:sz w:val="20"/>
                <w:szCs w:val="20"/>
                <w:color w:val="auto"/>
              </w:rPr>
            </w:pPr>
            <w:r>
              <w:rPr>
                <w:rFonts w:ascii="Arial" w:cs="Arial" w:eastAsia="Arial" w:hAnsi="Arial"/>
                <w:sz w:val="22"/>
                <w:szCs w:val="22"/>
                <w:color w:val="auto"/>
              </w:rPr>
              <w:t>Majority independent directors in the boardroom and</w:t>
            </w:r>
          </w:p>
        </w:tc>
        <w:tc>
          <w:tcPr>
            <w:tcW w:w="0" w:type="dxa"/>
            <w:vAlign w:val="bottom"/>
          </w:tcPr>
          <w:p>
            <w:pPr>
              <w:spacing w:after="0"/>
              <w:rPr>
                <w:sz w:val="1"/>
                <w:szCs w:val="1"/>
                <w:color w:val="auto"/>
              </w:rPr>
            </w:pPr>
          </w:p>
        </w:tc>
      </w:tr>
      <w:tr>
        <w:trPr>
          <w:trHeight w:val="243"/>
        </w:trPr>
        <w:tc>
          <w:tcPr>
            <w:tcW w:w="575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582C83"/>
              </w:rPr>
              <w:t>generally should be the only member of</w:t>
            </w:r>
          </w:p>
        </w:tc>
        <w:tc>
          <w:tcPr>
            <w:tcW w:w="5510" w:type="dxa"/>
            <w:vAlign w:val="bottom"/>
            <w:gridSpan w:val="2"/>
          </w:tcPr>
          <w:p>
            <w:pPr>
              <w:ind w:left="70"/>
              <w:spacing w:after="0" w:line="243" w:lineRule="exact"/>
              <w:rPr>
                <w:sz w:val="20"/>
                <w:szCs w:val="20"/>
                <w:color w:val="auto"/>
              </w:rPr>
            </w:pPr>
            <w:r>
              <w:rPr>
                <w:rFonts w:ascii="Arial" w:cs="Arial" w:eastAsia="Arial" w:hAnsi="Arial"/>
                <w:sz w:val="22"/>
                <w:szCs w:val="22"/>
                <w:color w:val="auto"/>
              </w:rPr>
              <w:t>fully independent committees effectively oversee</w:t>
            </w:r>
          </w:p>
        </w:tc>
        <w:tc>
          <w:tcPr>
            <w:tcW w:w="0" w:type="dxa"/>
            <w:vAlign w:val="bottom"/>
          </w:tcPr>
          <w:p>
            <w:pPr>
              <w:spacing w:after="0"/>
              <w:rPr>
                <w:sz w:val="1"/>
                <w:szCs w:val="1"/>
                <w:color w:val="auto"/>
              </w:rPr>
            </w:pPr>
          </w:p>
        </w:tc>
      </w:tr>
      <w:tr>
        <w:trPr>
          <w:trHeight w:val="297"/>
        </w:trPr>
        <w:tc>
          <w:tcPr>
            <w:tcW w:w="5750" w:type="dxa"/>
            <w:vAlign w:val="bottom"/>
            <w:gridSpan w:val="2"/>
          </w:tcPr>
          <w:p>
            <w:pPr>
              <w:ind w:left="80"/>
              <w:spacing w:after="0"/>
              <w:rPr>
                <w:sz w:val="20"/>
                <w:szCs w:val="20"/>
                <w:color w:val="auto"/>
              </w:rPr>
            </w:pPr>
            <w:r>
              <w:rPr>
                <w:rFonts w:ascii="Arial" w:cs="Arial" w:eastAsia="Arial" w:hAnsi="Arial"/>
                <w:sz w:val="22"/>
                <w:szCs w:val="22"/>
                <w:b w:val="1"/>
                <w:bCs w:val="1"/>
                <w:color w:val="582C83"/>
              </w:rPr>
              <w:t>management to serve as a director</w:t>
            </w:r>
            <w:r>
              <w:rPr>
                <w:rFonts w:ascii="Arial" w:cs="Arial" w:eastAsia="Arial" w:hAnsi="Arial"/>
                <w:sz w:val="22"/>
                <w:szCs w:val="22"/>
                <w:color w:val="000000"/>
              </w:rPr>
              <w:t>.</w:t>
            </w:r>
          </w:p>
        </w:tc>
        <w:tc>
          <w:tcPr>
            <w:tcW w:w="5510" w:type="dxa"/>
            <w:vAlign w:val="bottom"/>
            <w:gridSpan w:val="2"/>
          </w:tcPr>
          <w:p>
            <w:pPr>
              <w:ind w:left="70"/>
              <w:spacing w:after="0"/>
              <w:rPr>
                <w:sz w:val="20"/>
                <w:szCs w:val="20"/>
                <w:color w:val="auto"/>
              </w:rPr>
            </w:pPr>
            <w:r>
              <w:rPr>
                <w:rFonts w:ascii="Arial" w:cs="Arial" w:eastAsia="Arial" w:hAnsi="Arial"/>
                <w:sz w:val="22"/>
                <w:szCs w:val="22"/>
                <w:color w:val="auto"/>
              </w:rPr>
              <w:t>management on behalf of shareholders.</w:t>
            </w:r>
          </w:p>
        </w:tc>
        <w:tc>
          <w:tcPr>
            <w:tcW w:w="0" w:type="dxa"/>
            <w:vAlign w:val="bottom"/>
          </w:tcPr>
          <w:p>
            <w:pPr>
              <w:spacing w:after="0"/>
              <w:rPr>
                <w:sz w:val="1"/>
                <w:szCs w:val="1"/>
                <w:color w:val="auto"/>
              </w:rPr>
            </w:pPr>
          </w:p>
        </w:tc>
      </w:tr>
      <w:tr>
        <w:trPr>
          <w:trHeight w:val="28"/>
        </w:trPr>
        <w:tc>
          <w:tcPr>
            <w:tcW w:w="5520" w:type="dxa"/>
            <w:vAlign w:val="bottom"/>
          </w:tcPr>
          <w:p>
            <w:pPr>
              <w:spacing w:after="0"/>
              <w:rPr>
                <w:sz w:val="2"/>
                <w:szCs w:val="2"/>
                <w:color w:val="auto"/>
              </w:rPr>
            </w:pPr>
          </w:p>
        </w:tc>
        <w:tc>
          <w:tcPr>
            <w:tcW w:w="230" w:type="dxa"/>
            <w:vAlign w:val="bottom"/>
          </w:tcPr>
          <w:p>
            <w:pPr>
              <w:spacing w:after="0"/>
              <w:rPr>
                <w:sz w:val="2"/>
                <w:szCs w:val="2"/>
                <w:color w:val="auto"/>
              </w:rPr>
            </w:pPr>
          </w:p>
        </w:tc>
        <w:tc>
          <w:tcPr>
            <w:tcW w:w="551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52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Regular Board, committee and director self-</w:t>
            </w:r>
          </w:p>
        </w:tc>
        <w:tc>
          <w:tcPr>
            <w:tcW w:w="230" w:type="dxa"/>
            <w:vAlign w:val="bottom"/>
            <w:shd w:val="clear" w:color="auto" w:fill="EBE6F0"/>
          </w:tcPr>
          <w:p>
            <w:pPr>
              <w:spacing w:after="0"/>
              <w:rPr>
                <w:sz w:val="24"/>
                <w:szCs w:val="24"/>
                <w:color w:val="auto"/>
              </w:rPr>
            </w:pPr>
          </w:p>
        </w:tc>
        <w:tc>
          <w:tcPr>
            <w:tcW w:w="5510" w:type="dxa"/>
            <w:vAlign w:val="bottom"/>
            <w:gridSpan w:val="2"/>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Promotes continuous process improvement of the</w:t>
            </w:r>
          </w:p>
        </w:tc>
        <w:tc>
          <w:tcPr>
            <w:tcW w:w="0" w:type="dxa"/>
            <w:vAlign w:val="bottom"/>
          </w:tcPr>
          <w:p>
            <w:pPr>
              <w:spacing w:after="0"/>
              <w:rPr>
                <w:sz w:val="1"/>
                <w:szCs w:val="1"/>
                <w:color w:val="auto"/>
              </w:rPr>
            </w:pPr>
          </w:p>
        </w:tc>
      </w:tr>
      <w:tr>
        <w:trPr>
          <w:trHeight w:val="245"/>
        </w:trPr>
        <w:tc>
          <w:tcPr>
            <w:tcW w:w="5520" w:type="dxa"/>
            <w:vAlign w:val="bottom"/>
            <w:shd w:val="clear" w:color="auto" w:fill="EBE6F0"/>
          </w:tcPr>
          <w:p>
            <w:pPr>
              <w:ind w:left="80"/>
              <w:spacing w:after="0" w:line="245" w:lineRule="exact"/>
              <w:rPr>
                <w:sz w:val="20"/>
                <w:szCs w:val="20"/>
                <w:color w:val="auto"/>
              </w:rPr>
            </w:pPr>
            <w:r>
              <w:rPr>
                <w:rFonts w:ascii="Arial" w:cs="Arial" w:eastAsia="Arial" w:hAnsi="Arial"/>
                <w:sz w:val="22"/>
                <w:szCs w:val="22"/>
                <w:b w:val="1"/>
                <w:bCs w:val="1"/>
                <w:color w:val="582C83"/>
              </w:rPr>
              <w:t xml:space="preserve">assessments </w:t>
            </w:r>
            <w:r>
              <w:rPr>
                <w:rFonts w:ascii="Arial" w:cs="Arial" w:eastAsia="Arial" w:hAnsi="Arial"/>
                <w:sz w:val="22"/>
                <w:szCs w:val="22"/>
                <w:color w:val="000000"/>
              </w:rPr>
              <w:t>include candid, one-on-one</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5" w:lineRule="exact"/>
              <w:rPr>
                <w:sz w:val="20"/>
                <w:szCs w:val="20"/>
                <w:color w:val="auto"/>
              </w:rPr>
            </w:pPr>
            <w:r>
              <w:rPr>
                <w:rFonts w:ascii="Arial" w:cs="Arial" w:eastAsia="Arial" w:hAnsi="Arial"/>
                <w:sz w:val="22"/>
                <w:szCs w:val="22"/>
                <w:color w:val="auto"/>
              </w:rPr>
              <w:t>Board and committees.</w:t>
            </w:r>
          </w:p>
        </w:tc>
        <w:tc>
          <w:tcPr>
            <w:tcW w:w="0" w:type="dxa"/>
            <w:vAlign w:val="bottom"/>
          </w:tcPr>
          <w:p>
            <w:pPr>
              <w:spacing w:after="0"/>
              <w:rPr>
                <w:sz w:val="1"/>
                <w:szCs w:val="1"/>
                <w:color w:val="auto"/>
              </w:rPr>
            </w:pPr>
          </w:p>
        </w:tc>
      </w:tr>
      <w:tr>
        <w:trPr>
          <w:trHeight w:val="256"/>
        </w:trPr>
        <w:tc>
          <w:tcPr>
            <w:tcW w:w="5520" w:type="dxa"/>
            <w:vAlign w:val="bottom"/>
            <w:shd w:val="clear" w:color="auto" w:fill="EBE6F0"/>
          </w:tcPr>
          <w:p>
            <w:pPr>
              <w:ind w:left="80"/>
              <w:spacing w:after="0"/>
              <w:rPr>
                <w:sz w:val="20"/>
                <w:szCs w:val="20"/>
                <w:color w:val="auto"/>
              </w:rPr>
            </w:pPr>
            <w:r>
              <w:rPr>
                <w:rFonts w:ascii="Arial" w:cs="Arial" w:eastAsia="Arial" w:hAnsi="Arial"/>
                <w:sz w:val="22"/>
                <w:szCs w:val="22"/>
                <w:color w:val="auto"/>
              </w:rPr>
              <w:t>conversations between the independent Lead Director</w:t>
            </w:r>
          </w:p>
        </w:tc>
        <w:tc>
          <w:tcPr>
            <w:tcW w:w="230" w:type="dxa"/>
            <w:vAlign w:val="bottom"/>
            <w:shd w:val="clear" w:color="auto" w:fill="EBE6F0"/>
          </w:tcPr>
          <w:p>
            <w:pPr>
              <w:spacing w:after="0"/>
              <w:rPr>
                <w:sz w:val="22"/>
                <w:szCs w:val="22"/>
                <w:color w:val="auto"/>
              </w:rPr>
            </w:pPr>
          </w:p>
        </w:tc>
        <w:tc>
          <w:tcPr>
            <w:tcW w:w="5510" w:type="dxa"/>
            <w:vAlign w:val="bottom"/>
            <w:gridSpan w:val="2"/>
            <w:shd w:val="clear" w:color="auto" w:fill="EBE6F0"/>
          </w:tcPr>
          <w:p>
            <w:pPr>
              <w:ind w:left="7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Provides an opportunity to discuss individual</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and each director, in coordination with the Governance</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directors’ contributions and performance as well as</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Committee. The results of these self-assessments are</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solicit their views on improving Board and committee</w:t>
            </w: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used in planning Board and committee meetings and</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performance.</w:t>
            </w:r>
          </w:p>
        </w:tc>
        <w:tc>
          <w:tcPr>
            <w:tcW w:w="0" w:type="dxa"/>
            <w:vAlign w:val="bottom"/>
          </w:tcPr>
          <w:p>
            <w:pPr>
              <w:spacing w:after="0"/>
              <w:rPr>
                <w:sz w:val="1"/>
                <w:szCs w:val="1"/>
                <w:color w:val="auto"/>
              </w:rPr>
            </w:pPr>
          </w:p>
        </w:tc>
      </w:tr>
      <w:tr>
        <w:trPr>
          <w:trHeight w:val="230"/>
        </w:trPr>
        <w:tc>
          <w:tcPr>
            <w:tcW w:w="5520" w:type="dxa"/>
            <w:vAlign w:val="bottom"/>
            <w:shd w:val="clear" w:color="auto" w:fill="EBE6F0"/>
          </w:tcPr>
          <w:p>
            <w:pPr>
              <w:ind w:left="80"/>
              <w:spacing w:after="0" w:line="230" w:lineRule="exact"/>
              <w:rPr>
                <w:sz w:val="20"/>
                <w:szCs w:val="20"/>
                <w:color w:val="auto"/>
              </w:rPr>
            </w:pPr>
            <w:r>
              <w:rPr>
                <w:rFonts w:ascii="Arial" w:cs="Arial" w:eastAsia="Arial" w:hAnsi="Arial"/>
                <w:sz w:val="22"/>
                <w:szCs w:val="22"/>
                <w:color w:val="auto"/>
              </w:rPr>
              <w:t>agendas, fostering director accountability and</w:t>
            </w:r>
          </w:p>
        </w:tc>
        <w:tc>
          <w:tcPr>
            <w:tcW w:w="230" w:type="dxa"/>
            <w:vAlign w:val="bottom"/>
            <w:shd w:val="clear" w:color="auto" w:fill="EBE6F0"/>
          </w:tcPr>
          <w:p>
            <w:pPr>
              <w:spacing w:after="0"/>
              <w:rPr>
                <w:sz w:val="20"/>
                <w:szCs w:val="20"/>
                <w:color w:val="auto"/>
              </w:rPr>
            </w:pPr>
          </w:p>
        </w:tc>
        <w:tc>
          <w:tcPr>
            <w:tcW w:w="230" w:type="dxa"/>
            <w:vAlign w:val="bottom"/>
            <w:shd w:val="clear" w:color="auto" w:fill="EBE6F0"/>
          </w:tcPr>
          <w:p>
            <w:pPr>
              <w:spacing w:after="0"/>
              <w:rPr>
                <w:sz w:val="20"/>
                <w:szCs w:val="20"/>
                <w:color w:val="auto"/>
              </w:rPr>
            </w:pPr>
          </w:p>
        </w:tc>
        <w:tc>
          <w:tcPr>
            <w:tcW w:w="528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committee effectiveness, analyzing Board composition,</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and making director recruitment and governance</w:t>
            </w:r>
          </w:p>
        </w:tc>
        <w:tc>
          <w:tcPr>
            <w:tcW w:w="230" w:type="dxa"/>
            <w:vAlign w:val="bottom"/>
            <w:shd w:val="clear" w:color="auto" w:fill="EBE6F0"/>
          </w:tcPr>
          <w:p>
            <w:pPr>
              <w:spacing w:after="0"/>
              <w:rPr>
                <w:sz w:val="21"/>
                <w:szCs w:val="21"/>
                <w:color w:val="auto"/>
              </w:rPr>
            </w:pPr>
          </w:p>
        </w:tc>
        <w:tc>
          <w:tcPr>
            <w:tcW w:w="230" w:type="dxa"/>
            <w:vAlign w:val="bottom"/>
            <w:shd w:val="clear" w:color="auto" w:fill="EBE6F0"/>
          </w:tcPr>
          <w:p>
            <w:pPr>
              <w:spacing w:after="0"/>
              <w:rPr>
                <w:sz w:val="21"/>
                <w:szCs w:val="21"/>
                <w:color w:val="auto"/>
              </w:rPr>
            </w:pPr>
          </w:p>
        </w:tc>
        <w:tc>
          <w:tcPr>
            <w:tcW w:w="528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520" w:type="dxa"/>
            <w:vAlign w:val="bottom"/>
            <w:shd w:val="clear" w:color="auto" w:fill="EBE6F0"/>
          </w:tcPr>
          <w:p>
            <w:pPr>
              <w:ind w:left="80"/>
              <w:spacing w:after="0"/>
              <w:rPr>
                <w:sz w:val="20"/>
                <w:szCs w:val="20"/>
                <w:color w:val="auto"/>
              </w:rPr>
            </w:pPr>
            <w:r>
              <w:rPr>
                <w:rFonts w:ascii="Arial" w:cs="Arial" w:eastAsia="Arial" w:hAnsi="Arial"/>
                <w:sz w:val="22"/>
                <w:szCs w:val="22"/>
                <w:color w:val="auto"/>
              </w:rPr>
              <w:t>decisions.</w:t>
            </w:r>
          </w:p>
        </w:tc>
        <w:tc>
          <w:tcPr>
            <w:tcW w:w="230" w:type="dxa"/>
            <w:vAlign w:val="bottom"/>
            <w:shd w:val="clear" w:color="auto" w:fill="EBE6F0"/>
          </w:tcPr>
          <w:p>
            <w:pPr>
              <w:spacing w:after="0"/>
              <w:rPr>
                <w:sz w:val="24"/>
                <w:szCs w:val="24"/>
                <w:color w:val="auto"/>
              </w:rPr>
            </w:pPr>
          </w:p>
        </w:tc>
        <w:tc>
          <w:tcPr>
            <w:tcW w:w="230" w:type="dxa"/>
            <w:vAlign w:val="bottom"/>
            <w:shd w:val="clear" w:color="auto" w:fill="EBE6F0"/>
          </w:tcPr>
          <w:p>
            <w:pPr>
              <w:spacing w:after="0"/>
              <w:rPr>
                <w:sz w:val="24"/>
                <w:szCs w:val="24"/>
                <w:color w:val="auto"/>
              </w:rPr>
            </w:pPr>
          </w:p>
        </w:tc>
        <w:tc>
          <w:tcPr>
            <w:tcW w:w="528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shd w:val="clear" w:color="auto" w:fill="EBE6F0"/>
          </w:tcPr>
          <w:p>
            <w:pPr>
              <w:spacing w:after="0"/>
              <w:rPr>
                <w:sz w:val="4"/>
                <w:szCs w:val="4"/>
                <w:color w:val="auto"/>
              </w:rPr>
            </w:pPr>
          </w:p>
        </w:tc>
        <w:tc>
          <w:tcPr>
            <w:tcW w:w="230" w:type="dxa"/>
            <w:vAlign w:val="bottom"/>
            <w:shd w:val="clear" w:color="auto" w:fill="EBE6F0"/>
          </w:tcPr>
          <w:p>
            <w:pPr>
              <w:spacing w:after="0"/>
              <w:rPr>
                <w:sz w:val="4"/>
                <w:szCs w:val="4"/>
                <w:color w:val="auto"/>
              </w:rPr>
            </w:pPr>
          </w:p>
        </w:tc>
        <w:tc>
          <w:tcPr>
            <w:tcW w:w="230" w:type="dxa"/>
            <w:vAlign w:val="bottom"/>
            <w:shd w:val="clear" w:color="auto" w:fill="EBE6F0"/>
          </w:tcPr>
          <w:p>
            <w:pPr>
              <w:spacing w:after="0"/>
              <w:rPr>
                <w:sz w:val="4"/>
                <w:szCs w:val="4"/>
                <w:color w:val="auto"/>
              </w:rPr>
            </w:pPr>
          </w:p>
        </w:tc>
        <w:tc>
          <w:tcPr>
            <w:tcW w:w="5280" w:type="dxa"/>
            <w:vAlign w:val="bottom"/>
            <w:shd w:val="clear" w:color="auto" w:fill="EBE6F0"/>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ectPr>
          <w:pgSz w:w="11900" w:h="16838" w:orient="portrait"/>
          <w:cols w:equalWidth="0" w:num="1">
            <w:col w:w="11260"/>
          </w:cols>
          <w:pgMar w:left="320" w:top="130" w:right="319" w:bottom="1440" w:gutter="0" w:footer="0" w:header="0"/>
        </w:sectPr>
      </w:pPr>
    </w:p>
    <w:p>
      <w:pPr>
        <w:ind w:left="80" w:right="620"/>
        <w:spacing w:after="0" w:line="256" w:lineRule="auto"/>
        <w:rPr>
          <w:sz w:val="20"/>
          <w:szCs w:val="20"/>
          <w:color w:val="auto"/>
        </w:rPr>
      </w:pPr>
      <w:r>
        <w:rPr>
          <w:rFonts w:ascii="Arial" w:cs="Arial" w:eastAsia="Arial" w:hAnsi="Arial"/>
          <w:sz w:val="22"/>
          <w:szCs w:val="22"/>
          <w:color w:val="auto"/>
        </w:rPr>
        <w:t xml:space="preserve">Non-employee director </w:t>
      </w:r>
      <w:r>
        <w:rPr>
          <w:rFonts w:ascii="Arial" w:cs="Arial" w:eastAsia="Arial" w:hAnsi="Arial"/>
          <w:sz w:val="22"/>
          <w:szCs w:val="22"/>
          <w:b w:val="1"/>
          <w:bCs w:val="1"/>
          <w:color w:val="582C83"/>
        </w:rPr>
        <w:t>tenure and retirement</w:t>
      </w:r>
      <w:r>
        <w:rPr>
          <w:rFonts w:ascii="Arial" w:cs="Arial" w:eastAsia="Arial" w:hAnsi="Arial"/>
          <w:sz w:val="22"/>
          <w:szCs w:val="22"/>
          <w:color w:val="auto"/>
        </w:rPr>
        <w:t xml:space="preserve"> </w:t>
      </w:r>
      <w:r>
        <w:rPr>
          <w:rFonts w:ascii="Arial" w:cs="Arial" w:eastAsia="Arial" w:hAnsi="Arial"/>
          <w:sz w:val="22"/>
          <w:szCs w:val="22"/>
          <w:b w:val="1"/>
          <w:bCs w:val="1"/>
          <w:color w:val="582C83"/>
        </w:rPr>
        <w:t>policies</w:t>
      </w:r>
      <w:r>
        <w:rPr>
          <w:rFonts w:ascii="Arial" w:cs="Arial" w:eastAsia="Arial" w:hAnsi="Arial"/>
          <w:sz w:val="22"/>
          <w:szCs w:val="22"/>
          <w:color w:val="000000"/>
        </w:rPr>
        <w:t>:</w:t>
      </w:r>
    </w:p>
    <w:p>
      <w:pPr>
        <w:spacing w:after="0" w:line="1" w:lineRule="exact"/>
        <w:rPr>
          <w:sz w:val="20"/>
          <w:szCs w:val="20"/>
          <w:color w:val="auto"/>
        </w:rPr>
      </w:pPr>
    </w:p>
    <w:p>
      <w:pPr>
        <w:ind w:left="300" w:right="240" w:hanging="225"/>
        <w:spacing w:after="0" w:line="244" w:lineRule="auto"/>
        <w:tabs>
          <w:tab w:leader="none" w:pos="300" w:val="left"/>
        </w:tabs>
        <w:numPr>
          <w:ilvl w:val="0"/>
          <w:numId w:val="20"/>
        </w:numPr>
        <w:rPr>
          <w:rFonts w:ascii="Arial" w:cs="Arial" w:eastAsia="Arial" w:hAnsi="Arial"/>
          <w:sz w:val="22"/>
          <w:szCs w:val="22"/>
          <w:color w:val="582C83"/>
        </w:rPr>
      </w:pPr>
      <w:r>
        <w:rPr>
          <w:rFonts w:ascii="Arial" w:cs="Arial" w:eastAsia="Arial" w:hAnsi="Arial"/>
          <w:sz w:val="22"/>
          <w:szCs w:val="22"/>
          <w:color w:val="auto"/>
        </w:rPr>
        <w:t>All non-employee directors have a tenure limit of 15 years.</w:t>
      </w:r>
    </w:p>
    <w:p>
      <w:pPr>
        <w:ind w:left="300" w:hanging="225"/>
        <w:spacing w:after="0" w:line="247" w:lineRule="auto"/>
        <w:tabs>
          <w:tab w:leader="none" w:pos="300" w:val="left"/>
        </w:tabs>
        <w:numPr>
          <w:ilvl w:val="0"/>
          <w:numId w:val="20"/>
        </w:numPr>
        <w:rPr>
          <w:rFonts w:ascii="Arial" w:cs="Arial" w:eastAsia="Arial" w:hAnsi="Arial"/>
          <w:sz w:val="21"/>
          <w:szCs w:val="21"/>
          <w:color w:val="582C83"/>
        </w:rPr>
      </w:pPr>
      <w:r>
        <w:rPr>
          <w:rFonts w:ascii="Arial" w:cs="Arial" w:eastAsia="Arial" w:hAnsi="Arial"/>
          <w:sz w:val="21"/>
          <w:szCs w:val="21"/>
          <w:color w:val="auto"/>
        </w:rPr>
        <w:t>Non-employee directors will not be nominated for election to the Board after their 75</w:t>
      </w:r>
      <w:r>
        <w:rPr>
          <w:rFonts w:ascii="Arial" w:cs="Arial" w:eastAsia="Arial" w:hAnsi="Arial"/>
          <w:sz w:val="23"/>
          <w:szCs w:val="23"/>
          <w:color w:val="auto"/>
          <w:vertAlign w:val="superscript"/>
        </w:rPr>
        <w:t>th</w:t>
      </w:r>
      <w:r>
        <w:rPr>
          <w:rFonts w:ascii="Arial" w:cs="Arial" w:eastAsia="Arial" w:hAnsi="Arial"/>
          <w:sz w:val="21"/>
          <w:szCs w:val="21"/>
          <w:color w:val="auto"/>
        </w:rPr>
        <w:t xml:space="preserve"> birthday unless they first join the Board between age 70 and 75, in which case they may serve for five years.</w:t>
      </w:r>
    </w:p>
    <w:p>
      <w:pPr>
        <w:spacing w:after="0" w:line="20" w:lineRule="exact"/>
        <w:rPr>
          <w:sz w:val="20"/>
          <w:szCs w:val="20"/>
          <w:color w:val="auto"/>
        </w:rPr>
      </w:pPr>
      <w:r>
        <w:rPr>
          <w:sz w:val="20"/>
          <w:szCs w:val="20"/>
          <w:color w:val="auto"/>
        </w:rPr>
        <w:br w:type="column"/>
      </w:r>
    </w:p>
    <w:p>
      <w:pPr>
        <w:ind w:left="207" w:right="660" w:hanging="207"/>
        <w:spacing w:after="0" w:line="249" w:lineRule="auto"/>
        <w:tabs>
          <w:tab w:leader="none" w:pos="207" w:val="left"/>
        </w:tabs>
        <w:numPr>
          <w:ilvl w:val="0"/>
          <w:numId w:val="21"/>
        </w:numPr>
        <w:rPr>
          <w:rFonts w:ascii="Arial" w:cs="Arial" w:eastAsia="Arial" w:hAnsi="Arial"/>
          <w:sz w:val="22"/>
          <w:szCs w:val="22"/>
          <w:color w:val="582C83"/>
        </w:rPr>
      </w:pPr>
      <w:r>
        <w:rPr>
          <w:rFonts w:ascii="Arial" w:cs="Arial" w:eastAsia="Arial" w:hAnsi="Arial"/>
          <w:sz w:val="22"/>
          <w:szCs w:val="22"/>
          <w:color w:val="auto"/>
        </w:rPr>
        <w:t>Tenure and retirement policies promote ongoing evolution and refreshment.</w:t>
      </w:r>
    </w:p>
    <w:p>
      <w:pPr>
        <w:spacing w:after="0" w:line="1" w:lineRule="exact"/>
        <w:rPr>
          <w:rFonts w:ascii="Arial" w:cs="Arial" w:eastAsia="Arial" w:hAnsi="Arial"/>
          <w:sz w:val="22"/>
          <w:szCs w:val="22"/>
          <w:color w:val="582C83"/>
        </w:rPr>
      </w:pPr>
    </w:p>
    <w:p>
      <w:pPr>
        <w:ind w:left="207" w:right="180" w:hanging="207"/>
        <w:spacing w:after="0" w:line="243" w:lineRule="auto"/>
        <w:tabs>
          <w:tab w:leader="none" w:pos="207" w:val="left"/>
        </w:tabs>
        <w:numPr>
          <w:ilvl w:val="0"/>
          <w:numId w:val="21"/>
        </w:numPr>
        <w:rPr>
          <w:rFonts w:ascii="Arial" w:cs="Arial" w:eastAsia="Arial" w:hAnsi="Arial"/>
          <w:sz w:val="22"/>
          <w:szCs w:val="22"/>
          <w:color w:val="582C83"/>
        </w:rPr>
      </w:pPr>
      <w:r>
        <w:rPr>
          <w:rFonts w:ascii="Arial" w:cs="Arial" w:eastAsia="Arial" w:hAnsi="Arial"/>
          <w:sz w:val="22"/>
          <w:szCs w:val="22"/>
          <w:color w:val="auto"/>
        </w:rPr>
        <w:t>Annual self-assessments provide a disciplined mechanism for director input into the Board evolution and succession planning process.</w:t>
      </w:r>
    </w:p>
    <w:p>
      <w:pPr>
        <w:spacing w:after="0" w:line="1" w:lineRule="exact"/>
        <w:rPr>
          <w:rFonts w:ascii="Arial" w:cs="Arial" w:eastAsia="Arial" w:hAnsi="Arial"/>
          <w:sz w:val="22"/>
          <w:szCs w:val="22"/>
          <w:color w:val="582C83"/>
        </w:rPr>
      </w:pPr>
    </w:p>
    <w:p>
      <w:pPr>
        <w:ind w:left="207" w:right="180" w:hanging="207"/>
        <w:spacing w:after="0" w:line="259" w:lineRule="auto"/>
        <w:tabs>
          <w:tab w:leader="none" w:pos="207" w:val="left"/>
        </w:tabs>
        <w:numPr>
          <w:ilvl w:val="0"/>
          <w:numId w:val="21"/>
        </w:numPr>
        <w:rPr>
          <w:rFonts w:ascii="Arial" w:cs="Arial" w:eastAsia="Arial" w:hAnsi="Arial"/>
          <w:sz w:val="22"/>
          <w:szCs w:val="22"/>
          <w:color w:val="582C83"/>
        </w:rPr>
      </w:pPr>
      <w:r>
        <w:rPr>
          <w:rFonts w:ascii="Arial" w:cs="Arial" w:eastAsia="Arial" w:hAnsi="Arial"/>
          <w:sz w:val="22"/>
          <w:szCs w:val="22"/>
          <w:color w:val="auto"/>
        </w:rPr>
        <w:t>Average tenure for current non-employee directors is approximately six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167005</wp:posOffset>
            </wp:positionV>
            <wp:extent cx="7140575" cy="10115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0575" cy="10115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5160" w:space="653"/>
            <w:col w:w="5447"/>
          </w:cols>
          <w:pgMar w:left="320" w:top="130" w:right="319" w:bottom="1440" w:gutter="0" w:footer="0" w:header="0"/>
          <w:type w:val="continuous"/>
        </w:sectPr>
      </w:pPr>
    </w:p>
    <w:p>
      <w:pPr>
        <w:ind w:left="80"/>
        <w:spacing w:after="0" w:line="236" w:lineRule="auto"/>
        <w:rPr>
          <w:sz w:val="20"/>
          <w:szCs w:val="20"/>
          <w:color w:val="auto"/>
        </w:rPr>
      </w:pPr>
      <w:r>
        <w:rPr>
          <w:rFonts w:ascii="Arial" w:cs="Arial" w:eastAsia="Arial" w:hAnsi="Arial"/>
          <w:sz w:val="22"/>
          <w:szCs w:val="22"/>
          <w:color w:val="auto"/>
        </w:rPr>
        <w:t xml:space="preserve">At each in-person Board meeting, the independent directors meet in </w:t>
      </w:r>
      <w:r>
        <w:rPr>
          <w:rFonts w:ascii="Arial" w:cs="Arial" w:eastAsia="Arial" w:hAnsi="Arial"/>
          <w:sz w:val="22"/>
          <w:szCs w:val="22"/>
          <w:b w:val="1"/>
          <w:bCs w:val="1"/>
          <w:color w:val="582C83"/>
        </w:rPr>
        <w:t>executive session without any</w:t>
      </w:r>
      <w:r>
        <w:rPr>
          <w:rFonts w:ascii="Arial" w:cs="Arial" w:eastAsia="Arial" w:hAnsi="Arial"/>
          <w:sz w:val="22"/>
          <w:szCs w:val="22"/>
          <w:color w:val="auto"/>
        </w:rPr>
        <w:t xml:space="preserve"> </w:t>
      </w:r>
      <w:r>
        <w:rPr>
          <w:rFonts w:ascii="Arial" w:cs="Arial" w:eastAsia="Arial" w:hAnsi="Arial"/>
          <w:sz w:val="22"/>
          <w:szCs w:val="22"/>
          <w:b w:val="1"/>
          <w:bCs w:val="1"/>
          <w:color w:val="582C83"/>
        </w:rPr>
        <w:t xml:space="preserve">members of management </w:t>
      </w:r>
      <w:r>
        <w:rPr>
          <w:rFonts w:ascii="Arial" w:cs="Arial" w:eastAsia="Arial" w:hAnsi="Arial"/>
          <w:sz w:val="22"/>
          <w:szCs w:val="22"/>
          <w:color w:val="000000"/>
        </w:rPr>
        <w:t>present. The independent</w:t>
      </w:r>
      <w:r>
        <w:rPr>
          <w:rFonts w:ascii="Arial" w:cs="Arial" w:eastAsia="Arial" w:hAnsi="Arial"/>
          <w:sz w:val="22"/>
          <w:szCs w:val="22"/>
          <w:b w:val="1"/>
          <w:bCs w:val="1"/>
          <w:color w:val="582C83"/>
        </w:rPr>
        <w:t xml:space="preserve"> </w:t>
      </w:r>
      <w:r>
        <w:rPr>
          <w:rFonts w:ascii="Arial" w:cs="Arial" w:eastAsia="Arial" w:hAnsi="Arial"/>
          <w:sz w:val="22"/>
          <w:szCs w:val="22"/>
          <w:color w:val="000000"/>
        </w:rPr>
        <w:t>Lead Director chairs these sessions. A committee chair leads a Board discussion of a topic relevant to that committee’s remit.</w:t>
      </w:r>
    </w:p>
    <w:p>
      <w:pPr>
        <w:spacing w:after="0" w:line="20" w:lineRule="exact"/>
        <w:rPr>
          <w:sz w:val="20"/>
          <w:szCs w:val="20"/>
          <w:color w:val="auto"/>
        </w:rPr>
      </w:pPr>
      <w:r>
        <w:rPr>
          <w:sz w:val="20"/>
          <w:szCs w:val="20"/>
          <w:color w:val="auto"/>
        </w:rPr>
        <w:br w:type="column"/>
      </w:r>
    </w:p>
    <w:p>
      <w:pPr>
        <w:ind w:right="560"/>
        <w:spacing w:after="0" w:line="245" w:lineRule="auto"/>
        <w:rPr>
          <w:sz w:val="20"/>
          <w:szCs w:val="20"/>
          <w:color w:val="auto"/>
        </w:rPr>
      </w:pPr>
      <w:r>
        <w:rPr>
          <w:rFonts w:ascii="Arial" w:cs="Arial" w:eastAsia="Arial" w:hAnsi="Arial"/>
          <w:sz w:val="22"/>
          <w:szCs w:val="22"/>
          <w:color w:val="auto"/>
        </w:rPr>
        <w:t>Allows the Board to discuss substantive issues, including matters concerning management, without management present.</w:t>
      </w:r>
    </w:p>
    <w:p>
      <w:pPr>
        <w:spacing w:after="0" w:line="792" w:lineRule="exact"/>
        <w:rPr>
          <w:sz w:val="20"/>
          <w:szCs w:val="20"/>
          <w:color w:val="auto"/>
        </w:rPr>
      </w:pPr>
    </w:p>
    <w:p>
      <w:pPr>
        <w:sectPr>
          <w:pgSz w:w="11900" w:h="16838" w:orient="portrait"/>
          <w:cols w:equalWidth="0" w:num="2">
            <w:col w:w="5360" w:space="460"/>
            <w:col w:w="5440"/>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5540" w:type="dxa"/>
            <w:vAlign w:val="bottom"/>
          </w:tcPr>
          <w:p>
            <w:pPr>
              <w:ind w:left="80"/>
              <w:spacing w:after="0"/>
              <w:rPr>
                <w:sz w:val="20"/>
                <w:szCs w:val="20"/>
                <w:color w:val="auto"/>
              </w:rPr>
            </w:pPr>
            <w:r>
              <w:rPr>
                <w:rFonts w:ascii="Arial" w:cs="Arial" w:eastAsia="Arial" w:hAnsi="Arial"/>
                <w:sz w:val="22"/>
                <w:szCs w:val="22"/>
                <w:color w:val="auto"/>
              </w:rPr>
              <w:t xml:space="preserve">Annually, </w:t>
            </w:r>
            <w:r>
              <w:rPr>
                <w:rFonts w:ascii="Arial" w:cs="Arial" w:eastAsia="Arial" w:hAnsi="Arial"/>
                <w:sz w:val="22"/>
                <w:szCs w:val="22"/>
                <w:b w:val="1"/>
                <w:bCs w:val="1"/>
                <w:color w:val="582C83"/>
              </w:rPr>
              <w:t>the People and Compensation Committee</w:t>
            </w:r>
          </w:p>
        </w:tc>
        <w:tc>
          <w:tcPr>
            <w:tcW w:w="5700" w:type="dxa"/>
            <w:vAlign w:val="bottom"/>
          </w:tcPr>
          <w:p>
            <w:pPr>
              <w:ind w:left="280"/>
              <w:spacing w:after="0"/>
              <w:rPr>
                <w:sz w:val="20"/>
                <w:szCs w:val="20"/>
                <w:color w:val="auto"/>
              </w:rPr>
            </w:pPr>
            <w:r>
              <w:rPr>
                <w:rFonts w:ascii="Arial" w:cs="Arial" w:eastAsia="Arial" w:hAnsi="Arial"/>
                <w:sz w:val="22"/>
                <w:szCs w:val="22"/>
                <w:color w:val="auto"/>
              </w:rPr>
              <w:t>Enhances management accountability.</w:t>
            </w:r>
          </w:p>
        </w:tc>
      </w:tr>
      <w:tr>
        <w:trPr>
          <w:trHeight w:val="243"/>
        </w:trPr>
        <w:tc>
          <w:tcPr>
            <w:tcW w:w="5540" w:type="dxa"/>
            <w:vAlign w:val="bottom"/>
          </w:tcPr>
          <w:p>
            <w:pPr>
              <w:ind w:left="80"/>
              <w:spacing w:after="0" w:line="243" w:lineRule="exact"/>
              <w:rPr>
                <w:sz w:val="20"/>
                <w:szCs w:val="20"/>
                <w:color w:val="auto"/>
              </w:rPr>
            </w:pPr>
            <w:r>
              <w:rPr>
                <w:rFonts w:ascii="Arial" w:cs="Arial" w:eastAsia="Arial" w:hAnsi="Arial"/>
                <w:sz w:val="22"/>
                <w:szCs w:val="22"/>
                <w:b w:val="1"/>
                <w:bCs w:val="1"/>
                <w:color w:val="582C83"/>
              </w:rPr>
              <w:t>sets goals for and evaluates the Chairman and</w:t>
            </w:r>
          </w:p>
        </w:tc>
        <w:tc>
          <w:tcPr>
            <w:tcW w:w="5700" w:type="dxa"/>
            <w:vAlign w:val="bottom"/>
          </w:tcPr>
          <w:p>
            <w:pPr>
              <w:spacing w:after="0"/>
              <w:rPr>
                <w:sz w:val="21"/>
                <w:szCs w:val="21"/>
                <w:color w:val="auto"/>
              </w:rPr>
            </w:pPr>
          </w:p>
        </w:tc>
      </w:tr>
      <w:tr>
        <w:trPr>
          <w:trHeight w:val="245"/>
        </w:trPr>
        <w:tc>
          <w:tcPr>
            <w:tcW w:w="5540" w:type="dxa"/>
            <w:vAlign w:val="bottom"/>
          </w:tcPr>
          <w:p>
            <w:pPr>
              <w:ind w:left="80"/>
              <w:spacing w:after="0" w:line="245" w:lineRule="exact"/>
              <w:rPr>
                <w:sz w:val="20"/>
                <w:szCs w:val="20"/>
                <w:color w:val="auto"/>
              </w:rPr>
            </w:pPr>
            <w:r>
              <w:rPr>
                <w:rFonts w:ascii="Arial" w:cs="Arial" w:eastAsia="Arial" w:hAnsi="Arial"/>
                <w:sz w:val="22"/>
                <w:szCs w:val="22"/>
                <w:b w:val="1"/>
                <w:bCs w:val="1"/>
                <w:color w:val="582C83"/>
              </w:rPr>
              <w:t>CEO’s performance</w:t>
            </w:r>
            <w:r>
              <w:rPr>
                <w:rFonts w:ascii="Arial" w:cs="Arial" w:eastAsia="Arial" w:hAnsi="Arial"/>
                <w:sz w:val="22"/>
                <w:szCs w:val="22"/>
                <w:color w:val="000000"/>
              </w:rPr>
              <w:t>. The People and Compensation</w:t>
            </w:r>
          </w:p>
        </w:tc>
        <w:tc>
          <w:tcPr>
            <w:tcW w:w="5700" w:type="dxa"/>
            <w:vAlign w:val="bottom"/>
          </w:tcPr>
          <w:p>
            <w:pPr>
              <w:spacing w:after="0"/>
              <w:rPr>
                <w:sz w:val="21"/>
                <w:szCs w:val="21"/>
                <w:color w:val="auto"/>
              </w:rPr>
            </w:pPr>
          </w:p>
        </w:tc>
      </w:tr>
      <w:tr>
        <w:trPr>
          <w:trHeight w:val="243"/>
        </w:trPr>
        <w:tc>
          <w:tcPr>
            <w:tcW w:w="5540" w:type="dxa"/>
            <w:vAlign w:val="bottom"/>
          </w:tcPr>
          <w:p>
            <w:pPr>
              <w:ind w:left="80"/>
              <w:spacing w:after="0" w:line="243" w:lineRule="exact"/>
              <w:rPr>
                <w:sz w:val="20"/>
                <w:szCs w:val="20"/>
                <w:color w:val="auto"/>
              </w:rPr>
            </w:pPr>
            <w:r>
              <w:rPr>
                <w:rFonts w:ascii="Arial" w:cs="Arial" w:eastAsia="Arial" w:hAnsi="Arial"/>
                <w:sz w:val="22"/>
                <w:szCs w:val="22"/>
                <w:color w:val="auto"/>
              </w:rPr>
              <w:t>Committee seeks input from the other directors before</w:t>
            </w:r>
          </w:p>
        </w:tc>
        <w:tc>
          <w:tcPr>
            <w:tcW w:w="5700" w:type="dxa"/>
            <w:vAlign w:val="bottom"/>
          </w:tcPr>
          <w:p>
            <w:pPr>
              <w:spacing w:after="0"/>
              <w:rPr>
                <w:sz w:val="21"/>
                <w:szCs w:val="21"/>
                <w:color w:val="auto"/>
              </w:rPr>
            </w:pPr>
          </w:p>
        </w:tc>
      </w:tr>
      <w:tr>
        <w:trPr>
          <w:trHeight w:val="243"/>
        </w:trPr>
        <w:tc>
          <w:tcPr>
            <w:tcW w:w="5540" w:type="dxa"/>
            <w:vAlign w:val="bottom"/>
          </w:tcPr>
          <w:p>
            <w:pPr>
              <w:ind w:left="80"/>
              <w:spacing w:after="0" w:line="243" w:lineRule="exact"/>
              <w:rPr>
                <w:sz w:val="20"/>
                <w:szCs w:val="20"/>
                <w:color w:val="auto"/>
              </w:rPr>
            </w:pPr>
            <w:r>
              <w:rPr>
                <w:rFonts w:ascii="Arial" w:cs="Arial" w:eastAsia="Arial" w:hAnsi="Arial"/>
                <w:sz w:val="22"/>
                <w:szCs w:val="22"/>
                <w:color w:val="auto"/>
              </w:rPr>
              <w:t>deciding on a performance rating and compensation</w:t>
            </w:r>
          </w:p>
        </w:tc>
        <w:tc>
          <w:tcPr>
            <w:tcW w:w="5700" w:type="dxa"/>
            <w:vAlign w:val="bottom"/>
          </w:tcPr>
          <w:p>
            <w:pPr>
              <w:spacing w:after="0"/>
              <w:rPr>
                <w:sz w:val="21"/>
                <w:szCs w:val="21"/>
                <w:color w:val="auto"/>
              </w:rPr>
            </w:pPr>
          </w:p>
        </w:tc>
      </w:tr>
      <w:tr>
        <w:trPr>
          <w:trHeight w:val="283"/>
        </w:trPr>
        <w:tc>
          <w:tcPr>
            <w:tcW w:w="5540" w:type="dxa"/>
            <w:vAlign w:val="bottom"/>
          </w:tcPr>
          <w:p>
            <w:pPr>
              <w:ind w:left="80"/>
              <w:spacing w:after="0"/>
              <w:rPr>
                <w:sz w:val="20"/>
                <w:szCs w:val="20"/>
                <w:color w:val="auto"/>
              </w:rPr>
            </w:pPr>
            <w:r>
              <w:rPr>
                <w:rFonts w:ascii="Arial" w:cs="Arial" w:eastAsia="Arial" w:hAnsi="Arial"/>
                <w:sz w:val="22"/>
                <w:szCs w:val="22"/>
                <w:color w:val="auto"/>
              </w:rPr>
              <w:t>actions.</w:t>
            </w:r>
          </w:p>
        </w:tc>
        <w:tc>
          <w:tcPr>
            <w:tcW w:w="5700" w:type="dxa"/>
            <w:vAlign w:val="bottom"/>
          </w:tcPr>
          <w:p>
            <w:pPr>
              <w:spacing w:after="0"/>
              <w:rPr>
                <w:sz w:val="24"/>
                <w:szCs w:val="24"/>
                <w:color w:val="auto"/>
              </w:rPr>
            </w:pPr>
          </w:p>
        </w:tc>
      </w:tr>
      <w:tr>
        <w:trPr>
          <w:trHeight w:val="243"/>
        </w:trPr>
        <w:tc>
          <w:tcPr>
            <w:tcW w:w="5540" w:type="dxa"/>
            <w:vAlign w:val="bottom"/>
            <w:tcBorders>
              <w:bottom w:val="single" w:sz="8" w:color="572C83"/>
            </w:tcBorders>
          </w:tcPr>
          <w:p>
            <w:pPr>
              <w:spacing w:after="0"/>
              <w:rPr>
                <w:sz w:val="21"/>
                <w:szCs w:val="21"/>
                <w:color w:val="auto"/>
              </w:rPr>
            </w:pPr>
          </w:p>
        </w:tc>
        <w:tc>
          <w:tcPr>
            <w:tcW w:w="5700" w:type="dxa"/>
            <w:vAlign w:val="bottom"/>
            <w:tcBorders>
              <w:bottom w:val="single" w:sz="8" w:color="572C83"/>
            </w:tcBorders>
          </w:tcPr>
          <w:p>
            <w:pPr>
              <w:spacing w:after="0"/>
              <w:rPr>
                <w:sz w:val="21"/>
                <w:szCs w:val="21"/>
                <w:color w:val="auto"/>
              </w:rPr>
            </w:pPr>
          </w:p>
        </w:tc>
      </w:tr>
      <w:tr>
        <w:trPr>
          <w:trHeight w:val="283"/>
        </w:trPr>
        <w:tc>
          <w:tcPr>
            <w:tcW w:w="5540" w:type="dxa"/>
            <w:vAlign w:val="bottom"/>
          </w:tcPr>
          <w:p>
            <w:pPr>
              <w:spacing w:after="0"/>
              <w:rPr>
                <w:sz w:val="24"/>
                <w:szCs w:val="24"/>
                <w:color w:val="auto"/>
              </w:rPr>
            </w:pPr>
          </w:p>
        </w:tc>
        <w:tc>
          <w:tcPr>
            <w:tcW w:w="5700" w:type="dxa"/>
            <w:vAlign w:val="bottom"/>
          </w:tcPr>
          <w:p>
            <w:pPr>
              <w:ind w:left="3320"/>
              <w:spacing w:after="0"/>
              <w:rPr>
                <w:sz w:val="20"/>
                <w:szCs w:val="20"/>
                <w:color w:val="auto"/>
              </w:rPr>
            </w:pPr>
            <w:r>
              <w:rPr>
                <w:rFonts w:ascii="Arial" w:cs="Arial" w:eastAsia="Arial" w:hAnsi="Arial"/>
                <w:sz w:val="16"/>
                <w:szCs w:val="16"/>
                <w:b w:val="1"/>
                <w:bCs w:val="1"/>
                <w:color w:val="582C83"/>
              </w:rPr>
              <w:t>2022 PROXY STATEMENT | 33</w:t>
            </w:r>
          </w:p>
        </w:tc>
      </w:tr>
      <w:tr>
        <w:trPr>
          <w:trHeight w:val="284"/>
        </w:trPr>
        <w:tc>
          <w:tcPr>
            <w:tcW w:w="55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98552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37" w:name="page38"/>
    <w:bookmarkEnd w:id="37"/>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319"/>
        </w:trPr>
        <w:tc>
          <w:tcPr>
            <w:tcW w:w="575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Key practice/policy</w:t>
            </w:r>
          </w:p>
        </w:tc>
        <w:tc>
          <w:tcPr>
            <w:tcW w:w="5510" w:type="dxa"/>
            <w:vAlign w:val="bottom"/>
            <w:tcBorders>
              <w:bottom w:val="single" w:sz="8" w:color="582C83"/>
            </w:tcBorders>
          </w:tcPr>
          <w:p>
            <w:pPr>
              <w:ind w:left="70"/>
              <w:spacing w:after="0"/>
              <w:rPr>
                <w:sz w:val="20"/>
                <w:szCs w:val="20"/>
                <w:color w:val="auto"/>
              </w:rPr>
            </w:pPr>
            <w:r>
              <w:rPr>
                <w:rFonts w:ascii="Arial" w:cs="Arial" w:eastAsia="Arial" w:hAnsi="Arial"/>
                <w:sz w:val="22"/>
                <w:szCs w:val="22"/>
                <w:b w:val="1"/>
                <w:bCs w:val="1"/>
                <w:color w:val="auto"/>
              </w:rPr>
              <w:t>Benefits</w:t>
            </w:r>
          </w:p>
        </w:tc>
      </w:tr>
      <w:tr>
        <w:trPr>
          <w:trHeight w:val="269"/>
        </w:trPr>
        <w:tc>
          <w:tcPr>
            <w:tcW w:w="575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582C83"/>
              </w:rPr>
              <w:t>The Board has at least one meeting each year</w:t>
            </w:r>
          </w:p>
        </w:tc>
        <w:tc>
          <w:tcPr>
            <w:tcW w:w="5510" w:type="dxa"/>
            <w:vAlign w:val="bottom"/>
            <w:shd w:val="clear" w:color="auto" w:fill="EBE6F0"/>
          </w:tcPr>
          <w:p>
            <w:pPr>
              <w:ind w:left="70"/>
              <w:spacing w:after="0"/>
              <w:rPr>
                <w:sz w:val="20"/>
                <w:szCs w:val="20"/>
                <w:color w:val="auto"/>
              </w:rPr>
            </w:pPr>
            <w:r>
              <w:rPr>
                <w:rFonts w:ascii="Arial" w:cs="Arial" w:eastAsia="Arial" w:hAnsi="Arial"/>
                <w:sz w:val="22"/>
                <w:szCs w:val="22"/>
                <w:color w:val="auto"/>
              </w:rPr>
              <w:t>The Company’s goals and executive compensation</w:t>
            </w: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b w:val="1"/>
                <w:bCs w:val="1"/>
                <w:color w:val="582C83"/>
              </w:rPr>
              <w:t>primarily dedicated to strategy where it meets with</w:t>
            </w:r>
          </w:p>
        </w:tc>
        <w:tc>
          <w:tcPr>
            <w:tcW w:w="551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auto"/>
              </w:rPr>
              <w:t>design are tied to a number of metrics critical to</w:t>
            </w: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b w:val="1"/>
                <w:bCs w:val="1"/>
                <w:color w:val="582C83"/>
              </w:rPr>
              <w:t>management to discuss, understand and challenge</w:t>
            </w:r>
          </w:p>
        </w:tc>
        <w:tc>
          <w:tcPr>
            <w:tcW w:w="5510" w:type="dxa"/>
            <w:vAlign w:val="bottom"/>
            <w:shd w:val="clear" w:color="auto" w:fill="EBE6F0"/>
          </w:tcPr>
          <w:p>
            <w:pPr>
              <w:ind w:left="70"/>
              <w:spacing w:after="0" w:line="243" w:lineRule="exact"/>
              <w:rPr>
                <w:sz w:val="20"/>
                <w:szCs w:val="20"/>
                <w:color w:val="auto"/>
              </w:rPr>
            </w:pPr>
            <w:r>
              <w:rPr>
                <w:rFonts w:ascii="Arial" w:cs="Arial" w:eastAsia="Arial" w:hAnsi="Arial"/>
                <w:sz w:val="22"/>
                <w:szCs w:val="22"/>
                <w:color w:val="auto"/>
              </w:rPr>
              <w:t>achieving the strategic plan and promoting long-term</w:t>
            </w:r>
          </w:p>
        </w:tc>
      </w:tr>
      <w:tr>
        <w:trPr>
          <w:trHeight w:val="245"/>
        </w:trPr>
        <w:tc>
          <w:tcPr>
            <w:tcW w:w="5750" w:type="dxa"/>
            <w:vAlign w:val="bottom"/>
            <w:shd w:val="clear" w:color="auto" w:fill="EBE6F0"/>
          </w:tcPr>
          <w:p>
            <w:pPr>
              <w:ind w:left="80"/>
              <w:spacing w:after="0" w:line="245" w:lineRule="exact"/>
              <w:rPr>
                <w:sz w:val="20"/>
                <w:szCs w:val="20"/>
                <w:color w:val="auto"/>
              </w:rPr>
            </w:pPr>
            <w:r>
              <w:rPr>
                <w:rFonts w:ascii="Arial" w:cs="Arial" w:eastAsia="Arial" w:hAnsi="Arial"/>
                <w:sz w:val="22"/>
                <w:szCs w:val="22"/>
                <w:b w:val="1"/>
                <w:bCs w:val="1"/>
                <w:color w:val="582C83"/>
              </w:rPr>
              <w:t>our strategic plan’s short- and long-term objectives</w:t>
            </w:r>
            <w:r>
              <w:rPr>
                <w:rFonts w:ascii="Arial" w:cs="Arial" w:eastAsia="Arial" w:hAnsi="Arial"/>
                <w:sz w:val="22"/>
                <w:szCs w:val="22"/>
                <w:b w:val="1"/>
                <w:bCs w:val="1"/>
                <w:color w:val="000000"/>
              </w:rPr>
              <w:t>.</w:t>
            </w:r>
          </w:p>
        </w:tc>
        <w:tc>
          <w:tcPr>
            <w:tcW w:w="5510" w:type="dxa"/>
            <w:vAlign w:val="bottom"/>
            <w:shd w:val="clear" w:color="auto" w:fill="EBE6F0"/>
          </w:tcPr>
          <w:p>
            <w:pPr>
              <w:ind w:left="70"/>
              <w:spacing w:after="0" w:line="245" w:lineRule="exact"/>
              <w:rPr>
                <w:sz w:val="20"/>
                <w:szCs w:val="20"/>
                <w:color w:val="auto"/>
              </w:rPr>
            </w:pPr>
            <w:r>
              <w:rPr>
                <w:rFonts w:ascii="Arial" w:cs="Arial" w:eastAsia="Arial" w:hAnsi="Arial"/>
                <w:sz w:val="22"/>
                <w:szCs w:val="22"/>
                <w:color w:val="auto"/>
              </w:rPr>
              <w:t>shareholder returns.</w:t>
            </w: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At Board meetings held throughout the year, the Board</w:t>
            </w:r>
          </w:p>
        </w:tc>
        <w:tc>
          <w:tcPr>
            <w:tcW w:w="5510" w:type="dxa"/>
            <w:vAlign w:val="bottom"/>
            <w:shd w:val="clear" w:color="auto" w:fill="EBE6F0"/>
          </w:tcPr>
          <w:p>
            <w:pPr>
              <w:spacing w:after="0"/>
              <w:rPr>
                <w:sz w:val="21"/>
                <w:szCs w:val="21"/>
                <w:color w:val="auto"/>
              </w:rPr>
            </w:pP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and management track progress against the strategic</w:t>
            </w:r>
          </w:p>
        </w:tc>
        <w:tc>
          <w:tcPr>
            <w:tcW w:w="5510" w:type="dxa"/>
            <w:vAlign w:val="bottom"/>
            <w:shd w:val="clear" w:color="auto" w:fill="EBE6F0"/>
          </w:tcPr>
          <w:p>
            <w:pPr>
              <w:spacing w:after="0"/>
              <w:rPr>
                <w:sz w:val="21"/>
                <w:szCs w:val="21"/>
                <w:color w:val="auto"/>
              </w:rPr>
            </w:pP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plan’s goals, consider impacts due to changing</w:t>
            </w:r>
          </w:p>
        </w:tc>
        <w:tc>
          <w:tcPr>
            <w:tcW w:w="5510" w:type="dxa"/>
            <w:vAlign w:val="bottom"/>
            <w:shd w:val="clear" w:color="auto" w:fill="EBE6F0"/>
          </w:tcPr>
          <w:p>
            <w:pPr>
              <w:spacing w:after="0"/>
              <w:rPr>
                <w:sz w:val="21"/>
                <w:szCs w:val="21"/>
                <w:color w:val="auto"/>
              </w:rPr>
            </w:pP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circumstances in the industry and the economic</w:t>
            </w:r>
          </w:p>
        </w:tc>
        <w:tc>
          <w:tcPr>
            <w:tcW w:w="5510" w:type="dxa"/>
            <w:vAlign w:val="bottom"/>
            <w:shd w:val="clear" w:color="auto" w:fill="EBE6F0"/>
          </w:tcPr>
          <w:p>
            <w:pPr>
              <w:spacing w:after="0"/>
              <w:rPr>
                <w:sz w:val="21"/>
                <w:szCs w:val="21"/>
                <w:color w:val="auto"/>
              </w:rPr>
            </w:pPr>
          </w:p>
        </w:tc>
      </w:tr>
      <w:tr>
        <w:trPr>
          <w:trHeight w:val="243"/>
        </w:trPr>
        <w:tc>
          <w:tcPr>
            <w:tcW w:w="575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environment, and monitor strategic and operational</w:t>
            </w:r>
          </w:p>
        </w:tc>
        <w:tc>
          <w:tcPr>
            <w:tcW w:w="5510" w:type="dxa"/>
            <w:vAlign w:val="bottom"/>
            <w:shd w:val="clear" w:color="auto" w:fill="EBE6F0"/>
          </w:tcPr>
          <w:p>
            <w:pPr>
              <w:spacing w:after="0"/>
              <w:rPr>
                <w:sz w:val="21"/>
                <w:szCs w:val="21"/>
                <w:color w:val="auto"/>
              </w:rPr>
            </w:pPr>
          </w:p>
        </w:tc>
      </w:tr>
      <w:tr>
        <w:trPr>
          <w:trHeight w:val="283"/>
        </w:trPr>
        <w:tc>
          <w:tcPr>
            <w:tcW w:w="5750" w:type="dxa"/>
            <w:vAlign w:val="bottom"/>
            <w:shd w:val="clear" w:color="auto" w:fill="EBE6F0"/>
          </w:tcPr>
          <w:p>
            <w:pPr>
              <w:ind w:left="80"/>
              <w:spacing w:after="0"/>
              <w:rPr>
                <w:sz w:val="20"/>
                <w:szCs w:val="20"/>
                <w:color w:val="auto"/>
              </w:rPr>
            </w:pPr>
            <w:r>
              <w:rPr>
                <w:rFonts w:ascii="Arial" w:cs="Arial" w:eastAsia="Arial" w:hAnsi="Arial"/>
                <w:sz w:val="22"/>
                <w:szCs w:val="22"/>
                <w:color w:val="auto"/>
              </w:rPr>
              <w:t>risks.</w:t>
            </w:r>
          </w:p>
        </w:tc>
        <w:tc>
          <w:tcPr>
            <w:tcW w:w="5510" w:type="dxa"/>
            <w:vAlign w:val="bottom"/>
            <w:shd w:val="clear" w:color="auto" w:fill="EBE6F0"/>
          </w:tcPr>
          <w:p>
            <w:pPr>
              <w:spacing w:after="0"/>
              <w:rPr>
                <w:sz w:val="24"/>
                <w:szCs w:val="24"/>
                <w:color w:val="auto"/>
              </w:rPr>
            </w:pPr>
          </w:p>
        </w:tc>
      </w:tr>
      <w:tr>
        <w:trPr>
          <w:trHeight w:val="53"/>
        </w:trPr>
        <w:tc>
          <w:tcPr>
            <w:tcW w:w="5750" w:type="dxa"/>
            <w:vAlign w:val="bottom"/>
            <w:shd w:val="clear" w:color="auto" w:fill="EBE6F0"/>
          </w:tcPr>
          <w:p>
            <w:pPr>
              <w:spacing w:after="0"/>
              <w:rPr>
                <w:sz w:val="4"/>
                <w:szCs w:val="4"/>
                <w:color w:val="auto"/>
              </w:rPr>
            </w:pPr>
          </w:p>
        </w:tc>
        <w:tc>
          <w:tcPr>
            <w:tcW w:w="5510" w:type="dxa"/>
            <w:vAlign w:val="bottom"/>
            <w:shd w:val="clear" w:color="auto" w:fill="EBE6F0"/>
          </w:tcPr>
          <w:p>
            <w:pPr>
              <w:spacing w:after="0"/>
              <w:rPr>
                <w:sz w:val="4"/>
                <w:szCs w:val="4"/>
                <w:color w:val="auto"/>
              </w:rPr>
            </w:pPr>
          </w:p>
        </w:tc>
      </w:tr>
    </w:tbl>
    <w:p>
      <w:pPr>
        <w:spacing w:after="0" w:line="26" w:lineRule="exact"/>
        <w:rPr>
          <w:sz w:val="20"/>
          <w:szCs w:val="20"/>
          <w:color w:val="auto"/>
        </w:rPr>
      </w:pPr>
    </w:p>
    <w:p>
      <w:pPr>
        <w:sectPr>
          <w:pgSz w:w="11900" w:h="16838" w:orient="portrait"/>
          <w:cols w:equalWidth="0" w:num="1">
            <w:col w:w="11300"/>
          </w:cols>
          <w:pgMar w:left="280" w:top="130" w:right="319" w:bottom="1440" w:gutter="0" w:footer="0" w:header="0"/>
        </w:sectPr>
      </w:pPr>
    </w:p>
    <w:p>
      <w:pPr>
        <w:ind w:left="120"/>
        <w:spacing w:after="0" w:line="246" w:lineRule="auto"/>
        <w:rPr>
          <w:sz w:val="20"/>
          <w:szCs w:val="20"/>
          <w:color w:val="auto"/>
        </w:rPr>
      </w:pPr>
      <w:r>
        <w:rPr>
          <w:rFonts w:ascii="Arial" w:cs="Arial" w:eastAsia="Arial" w:hAnsi="Arial"/>
          <w:sz w:val="21"/>
          <w:szCs w:val="21"/>
          <w:b w:val="1"/>
          <w:bCs w:val="1"/>
          <w:color w:val="582C83"/>
        </w:rPr>
        <w:t xml:space="preserve">A director who serves as CEO at another public company should not serve on more than two public company boards in addition to our board. Other directors should not serve on more than four public company boards, including our board. </w:t>
      </w:r>
      <w:r>
        <w:rPr>
          <w:rFonts w:ascii="Arial" w:cs="Arial" w:eastAsia="Arial" w:hAnsi="Arial"/>
          <w:sz w:val="21"/>
          <w:szCs w:val="21"/>
          <w:color w:val="000000"/>
        </w:rPr>
        <w:t>Guidelines</w:t>
      </w:r>
      <w:r>
        <w:rPr>
          <w:rFonts w:ascii="Arial" w:cs="Arial" w:eastAsia="Arial" w:hAnsi="Arial"/>
          <w:sz w:val="21"/>
          <w:szCs w:val="21"/>
          <w:b w:val="1"/>
          <w:bCs w:val="1"/>
          <w:color w:val="582C83"/>
        </w:rPr>
        <w:t xml:space="preserve"> </w:t>
      </w:r>
      <w:r>
        <w:rPr>
          <w:rFonts w:ascii="Arial" w:cs="Arial" w:eastAsia="Arial" w:hAnsi="Arial"/>
          <w:sz w:val="21"/>
          <w:szCs w:val="21"/>
          <w:color w:val="000000"/>
        </w:rPr>
        <w:t>provide that the Governance Committee actively seeks out (and instructs any search firm it engages to provide) women and minority candidates to include in the pool from which director nominees are chosen.</w:t>
      </w:r>
    </w:p>
    <w:p>
      <w:pPr>
        <w:spacing w:after="0" w:line="20" w:lineRule="exact"/>
        <w:rPr>
          <w:sz w:val="20"/>
          <w:szCs w:val="20"/>
          <w:color w:val="auto"/>
        </w:rPr>
      </w:pPr>
      <w:r>
        <w:rPr>
          <w:sz w:val="20"/>
          <w:szCs w:val="20"/>
          <w:color w:val="auto"/>
        </w:rPr>
        <w:br w:type="column"/>
      </w:r>
    </w:p>
    <w:p>
      <w:pPr>
        <w:ind w:left="207" w:hanging="207"/>
        <w:spacing w:after="0"/>
        <w:tabs>
          <w:tab w:leader="none" w:pos="207" w:val="left"/>
        </w:tabs>
        <w:numPr>
          <w:ilvl w:val="0"/>
          <w:numId w:val="22"/>
        </w:numPr>
        <w:rPr>
          <w:rFonts w:ascii="Arial" w:cs="Arial" w:eastAsia="Arial" w:hAnsi="Arial"/>
          <w:sz w:val="22"/>
          <w:szCs w:val="22"/>
          <w:color w:val="582C83"/>
        </w:rPr>
      </w:pPr>
      <w:r>
        <w:rPr>
          <w:rFonts w:ascii="Arial" w:cs="Arial" w:eastAsia="Arial" w:hAnsi="Arial"/>
          <w:sz w:val="22"/>
          <w:szCs w:val="22"/>
          <w:color w:val="auto"/>
        </w:rPr>
        <w:t>All directors comply with this policy.</w:t>
      </w:r>
    </w:p>
    <w:p>
      <w:pPr>
        <w:spacing w:after="0" w:line="30" w:lineRule="exact"/>
        <w:rPr>
          <w:rFonts w:ascii="Arial" w:cs="Arial" w:eastAsia="Arial" w:hAnsi="Arial"/>
          <w:sz w:val="22"/>
          <w:szCs w:val="22"/>
          <w:color w:val="582C83"/>
        </w:rPr>
      </w:pPr>
    </w:p>
    <w:p>
      <w:pPr>
        <w:ind w:left="207" w:right="380" w:hanging="207"/>
        <w:spacing w:after="0" w:line="249" w:lineRule="auto"/>
        <w:tabs>
          <w:tab w:leader="none" w:pos="207" w:val="left"/>
        </w:tabs>
        <w:numPr>
          <w:ilvl w:val="0"/>
          <w:numId w:val="22"/>
        </w:numPr>
        <w:rPr>
          <w:rFonts w:ascii="Arial" w:cs="Arial" w:eastAsia="Arial" w:hAnsi="Arial"/>
          <w:sz w:val="22"/>
          <w:szCs w:val="22"/>
          <w:color w:val="582C83"/>
        </w:rPr>
      </w:pPr>
      <w:r>
        <w:rPr>
          <w:rFonts w:ascii="Arial" w:cs="Arial" w:eastAsia="Arial" w:hAnsi="Arial"/>
          <w:sz w:val="22"/>
          <w:szCs w:val="22"/>
          <w:color w:val="auto"/>
        </w:rPr>
        <w:t>Directors have sufficient time to fulfill their duties to the Company.</w:t>
      </w:r>
    </w:p>
    <w:p>
      <w:pPr>
        <w:spacing w:after="0" w:line="1" w:lineRule="exact"/>
        <w:rPr>
          <w:rFonts w:ascii="Arial" w:cs="Arial" w:eastAsia="Arial" w:hAnsi="Arial"/>
          <w:sz w:val="22"/>
          <w:szCs w:val="22"/>
          <w:color w:val="582C83"/>
        </w:rPr>
      </w:pPr>
    </w:p>
    <w:p>
      <w:pPr>
        <w:ind w:left="207" w:right="320" w:hanging="207"/>
        <w:spacing w:after="0"/>
        <w:tabs>
          <w:tab w:leader="none" w:pos="207" w:val="left"/>
        </w:tabs>
        <w:numPr>
          <w:ilvl w:val="0"/>
          <w:numId w:val="22"/>
        </w:numPr>
        <w:rPr>
          <w:rFonts w:ascii="Arial" w:cs="Arial" w:eastAsia="Arial" w:hAnsi="Arial"/>
          <w:sz w:val="22"/>
          <w:szCs w:val="22"/>
          <w:color w:val="582C83"/>
        </w:rPr>
      </w:pPr>
      <w:r>
        <w:rPr>
          <w:rFonts w:ascii="Arial" w:cs="Arial" w:eastAsia="Arial" w:hAnsi="Arial"/>
          <w:sz w:val="22"/>
          <w:szCs w:val="22"/>
          <w:color w:val="auto"/>
        </w:rPr>
        <w:t>Maintaining a diverse Board with varying backgrounds, skills, expertise, gender and race promotes diversity, equity and inclusion in decision-making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283210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5440" w:space="413"/>
            <w:col w:w="5447"/>
          </w:cols>
          <w:pgMar w:left="280" w:top="130" w:right="319" w:bottom="1440" w:gutter="0" w:footer="0" w:header="0"/>
          <w:type w:val="continuous"/>
        </w:sectPr>
      </w:pPr>
    </w:p>
    <w:p>
      <w:pPr>
        <w:spacing w:after="0" w:line="17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Director Onboarding and Education</w:t>
      </w:r>
    </w:p>
    <w:p>
      <w:pPr>
        <w:spacing w:after="0" w:line="187" w:lineRule="exact"/>
        <w:rPr>
          <w:sz w:val="20"/>
          <w:szCs w:val="20"/>
          <w:color w:val="auto"/>
        </w:rPr>
      </w:pPr>
    </w:p>
    <w:p>
      <w:pPr>
        <w:ind w:left="40" w:right="120"/>
        <w:spacing w:after="0"/>
        <w:rPr>
          <w:sz w:val="20"/>
          <w:szCs w:val="20"/>
          <w:color w:val="auto"/>
        </w:rPr>
      </w:pPr>
      <w:r>
        <w:rPr>
          <w:rFonts w:ascii="Arial" w:cs="Arial" w:eastAsia="Arial" w:hAnsi="Arial"/>
          <w:sz w:val="22"/>
          <w:szCs w:val="22"/>
          <w:color w:val="auto"/>
        </w:rPr>
        <w:t>We provide new directors with a substantive onboarding program. They meet with numerous Company executives to learn about different aspects of Company operations, and they are invited to attend various Board committee meetings prior to joining any committees. Once new directors are appointed to committees, they meet with Company officers who support those committees.</w:t>
      </w:r>
    </w:p>
    <w:p>
      <w:pPr>
        <w:spacing w:after="0" w:line="149" w:lineRule="exact"/>
        <w:rPr>
          <w:sz w:val="20"/>
          <w:szCs w:val="20"/>
          <w:color w:val="auto"/>
        </w:rPr>
      </w:pPr>
    </w:p>
    <w:p>
      <w:pPr>
        <w:ind w:left="40" w:right="20"/>
        <w:spacing w:after="0" w:line="236" w:lineRule="auto"/>
        <w:rPr>
          <w:sz w:val="20"/>
          <w:szCs w:val="20"/>
          <w:color w:val="auto"/>
        </w:rPr>
      </w:pPr>
      <w:r>
        <w:rPr>
          <w:rFonts w:ascii="Arial" w:cs="Arial" w:eastAsia="Arial" w:hAnsi="Arial"/>
          <w:sz w:val="22"/>
          <w:szCs w:val="22"/>
          <w:color w:val="auto"/>
        </w:rPr>
        <w:t>During their service, directors have opportunities to meet and talk with our employees during Board visits to Company facilities and during Board and committee meetings. Prior to the COVID-19 pandemic, individual directors experienced our Direct Store Delivery model by riding with one of our drivers during an assigned route, met with employees involved in our e-commerce initiatives and observed a Line of the Future during production at our factories. We anticipate these activities will resume in 2022. We also regularly conduct voluntary educational sessions for directors on a variety of topics relevant to the Company. In 2021, these sessions focused on Well-being, sustainability and ESG.</w:t>
      </w:r>
    </w:p>
    <w:p>
      <w:pPr>
        <w:spacing w:after="0" w:line="149" w:lineRule="exact"/>
        <w:rPr>
          <w:sz w:val="20"/>
          <w:szCs w:val="20"/>
          <w:color w:val="auto"/>
        </w:rPr>
      </w:pPr>
    </w:p>
    <w:p>
      <w:pPr>
        <w:ind w:left="40" w:right="280"/>
        <w:spacing w:after="0" w:line="259" w:lineRule="auto"/>
        <w:rPr>
          <w:sz w:val="20"/>
          <w:szCs w:val="20"/>
          <w:color w:val="auto"/>
        </w:rPr>
      </w:pPr>
      <w:r>
        <w:rPr>
          <w:rFonts w:ascii="Arial" w:cs="Arial" w:eastAsia="Arial" w:hAnsi="Arial"/>
          <w:sz w:val="22"/>
          <w:szCs w:val="22"/>
          <w:color w:val="auto"/>
        </w:rPr>
        <w:t>In addition, the Company supports director participation in continuing education programs and reimburses directors for reasonable costs associated with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107315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2C83"/>
        </w:rPr>
        <w:t>2022 PROXY STATEMENT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300"/>
          </w:cols>
          <w:pgMar w:left="280" w:top="130" w:right="319" w:bottom="1440" w:gutter="0" w:footer="0" w:header="0"/>
          <w:type w:val="continuous"/>
        </w:sectPr>
      </w:pPr>
    </w:p>
    <w:bookmarkStart w:id="38" w:name="page39"/>
    <w:bookmarkEnd w:id="38"/>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Board Leadership Structure</w:t>
      </w:r>
    </w:p>
    <w:p>
      <w:pPr>
        <w:spacing w:after="0" w:line="254" w:lineRule="exact"/>
        <w:rPr>
          <w:sz w:val="20"/>
          <w:szCs w:val="20"/>
          <w:color w:val="auto"/>
        </w:rPr>
      </w:pPr>
    </w:p>
    <w:p>
      <w:pPr>
        <w:ind w:left="40" w:right="240"/>
        <w:spacing w:after="0" w:line="255" w:lineRule="auto"/>
        <w:rPr>
          <w:sz w:val="20"/>
          <w:szCs w:val="20"/>
          <w:color w:val="auto"/>
        </w:rPr>
      </w:pPr>
      <w:r>
        <w:rPr>
          <w:rFonts w:ascii="Arial" w:cs="Arial" w:eastAsia="Arial" w:hAnsi="Arial"/>
          <w:sz w:val="21"/>
          <w:szCs w:val="21"/>
          <w:color w:val="auto"/>
        </w:rPr>
        <w:t>The Board has a duty to act as it believes to be in the best interests of the Company and its shareholders, including determining the leadership structure that will best serve those interests. The By-Laws provide the Board flexibility in determining its leadership structure. Within this framework, the Board determines the most appropriate leadership structure at a given time in light of the Company’s needs and circumstances, as described more fully below.</w:t>
      </w:r>
    </w:p>
    <w:p>
      <w:pPr>
        <w:spacing w:after="0" w:line="135" w:lineRule="exact"/>
        <w:rPr>
          <w:sz w:val="20"/>
          <w:szCs w:val="20"/>
          <w:color w:val="auto"/>
        </w:rPr>
      </w:pPr>
    </w:p>
    <w:p>
      <w:pPr>
        <w:ind w:left="40" w:right="40"/>
        <w:spacing w:after="0" w:line="245" w:lineRule="auto"/>
        <w:rPr>
          <w:sz w:val="20"/>
          <w:szCs w:val="20"/>
          <w:color w:val="auto"/>
        </w:rPr>
      </w:pPr>
      <w:r>
        <w:rPr>
          <w:rFonts w:ascii="Arial" w:cs="Arial" w:eastAsia="Arial" w:hAnsi="Arial"/>
          <w:sz w:val="21"/>
          <w:szCs w:val="21"/>
          <w:color w:val="auto"/>
        </w:rPr>
        <w:t>The Board may determine that the CEO should also serve as Chairman, and if it does so, the independent directors appoint an independent Lead Director with broad and substantive duties and responsibilities that have considerable overlap with those of an independent Board Chair. The independent Lead Director engages in planning and approving meeting schedules and agendas, including the review of briefing materials, and has the power to call meetings of the independent directors or the Board as needed. As part of the Board’s regular agenda, the independent Lead Director presides over executive sessions of the independent directors without the participation of the Chairman and Chief Executive Officer. The independent Lead Director also serves as a direct point of contact for shareholders, and in Fall 2021 led engagements with investors holding approximately 30% of our outstanding shares. The independent Lead Director also frequently confers with the other independent directors on various Board and Company matters. Finally, the independent directors also may assign to the independent Lead Director any additional duties over and above these fixed responsibilities as they deem appropriate.</w:t>
      </w:r>
    </w:p>
    <w:p>
      <w:pPr>
        <w:spacing w:after="0" w:line="150" w:lineRule="exact"/>
        <w:rPr>
          <w:sz w:val="20"/>
          <w:szCs w:val="20"/>
          <w:color w:val="auto"/>
        </w:rPr>
      </w:pPr>
    </w:p>
    <w:p>
      <w:pPr>
        <w:ind w:left="40" w:right="320"/>
        <w:spacing w:after="0" w:line="236" w:lineRule="auto"/>
        <w:rPr>
          <w:sz w:val="20"/>
          <w:szCs w:val="20"/>
          <w:color w:val="auto"/>
        </w:rPr>
      </w:pPr>
      <w:r>
        <w:rPr>
          <w:rFonts w:ascii="Arial" w:cs="Arial" w:eastAsia="Arial" w:hAnsi="Arial"/>
          <w:sz w:val="22"/>
          <w:szCs w:val="22"/>
          <w:color w:val="auto"/>
        </w:rPr>
        <w:t>In considering which leadership structure will allow it to carry out its responsibilities most effectively and best represent shareholders’ interests, the Board takes into account various factors. Among them are our specific business needs, our operating and financial performance, industry conditions, economic and regulatory environments, the results of Board and committee annual self-assessments, the advantages and disadvantages of alternative leadership structures based on circumstances at that time, shareholder input, and our corporate governance practices. The Board recognizes the importance of the Company’s leadership structure to our shareholders and considers input on the topic obtained through shareholder engagement.</w:t>
      </w:r>
    </w:p>
    <w:p>
      <w:pPr>
        <w:spacing w:after="0" w:line="282" w:lineRule="exact"/>
        <w:rPr>
          <w:sz w:val="20"/>
          <w:szCs w:val="20"/>
          <w:color w:val="auto"/>
        </w:rPr>
      </w:pPr>
    </w:p>
    <w:p>
      <w:pPr>
        <w:ind w:left="40" w:right="340"/>
        <w:spacing w:after="0" w:line="288" w:lineRule="auto"/>
        <w:rPr>
          <w:sz w:val="20"/>
          <w:szCs w:val="20"/>
          <w:color w:val="auto"/>
        </w:rPr>
      </w:pPr>
      <w:r>
        <w:rPr>
          <w:rFonts w:ascii="Arial" w:cs="Arial" w:eastAsia="Arial" w:hAnsi="Arial"/>
          <w:sz w:val="24"/>
          <w:szCs w:val="24"/>
          <w:b w:val="1"/>
          <w:bCs w:val="1"/>
          <w:color w:val="582C83"/>
        </w:rPr>
        <w:t>THE BOARD’S CURRENT LEADERSHIP STRUCTURE PROVIDES INDEPENDENT LEADERSHIP AND MANAGEMENT OVERSIGHT</w:t>
      </w:r>
    </w:p>
    <w:p>
      <w:pPr>
        <w:spacing w:after="0" w:line="1" w:lineRule="exact"/>
        <w:rPr>
          <w:sz w:val="20"/>
          <w:szCs w:val="20"/>
          <w:color w:val="auto"/>
        </w:rPr>
      </w:pPr>
    </w:p>
    <w:p>
      <w:pPr>
        <w:ind w:left="40" w:right="100"/>
        <w:spacing w:after="0" w:line="245" w:lineRule="auto"/>
        <w:rPr>
          <w:sz w:val="20"/>
          <w:szCs w:val="20"/>
          <w:color w:val="auto"/>
        </w:rPr>
      </w:pPr>
      <w:r>
        <w:rPr>
          <w:rFonts w:ascii="Arial" w:cs="Arial" w:eastAsia="Arial" w:hAnsi="Arial"/>
          <w:sz w:val="22"/>
          <w:szCs w:val="22"/>
          <w:color w:val="auto"/>
        </w:rPr>
        <w:t>Our Board is led by Mr. Van de Put, the Chairman and CEO, together with Mr. van Boxmeer, our independent Lead Director. In addition, each Board committee is composed entirely of independent directors and each committee has a clearly defined area of oversight regarding key risks and Company functions.</w:t>
      </w:r>
    </w:p>
    <w:p>
      <w:pPr>
        <w:spacing w:after="0" w:line="143" w:lineRule="exact"/>
        <w:rPr>
          <w:sz w:val="20"/>
          <w:szCs w:val="20"/>
          <w:color w:val="auto"/>
        </w:rPr>
      </w:pPr>
    </w:p>
    <w:p>
      <w:pPr>
        <w:ind w:left="40" w:right="140"/>
        <w:spacing w:after="0" w:line="238" w:lineRule="auto"/>
        <w:rPr>
          <w:sz w:val="20"/>
          <w:szCs w:val="20"/>
          <w:color w:val="auto"/>
        </w:rPr>
      </w:pPr>
      <w:r>
        <w:rPr>
          <w:rFonts w:ascii="Arial" w:cs="Arial" w:eastAsia="Arial" w:hAnsi="Arial"/>
          <w:sz w:val="22"/>
          <w:szCs w:val="22"/>
          <w:color w:val="auto"/>
        </w:rPr>
        <w:t>Messrs. Van de Put and van Boxmeer work closely together. The Board believes that they, together with our independent committee chairs, provide appropriate leadership and oversight of the Company and facilitate effective functioning of both the Board and management. Under Mr. Van de Put’s leadership and the Board’s oversight, we have delivered strong total shareholder returns, outpacing most of our peers, and we have made sustained progress against our ESG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39" w:name="page40"/>
    <w:bookmarkEnd w:id="39"/>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5469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1540"/>
        <w:spacing w:after="0"/>
        <w:tabs>
          <w:tab w:leader="none" w:pos="2280" w:val="left"/>
        </w:tabs>
        <w:rPr>
          <w:sz w:val="20"/>
          <w:szCs w:val="20"/>
          <w:color w:val="auto"/>
        </w:rPr>
      </w:pPr>
      <w:r>
        <w:rPr>
          <w:rFonts w:ascii="Arial" w:cs="Arial" w:eastAsia="Arial" w:hAnsi="Arial"/>
          <w:sz w:val="24"/>
          <w:szCs w:val="24"/>
          <w:b w:val="1"/>
          <w:bCs w:val="1"/>
          <w:color w:val="582C83"/>
        </w:rPr>
        <w:t>MR. VAN DE PUT</w:t>
      </w:r>
      <w:r>
        <w:rPr>
          <w:sz w:val="20"/>
          <w:szCs w:val="20"/>
          <w:color w:val="auto"/>
        </w:rPr>
        <w:tab/>
      </w:r>
      <w:r>
        <w:rPr>
          <w:rFonts w:ascii="Arial" w:cs="Arial" w:eastAsia="Arial" w:hAnsi="Arial"/>
          <w:sz w:val="24"/>
          <w:szCs w:val="24"/>
          <w:b w:val="1"/>
          <w:bCs w:val="1"/>
          <w:color w:val="582C83"/>
        </w:rPr>
        <w:t>MR. VAN BOXMEER</w:t>
      </w:r>
    </w:p>
    <w:p>
      <w:pPr>
        <w:sectPr>
          <w:pgSz w:w="11900" w:h="16838" w:orient="portrait"/>
          <w:cols w:equalWidth="0" w:num="1">
            <w:col w:w="11240"/>
          </w:cols>
          <w:pgMar w:left="320" w:top="130" w:right="339" w:bottom="1440" w:gutter="0" w:footer="0" w:header="0"/>
        </w:sectPr>
      </w:pPr>
    </w:p>
    <w:p>
      <w:pPr>
        <w:spacing w:after="0" w:line="58"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Chairman since 2018</w:t>
      </w:r>
    </w:p>
    <w:p>
      <w:pPr>
        <w:spacing w:after="0" w:line="76" w:lineRule="exact"/>
        <w:rPr>
          <w:sz w:val="20"/>
          <w:szCs w:val="20"/>
          <w:color w:val="auto"/>
        </w:rPr>
      </w:pPr>
    </w:p>
    <w:p>
      <w:pPr>
        <w:ind w:left="300"/>
        <w:spacing w:after="0" w:line="236" w:lineRule="auto"/>
        <w:rPr>
          <w:sz w:val="20"/>
          <w:szCs w:val="20"/>
          <w:color w:val="auto"/>
        </w:rPr>
      </w:pPr>
      <w:r>
        <w:rPr>
          <w:rFonts w:ascii="Arial" w:cs="Arial" w:eastAsia="Arial" w:hAnsi="Arial"/>
          <w:sz w:val="22"/>
          <w:szCs w:val="22"/>
          <w:color w:val="auto"/>
        </w:rPr>
        <w:t>The Board carefully considered its leadership structure, including whether the role of Chairman should be a non-executive position or combined with that of the CEO. Following due consideration, the Board concluded that combining these roles best positions Mr. Van de Put to:</w:t>
      </w:r>
    </w:p>
    <w:p>
      <w:pPr>
        <w:spacing w:after="0" w:line="33" w:lineRule="exact"/>
        <w:rPr>
          <w:sz w:val="20"/>
          <w:szCs w:val="20"/>
          <w:color w:val="auto"/>
        </w:rPr>
      </w:pPr>
    </w:p>
    <w:p>
      <w:pPr>
        <w:ind w:left="500" w:right="20" w:hanging="209"/>
        <w:spacing w:after="0" w:line="238" w:lineRule="auto"/>
        <w:tabs>
          <w:tab w:leader="none" w:pos="500" w:val="left"/>
        </w:tabs>
        <w:numPr>
          <w:ilvl w:val="0"/>
          <w:numId w:val="23"/>
        </w:numPr>
        <w:rPr>
          <w:rFonts w:ascii="Arial" w:cs="Arial" w:eastAsia="Arial" w:hAnsi="Arial"/>
          <w:sz w:val="22"/>
          <w:szCs w:val="22"/>
          <w:color w:val="582C83"/>
        </w:rPr>
      </w:pPr>
      <w:r>
        <w:rPr>
          <w:rFonts w:ascii="Arial" w:cs="Arial" w:eastAsia="Arial" w:hAnsi="Arial"/>
          <w:sz w:val="22"/>
          <w:szCs w:val="22"/>
          <w:color w:val="auto"/>
        </w:rPr>
        <w:t>promote shareholders’ interests and contribute to the Board’s efficiency and effectiveness because of his knowledge of the Company, the food industry and the competitive environment in which we operate;</w:t>
      </w:r>
    </w:p>
    <w:p>
      <w:pPr>
        <w:spacing w:after="0" w:line="28" w:lineRule="exact"/>
        <w:rPr>
          <w:rFonts w:ascii="Arial" w:cs="Arial" w:eastAsia="Arial" w:hAnsi="Arial"/>
          <w:sz w:val="22"/>
          <w:szCs w:val="22"/>
          <w:color w:val="582C83"/>
        </w:rPr>
      </w:pPr>
    </w:p>
    <w:p>
      <w:pPr>
        <w:ind w:left="500" w:right="740" w:hanging="209"/>
        <w:spacing w:after="0" w:line="259" w:lineRule="auto"/>
        <w:tabs>
          <w:tab w:leader="none" w:pos="500" w:val="left"/>
        </w:tabs>
        <w:numPr>
          <w:ilvl w:val="0"/>
          <w:numId w:val="23"/>
        </w:numPr>
        <w:rPr>
          <w:rFonts w:ascii="Arial" w:cs="Arial" w:eastAsia="Arial" w:hAnsi="Arial"/>
          <w:sz w:val="22"/>
          <w:szCs w:val="22"/>
          <w:color w:val="582C83"/>
        </w:rPr>
      </w:pPr>
      <w:r>
        <w:rPr>
          <w:rFonts w:ascii="Arial" w:cs="Arial" w:eastAsia="Arial" w:hAnsi="Arial"/>
          <w:sz w:val="22"/>
          <w:szCs w:val="22"/>
          <w:color w:val="auto"/>
        </w:rPr>
        <w:t>promote the alignment of our strategic and business plans;</w:t>
      </w:r>
    </w:p>
    <w:p>
      <w:pPr>
        <w:spacing w:after="0" w:line="7" w:lineRule="exact"/>
        <w:rPr>
          <w:rFonts w:ascii="Arial" w:cs="Arial" w:eastAsia="Arial" w:hAnsi="Arial"/>
          <w:sz w:val="22"/>
          <w:szCs w:val="22"/>
          <w:color w:val="582C83"/>
        </w:rPr>
      </w:pPr>
    </w:p>
    <w:p>
      <w:pPr>
        <w:jc w:val="both"/>
        <w:ind w:left="500" w:right="40" w:hanging="209"/>
        <w:spacing w:after="0" w:line="262" w:lineRule="auto"/>
        <w:tabs>
          <w:tab w:leader="none" w:pos="500" w:val="left"/>
        </w:tabs>
        <w:numPr>
          <w:ilvl w:val="0"/>
          <w:numId w:val="23"/>
        </w:numPr>
        <w:rPr>
          <w:rFonts w:ascii="Arial" w:cs="Arial" w:eastAsia="Arial" w:hAnsi="Arial"/>
          <w:sz w:val="21"/>
          <w:szCs w:val="21"/>
          <w:color w:val="582C83"/>
        </w:rPr>
      </w:pPr>
      <w:r>
        <w:rPr>
          <w:rFonts w:ascii="Arial" w:cs="Arial" w:eastAsia="Arial" w:hAnsi="Arial"/>
          <w:sz w:val="21"/>
          <w:szCs w:val="21"/>
          <w:color w:val="auto"/>
        </w:rPr>
        <w:t>inform the Board about our global operations and critical business matters including oversight of the Company’s risk management process; and</w:t>
      </w:r>
    </w:p>
    <w:p>
      <w:pPr>
        <w:spacing w:after="0" w:line="5" w:lineRule="exact"/>
        <w:rPr>
          <w:rFonts w:ascii="Arial" w:cs="Arial" w:eastAsia="Arial" w:hAnsi="Arial"/>
          <w:sz w:val="21"/>
          <w:szCs w:val="21"/>
          <w:color w:val="582C83"/>
        </w:rPr>
      </w:pPr>
    </w:p>
    <w:p>
      <w:pPr>
        <w:ind w:left="500" w:right="1320" w:hanging="209"/>
        <w:spacing w:after="0" w:line="283" w:lineRule="auto"/>
        <w:tabs>
          <w:tab w:leader="none" w:pos="500" w:val="left"/>
        </w:tabs>
        <w:numPr>
          <w:ilvl w:val="0"/>
          <w:numId w:val="23"/>
        </w:numPr>
        <w:rPr>
          <w:rFonts w:ascii="Arial" w:cs="Arial" w:eastAsia="Arial" w:hAnsi="Arial"/>
          <w:sz w:val="21"/>
          <w:szCs w:val="21"/>
          <w:color w:val="582C83"/>
        </w:rPr>
      </w:pPr>
      <w:r>
        <w:rPr>
          <w:rFonts w:ascii="Arial" w:cs="Arial" w:eastAsia="Arial" w:hAnsi="Arial"/>
          <w:sz w:val="21"/>
          <w:szCs w:val="21"/>
          <w:color w:val="auto"/>
        </w:rPr>
        <w:t>discuss with the Board key risks and management’s responses to them.</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Lead Director since 2020</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The independent directors selected Mr. van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Boxmeer because he:</w:t>
      </w:r>
    </w:p>
    <w:p>
      <w:pPr>
        <w:spacing w:after="0" w:line="38" w:lineRule="exact"/>
        <w:rPr>
          <w:sz w:val="20"/>
          <w:szCs w:val="20"/>
          <w:color w:val="auto"/>
        </w:rPr>
      </w:pPr>
    </w:p>
    <w:p>
      <w:pPr>
        <w:ind w:left="220" w:right="260" w:hanging="211"/>
        <w:spacing w:after="0" w:line="247" w:lineRule="auto"/>
        <w:tabs>
          <w:tab w:leader="none" w:pos="220" w:val="left"/>
        </w:tabs>
        <w:numPr>
          <w:ilvl w:val="0"/>
          <w:numId w:val="24"/>
        </w:numPr>
        <w:rPr>
          <w:rFonts w:ascii="Arial" w:cs="Arial" w:eastAsia="Arial" w:hAnsi="Arial"/>
          <w:sz w:val="21"/>
          <w:szCs w:val="21"/>
          <w:color w:val="582C83"/>
        </w:rPr>
      </w:pPr>
      <w:r>
        <w:rPr>
          <w:rFonts w:ascii="Arial" w:cs="Arial" w:eastAsia="Arial" w:hAnsi="Arial"/>
          <w:sz w:val="21"/>
          <w:szCs w:val="21"/>
          <w:color w:val="auto"/>
        </w:rPr>
        <w:t>is well-positioned to lead a high-performing Board by keeping it focused, coordinating across committees and facilitating effective information flow to the directors given his experience serving on multiple Board committees, as well as experience as Chairman of Vodafone and prior experience as former Executive Chairman and Chief Executive Officer of Heineken;</w:t>
      </w:r>
    </w:p>
    <w:p>
      <w:pPr>
        <w:spacing w:after="0" w:line="23" w:lineRule="exact"/>
        <w:rPr>
          <w:rFonts w:ascii="Arial" w:cs="Arial" w:eastAsia="Arial" w:hAnsi="Arial"/>
          <w:sz w:val="21"/>
          <w:szCs w:val="21"/>
          <w:color w:val="582C83"/>
        </w:rPr>
      </w:pPr>
    </w:p>
    <w:p>
      <w:pPr>
        <w:ind w:left="220" w:right="440" w:hanging="211"/>
        <w:spacing w:after="0" w:line="262" w:lineRule="auto"/>
        <w:tabs>
          <w:tab w:leader="none" w:pos="220" w:val="left"/>
        </w:tabs>
        <w:numPr>
          <w:ilvl w:val="0"/>
          <w:numId w:val="24"/>
        </w:numPr>
        <w:rPr>
          <w:rFonts w:ascii="Arial" w:cs="Arial" w:eastAsia="Arial" w:hAnsi="Arial"/>
          <w:sz w:val="21"/>
          <w:szCs w:val="21"/>
          <w:color w:val="582C83"/>
        </w:rPr>
      </w:pPr>
      <w:r>
        <w:rPr>
          <w:rFonts w:ascii="Arial" w:cs="Arial" w:eastAsia="Arial" w:hAnsi="Arial"/>
          <w:sz w:val="21"/>
          <w:szCs w:val="21"/>
          <w:color w:val="auto"/>
        </w:rPr>
        <w:t>builds a productive relationship between the Board and Mr. Van de Put by providing him with candid, constructive feedback from the Board;</w:t>
      </w:r>
    </w:p>
    <w:p>
      <w:pPr>
        <w:spacing w:after="0" w:line="5" w:lineRule="exact"/>
        <w:rPr>
          <w:rFonts w:ascii="Arial" w:cs="Arial" w:eastAsia="Arial" w:hAnsi="Arial"/>
          <w:sz w:val="21"/>
          <w:szCs w:val="21"/>
          <w:color w:val="582C83"/>
        </w:rPr>
      </w:pPr>
    </w:p>
    <w:p>
      <w:pPr>
        <w:jc w:val="both"/>
        <w:ind w:left="220" w:right="340" w:hanging="211"/>
        <w:spacing w:after="0" w:line="245" w:lineRule="auto"/>
        <w:tabs>
          <w:tab w:leader="none" w:pos="220" w:val="left"/>
        </w:tabs>
        <w:numPr>
          <w:ilvl w:val="0"/>
          <w:numId w:val="24"/>
        </w:numPr>
        <w:rPr>
          <w:rFonts w:ascii="Arial" w:cs="Arial" w:eastAsia="Arial" w:hAnsi="Arial"/>
          <w:sz w:val="22"/>
          <w:szCs w:val="22"/>
          <w:color w:val="582C83"/>
        </w:rPr>
      </w:pPr>
      <w:r>
        <w:rPr>
          <w:rFonts w:ascii="Arial" w:cs="Arial" w:eastAsia="Arial" w:hAnsi="Arial"/>
          <w:sz w:val="22"/>
          <w:szCs w:val="22"/>
          <w:color w:val="auto"/>
        </w:rPr>
        <w:t>serves as a contact person for our shareholders and is actively engaged in shareholder outreach; and</w:t>
      </w:r>
    </w:p>
    <w:p>
      <w:pPr>
        <w:spacing w:after="0" w:line="21" w:lineRule="exact"/>
        <w:rPr>
          <w:rFonts w:ascii="Arial" w:cs="Arial" w:eastAsia="Arial" w:hAnsi="Arial"/>
          <w:sz w:val="22"/>
          <w:szCs w:val="22"/>
          <w:color w:val="582C83"/>
        </w:rPr>
      </w:pPr>
    </w:p>
    <w:p>
      <w:pPr>
        <w:ind w:left="220" w:right="280" w:hanging="211"/>
        <w:spacing w:after="0" w:line="245" w:lineRule="auto"/>
        <w:tabs>
          <w:tab w:leader="none" w:pos="220" w:val="left"/>
        </w:tabs>
        <w:numPr>
          <w:ilvl w:val="0"/>
          <w:numId w:val="24"/>
        </w:numPr>
        <w:rPr>
          <w:rFonts w:ascii="Arial" w:cs="Arial" w:eastAsia="Arial" w:hAnsi="Arial"/>
          <w:sz w:val="22"/>
          <w:szCs w:val="22"/>
          <w:color w:val="582C83"/>
        </w:rPr>
      </w:pPr>
      <w:r>
        <w:rPr>
          <w:rFonts w:ascii="Arial" w:cs="Arial" w:eastAsia="Arial" w:hAnsi="Arial"/>
          <w:sz w:val="22"/>
          <w:szCs w:val="22"/>
          <w:color w:val="auto"/>
        </w:rPr>
        <w:t>is deeply engaged in the Company’s commitment to create a positive impact on the world while driving business performance.</w:t>
      </w:r>
    </w:p>
    <w:p>
      <w:pPr>
        <w:spacing w:after="0" w:line="200" w:lineRule="exact"/>
        <w:rPr>
          <w:sz w:val="20"/>
          <w:szCs w:val="20"/>
          <w:color w:val="auto"/>
        </w:rPr>
      </w:pPr>
    </w:p>
    <w:p>
      <w:pPr>
        <w:sectPr>
          <w:pgSz w:w="11900" w:h="16838" w:orient="portrait"/>
          <w:cols w:equalWidth="0" w:num="2">
            <w:col w:w="5300" w:space="720"/>
            <w:col w:w="5220"/>
          </w:cols>
          <w:pgMar w:left="320" w:top="130"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Mr. van Boxmeer will not stand for re-election as a director. Mr. Siewert will succeed Mr. van Boxmeer as independent Lead Director, provided he is re-elected to the Board at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INDEPENDENT LEAD DIRECTOR ROLE AND RESPONSIBILITIES</w:t>
      </w:r>
    </w:p>
    <w:p>
      <w:pPr>
        <w:spacing w:after="0" w:line="103"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The Board created the independent Lead Director position to provide strong leadership of the Board’s affairs on behalf of shareholders, increase the Board’s effectiveness, promote open communication among the independent directors, and serve as the principal liaison between the Chairman and the other independent directors. The independent directors annually select the independent Lead Director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0" w:name="page41"/>
    <w:bookmarkEnd w:id="40"/>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40" w:right="120"/>
        <w:spacing w:after="0" w:line="245" w:lineRule="auto"/>
        <w:rPr>
          <w:sz w:val="20"/>
          <w:szCs w:val="20"/>
          <w:color w:val="auto"/>
        </w:rPr>
      </w:pPr>
      <w:r>
        <w:rPr>
          <w:rFonts w:ascii="Arial" w:cs="Arial" w:eastAsia="Arial" w:hAnsi="Arial"/>
          <w:sz w:val="22"/>
          <w:szCs w:val="22"/>
          <w:color w:val="auto"/>
        </w:rPr>
        <w:t>The independent Lead Director has significant authority and responsibilities that protect shareholders’ interests by promoting strong management oversight and accountability. Under the Guidelines, the independent Lead Director, in consultation with the other independent directors, has the following substantive duties and responsibilities:</w:t>
      </w:r>
    </w:p>
    <w:p>
      <w:pPr>
        <w:spacing w:after="0" w:line="62" w:lineRule="exact"/>
        <w:rPr>
          <w:sz w:val="20"/>
          <w:szCs w:val="20"/>
          <w:color w:val="auto"/>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Serve as liaison between the independent directors and the Chairman and CEO;</w:t>
      </w:r>
    </w:p>
    <w:p>
      <w:pPr>
        <w:spacing w:after="0" w:line="98" w:lineRule="exact"/>
        <w:rPr>
          <w:rFonts w:ascii="Arial" w:cs="Arial" w:eastAsia="Arial" w:hAnsi="Arial"/>
          <w:sz w:val="22"/>
          <w:szCs w:val="22"/>
          <w:color w:val="582C83"/>
        </w:rPr>
      </w:pPr>
    </w:p>
    <w:p>
      <w:pPr>
        <w:ind w:left="260" w:right="180" w:hanging="212"/>
        <w:spacing w:after="0" w:line="245" w:lineRule="auto"/>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Seek input from the independent directors and advise the Chairman and CEO as to an appropriate annual schedule of, and major agenda topics and content of related briefing materials for, regular Board meetings prior to Board review;</w:t>
      </w:r>
    </w:p>
    <w:p>
      <w:pPr>
        <w:spacing w:after="0" w:line="62"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Review and approve meeting agendas as well as the content of Board briefing materials;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Review and approve the allocation of time between the Board and committee meetings;</w:t>
      </w:r>
    </w:p>
    <w:p>
      <w:pPr>
        <w:spacing w:after="0" w:line="98" w:lineRule="exact"/>
        <w:rPr>
          <w:rFonts w:ascii="Arial" w:cs="Arial" w:eastAsia="Arial" w:hAnsi="Arial"/>
          <w:sz w:val="22"/>
          <w:szCs w:val="22"/>
          <w:color w:val="582C83"/>
        </w:rPr>
      </w:pPr>
    </w:p>
    <w:p>
      <w:pPr>
        <w:ind w:left="260" w:right="520" w:hanging="212"/>
        <w:spacing w:after="0" w:line="259" w:lineRule="auto"/>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Preside at Board meetings at which the Chairman and CEO is not present, including executive sessions of the independent directors and, as appropriate, apprise the Chairman of the topics considered;</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Call meetings of the independent directors or of the Board as needed;</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Facilitate effective communication and interaction between the Board and management;</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 xml:space="preserve">Serve as an </w:t>
      </w:r>
      <w:r>
        <w:rPr>
          <w:rFonts w:ascii="Arial" w:cs="Arial" w:eastAsia="Arial" w:hAnsi="Arial"/>
          <w:sz w:val="22"/>
          <w:szCs w:val="22"/>
          <w:i w:val="1"/>
          <w:iCs w:val="1"/>
          <w:color w:val="auto"/>
        </w:rPr>
        <w:t>ex officio</w:t>
      </w:r>
      <w:r>
        <w:rPr>
          <w:rFonts w:ascii="Arial" w:cs="Arial" w:eastAsia="Arial" w:hAnsi="Arial"/>
          <w:sz w:val="22"/>
          <w:szCs w:val="22"/>
          <w:color w:val="auto"/>
        </w:rPr>
        <w:t xml:space="preserve"> non-voting member of all Board committees;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Provide input into the design of the annual Board, committee and individual director self-evaluation process;</w:t>
      </w:r>
    </w:p>
    <w:p>
      <w:pPr>
        <w:spacing w:after="0" w:line="98" w:lineRule="exact"/>
        <w:rPr>
          <w:rFonts w:ascii="Arial" w:cs="Arial" w:eastAsia="Arial" w:hAnsi="Arial"/>
          <w:sz w:val="22"/>
          <w:szCs w:val="22"/>
          <w:color w:val="582C83"/>
        </w:rPr>
      </w:pPr>
    </w:p>
    <w:p>
      <w:pPr>
        <w:ind w:left="260" w:right="900" w:hanging="212"/>
        <w:spacing w:after="0" w:line="259" w:lineRule="auto"/>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Work with the Governance Committee to develop recommendations for committee structure, membership, rotations and committee chairs;</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Be available for consultation and direct communication with the Company’s major shareholders; and</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5"/>
        </w:numPr>
        <w:rPr>
          <w:rFonts w:ascii="Arial" w:cs="Arial" w:eastAsia="Arial" w:hAnsi="Arial"/>
          <w:sz w:val="22"/>
          <w:szCs w:val="22"/>
          <w:color w:val="582C83"/>
        </w:rPr>
      </w:pPr>
      <w:r>
        <w:rPr>
          <w:rFonts w:ascii="Arial" w:cs="Arial" w:eastAsia="Arial" w:hAnsi="Arial"/>
          <w:sz w:val="22"/>
          <w:szCs w:val="22"/>
          <w:color w:val="auto"/>
        </w:rPr>
        <w:t>Perform such other duties as the Board may from time to time delegate to the independent Lead Director.</w:t>
      </w:r>
    </w:p>
    <w:p>
      <w:pPr>
        <w:spacing w:after="0" w:line="17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Director Independence</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ALL DIRECTORS ARE INDEPENDENT EXCEPT FOR OUR CHAIRMAN AND CEO</w:t>
      </w:r>
    </w:p>
    <w:p>
      <w:pPr>
        <w:spacing w:after="0" w:line="103" w:lineRule="exact"/>
        <w:rPr>
          <w:sz w:val="20"/>
          <w:szCs w:val="20"/>
          <w:color w:val="auto"/>
        </w:rPr>
      </w:pPr>
    </w:p>
    <w:p>
      <w:pPr>
        <w:ind w:left="40" w:right="420"/>
        <w:spacing w:after="0" w:line="238" w:lineRule="auto"/>
        <w:rPr>
          <w:sz w:val="20"/>
          <w:szCs w:val="20"/>
          <w:color w:val="auto"/>
        </w:rPr>
      </w:pPr>
      <w:r>
        <w:rPr>
          <w:rFonts w:ascii="Arial" w:cs="Arial" w:eastAsia="Arial" w:hAnsi="Arial"/>
          <w:sz w:val="22"/>
          <w:szCs w:val="22"/>
          <w:color w:val="auto"/>
        </w:rPr>
        <w:t>The Guidelines require that at least 80% of our directors meet the Nasdaq listing standards’ independence requirements. In order to determine that a director is independent, the Board must affirmatively determine, after reviewing all relevant information, that a director has no relationship with Mondelēz International or any of its subsidiaries that would interfere with the exercise of independent judgment in carrying out the responsibilities of a director.</w:t>
      </w:r>
    </w:p>
    <w:p>
      <w:pPr>
        <w:spacing w:after="0" w:line="150" w:lineRule="exact"/>
        <w:rPr>
          <w:sz w:val="20"/>
          <w:szCs w:val="20"/>
          <w:color w:val="auto"/>
        </w:rPr>
      </w:pPr>
    </w:p>
    <w:p>
      <w:pPr>
        <w:ind w:left="40"/>
        <w:spacing w:after="0" w:line="238" w:lineRule="auto"/>
        <w:rPr>
          <w:sz w:val="20"/>
          <w:szCs w:val="20"/>
          <w:color w:val="auto"/>
        </w:rPr>
      </w:pPr>
      <w:r>
        <w:rPr>
          <w:rFonts w:ascii="Arial" w:cs="Arial" w:eastAsia="Arial" w:hAnsi="Arial"/>
          <w:sz w:val="22"/>
          <w:szCs w:val="22"/>
          <w:color w:val="auto"/>
        </w:rPr>
        <w:t>Based on that criterion, the Board determined that the following directors are independent: Lewis W.K. Booth, Charles E. Bunch, Ertharin Cousin, Lois D. Juliber, Peter W. May, Jorge S. Mesquita, Jane Hamilton Nielsen, Fredric G. Reynolds, Christiana S. Shi, Patrick T. Siewert, Michael A. Todman and Jean-François M. L. van Boxmeer. The Board also determined that former director Debra A. Crew was independent during the time that she served as a director in 2021.</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Mr. Van de Put is not independent because he is a Mondelēz International employee.</w:t>
      </w:r>
    </w:p>
    <w:p>
      <w:pPr>
        <w:spacing w:after="0" w:line="17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Board Oversight of Strategy</w:t>
      </w:r>
    </w:p>
    <w:p>
      <w:pPr>
        <w:spacing w:after="0" w:line="187" w:lineRule="exact"/>
        <w:rPr>
          <w:sz w:val="20"/>
          <w:szCs w:val="20"/>
          <w:color w:val="auto"/>
        </w:rPr>
      </w:pPr>
    </w:p>
    <w:p>
      <w:pPr>
        <w:ind w:left="40" w:right="40"/>
        <w:spacing w:after="0" w:line="247" w:lineRule="auto"/>
        <w:rPr>
          <w:sz w:val="20"/>
          <w:szCs w:val="20"/>
          <w:color w:val="auto"/>
        </w:rPr>
      </w:pPr>
      <w:r>
        <w:rPr>
          <w:rFonts w:ascii="Arial" w:cs="Arial" w:eastAsia="Arial" w:hAnsi="Arial"/>
          <w:sz w:val="21"/>
          <w:szCs w:val="21"/>
          <w:color w:val="auto"/>
        </w:rPr>
        <w:t>Oversight of our business strategy is one of our Board’s key responsibilities. The Board believes that overseeing and monitoring strategy is a continuous process. The Board has at least one meeting each year primarily dedicated to strategy where it meets with management to discuss, understand and challenge our strategic plan’s short- and long-term objectives. At Board meetings held throughout the year, the Board and management track progress against the strategic plan’s goals, consider impacts due to changing circumstances in the industry and the economic environment, and monitor strategic and operational risks. Throughout the strategic review that led to the development of our growth strategy, the Board and management team worked in close coordination to craft a consumer-centric strategy that leverages our Company’s unique strengths in the snacking market to accelerate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1" w:name="page42"/>
    <w:bookmarkEnd w:id="41"/>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40" w:right="280"/>
        <w:spacing w:after="0" w:line="238" w:lineRule="auto"/>
        <w:rPr>
          <w:sz w:val="20"/>
          <w:szCs w:val="20"/>
          <w:color w:val="auto"/>
        </w:rPr>
      </w:pPr>
      <w:r>
        <w:rPr>
          <w:rFonts w:ascii="Arial" w:cs="Arial" w:eastAsia="Arial" w:hAnsi="Arial"/>
          <w:sz w:val="22"/>
          <w:szCs w:val="22"/>
          <w:color w:val="auto"/>
        </w:rPr>
        <w:t>Our Board, with recommendations from the Finance Committee, oversees the alignment of our capital allocation priorities with our long-term strategy. The Board oversees our capital allocation process and annually reviews our capital deployment budget, with the goal of balancing investment in growth and returning cash to shareholders. We continue to demonstrate this balance through our investments in capital expenditures, mergers and acquisitions, research and development paired with dividend growth and share repurchases.</w:t>
      </w:r>
    </w:p>
    <w:p>
      <w:pPr>
        <w:spacing w:after="0" w:line="150" w:lineRule="exact"/>
        <w:rPr>
          <w:sz w:val="20"/>
          <w:szCs w:val="20"/>
          <w:color w:val="auto"/>
        </w:rPr>
      </w:pPr>
    </w:p>
    <w:p>
      <w:pPr>
        <w:ind w:left="40" w:right="20"/>
        <w:spacing w:after="0" w:line="235" w:lineRule="auto"/>
        <w:rPr>
          <w:sz w:val="20"/>
          <w:szCs w:val="20"/>
          <w:color w:val="auto"/>
        </w:rPr>
      </w:pPr>
      <w:r>
        <w:rPr>
          <w:rFonts w:ascii="Arial" w:cs="Arial" w:eastAsia="Arial" w:hAnsi="Arial"/>
          <w:sz w:val="22"/>
          <w:szCs w:val="22"/>
          <w:color w:val="auto"/>
        </w:rPr>
        <w:t>Our Board also oversees our ESG strategy, progress, alignment with purpose, stakeholder interests and strategic risk, and reviews progress on evolving our growth culture and our DEI goals. Specific responsibilities are delegated to committees. The Governance Committee oversees our ESG framework, including critical issues, KPI performance and strategic communications; consumer well-being, environmental and social sustainability; and Board ESG education and capabilities. The People and Compensation Committee oversees our DEI priorities, including hiring practices and pay equity tracking, as well as employee well-being matters and ESG KPIs for incentive plans. The Audit Committee oversees our safety priorities and goals, as well as ESG-related frameworks, disclosures, controls and assurance.</w:t>
      </w:r>
    </w:p>
    <w:p>
      <w:pPr>
        <w:spacing w:after="0" w:line="148"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Board Oversight of Risk Management</w:t>
      </w:r>
    </w:p>
    <w:p>
      <w:pPr>
        <w:spacing w:after="0" w:line="187" w:lineRule="exact"/>
        <w:rPr>
          <w:sz w:val="20"/>
          <w:szCs w:val="20"/>
          <w:color w:val="auto"/>
        </w:rPr>
      </w:pPr>
    </w:p>
    <w:p>
      <w:pPr>
        <w:ind w:left="40" w:right="480"/>
        <w:spacing w:after="0" w:line="245" w:lineRule="auto"/>
        <w:rPr>
          <w:sz w:val="20"/>
          <w:szCs w:val="20"/>
          <w:color w:val="auto"/>
        </w:rPr>
      </w:pPr>
      <w:r>
        <w:rPr>
          <w:rFonts w:ascii="Arial" w:cs="Arial" w:eastAsia="Arial" w:hAnsi="Arial"/>
          <w:sz w:val="22"/>
          <w:szCs w:val="22"/>
          <w:color w:val="auto"/>
        </w:rPr>
        <w:t>Our business faces various risks, including strategic, financial, operational and compliance risks. Identifying, managing and mitigating our exposure to these risks, along with effective oversight of such matters, are activities critical to our operational decision-making and annual planning processes.</w:t>
      </w:r>
    </w:p>
    <w:p>
      <w:pPr>
        <w:spacing w:after="0" w:line="143" w:lineRule="exact"/>
        <w:rPr>
          <w:sz w:val="20"/>
          <w:szCs w:val="20"/>
          <w:color w:val="auto"/>
        </w:rPr>
      </w:pPr>
    </w:p>
    <w:p>
      <w:pPr>
        <w:ind w:left="40" w:right="60"/>
        <w:spacing w:after="0" w:line="238" w:lineRule="auto"/>
        <w:rPr>
          <w:sz w:val="20"/>
          <w:szCs w:val="20"/>
          <w:color w:val="auto"/>
        </w:rPr>
      </w:pPr>
      <w:r>
        <w:rPr>
          <w:rFonts w:ascii="Arial" w:cs="Arial" w:eastAsia="Arial" w:hAnsi="Arial"/>
          <w:sz w:val="22"/>
          <w:szCs w:val="22"/>
          <w:color w:val="auto"/>
        </w:rPr>
        <w:t>Management is responsible for the day-to-day assessment, management and mitigation of risk. The Board has ultimate responsibility for risk oversight, but it has delegated primary responsibility for overseeing risk assessment and management to the Audit Committee. Pursuant to its charter, the Audit Committee regularly and at least annually reviews and discusses our enterprise risk management (“ERM”) process, and global and business unit assessment and risk mitigation results.</w:t>
      </w:r>
    </w:p>
    <w:p>
      <w:pPr>
        <w:spacing w:after="0" w:line="150" w:lineRule="exact"/>
        <w:rPr>
          <w:sz w:val="20"/>
          <w:szCs w:val="20"/>
          <w:color w:val="auto"/>
        </w:rPr>
      </w:pPr>
    </w:p>
    <w:p>
      <w:pPr>
        <w:ind w:left="40" w:right="160"/>
        <w:spacing w:after="0" w:line="238" w:lineRule="auto"/>
        <w:rPr>
          <w:sz w:val="20"/>
          <w:szCs w:val="20"/>
          <w:color w:val="auto"/>
        </w:rPr>
      </w:pPr>
      <w:r>
        <w:rPr>
          <w:rFonts w:ascii="Arial" w:cs="Arial" w:eastAsia="Arial" w:hAnsi="Arial"/>
          <w:sz w:val="22"/>
          <w:szCs w:val="22"/>
          <w:color w:val="auto"/>
        </w:rPr>
        <w:t>Our ERM process is ongoing and implemented at all levels of our operations and across business units to identify, assess, monitor, manage and mitigate risk. Our ERM process facilitates open communication between management and the Board, so that the Board and committees understand key risks to our business and performance, and the functioning of our risk management process, including who participates in the process and the information gathered in the assessment.</w:t>
      </w:r>
    </w:p>
    <w:p>
      <w:pPr>
        <w:spacing w:after="0" w:line="150" w:lineRule="exact"/>
        <w:rPr>
          <w:sz w:val="20"/>
          <w:szCs w:val="20"/>
          <w:color w:val="auto"/>
        </w:rPr>
      </w:pPr>
    </w:p>
    <w:p>
      <w:pPr>
        <w:ind w:left="40" w:right="180"/>
        <w:spacing w:after="0" w:line="245" w:lineRule="auto"/>
        <w:rPr>
          <w:sz w:val="20"/>
          <w:szCs w:val="20"/>
          <w:color w:val="auto"/>
        </w:rPr>
      </w:pPr>
      <w:r>
        <w:rPr>
          <w:rFonts w:ascii="Arial" w:cs="Arial" w:eastAsia="Arial" w:hAnsi="Arial"/>
          <w:sz w:val="22"/>
          <w:szCs w:val="22"/>
          <w:color w:val="auto"/>
        </w:rPr>
        <w:t>Annually, the Audit Committee reviews and approves management’s recommendation for allocating to the full Board or another committee, or retaining for itself, responsibility for reviewing and assessing key risk exposures and management’s response to those exposures.</w:t>
      </w:r>
    </w:p>
    <w:p>
      <w:pPr>
        <w:spacing w:after="0" w:line="143" w:lineRule="exact"/>
        <w:rPr>
          <w:sz w:val="20"/>
          <w:szCs w:val="20"/>
          <w:color w:val="auto"/>
        </w:rPr>
      </w:pPr>
    </w:p>
    <w:p>
      <w:pPr>
        <w:ind w:left="40" w:right="260"/>
        <w:spacing w:after="0" w:line="238" w:lineRule="auto"/>
        <w:rPr>
          <w:sz w:val="20"/>
          <w:szCs w:val="20"/>
          <w:color w:val="auto"/>
        </w:rPr>
      </w:pPr>
      <w:r>
        <w:rPr>
          <w:rFonts w:ascii="Arial" w:cs="Arial" w:eastAsia="Arial" w:hAnsi="Arial"/>
          <w:sz w:val="22"/>
          <w:szCs w:val="22"/>
          <w:color w:val="auto"/>
        </w:rPr>
        <w:t>Management provides reports to the Board or the appropriate committee on key risks and the actions management has taken to monitor, control and mitigate these risks. Management also attends Board and committee meetings to discuss these reports and provide any updates. The committees report key risk discussions to the Board following their meetings. Board members may also further discuss the risk management process directly with members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2" w:name="page43"/>
    <w:bookmarkEnd w:id="42"/>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During 2021, the Board and committees reviewed and assessed risks related to our business and operations as shown below. The Board annually reviews and sometimes reallocates responsibilities among committees. Accordingly, the allocation of responsibilities and/or descriptions of risk categories shown in this table may change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65582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655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Board Oversight of Human Capital Management and Corporate Culture</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HUMAN CAPITAL MANAGEMENT</w:t>
      </w:r>
    </w:p>
    <w:p>
      <w:pPr>
        <w:spacing w:after="0" w:line="103" w:lineRule="exact"/>
        <w:rPr>
          <w:sz w:val="20"/>
          <w:szCs w:val="20"/>
          <w:color w:val="auto"/>
        </w:rPr>
      </w:pPr>
    </w:p>
    <w:p>
      <w:pPr>
        <w:ind w:left="40" w:right="220"/>
        <w:spacing w:after="0" w:line="238" w:lineRule="auto"/>
        <w:rPr>
          <w:sz w:val="20"/>
          <w:szCs w:val="20"/>
          <w:color w:val="auto"/>
        </w:rPr>
      </w:pPr>
      <w:r>
        <w:rPr>
          <w:rFonts w:ascii="Arial" w:cs="Arial" w:eastAsia="Arial" w:hAnsi="Arial"/>
          <w:sz w:val="22"/>
          <w:szCs w:val="22"/>
          <w:color w:val="auto"/>
        </w:rPr>
        <w:t>Our Board recognizes that our employees are our greatest asset and is actively engaged in human capital management throughout the organization. The People and Compensation Committee is responsible for oversight of organizational engagement and effectiveness and regularly reviews human resources policies and practices, talent sourcing strategies, employee development programs, succession plans, and diversity policies, objectives and programs.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Talent Development</w:t>
      </w:r>
    </w:p>
    <w:p>
      <w:pPr>
        <w:spacing w:after="0" w:line="60" w:lineRule="exact"/>
        <w:rPr>
          <w:sz w:val="20"/>
          <w:szCs w:val="20"/>
          <w:color w:val="auto"/>
        </w:rPr>
      </w:pPr>
    </w:p>
    <w:p>
      <w:pPr>
        <w:ind w:left="40" w:right="20"/>
        <w:spacing w:after="0" w:line="233" w:lineRule="auto"/>
        <w:rPr>
          <w:sz w:val="20"/>
          <w:szCs w:val="20"/>
          <w:color w:val="auto"/>
        </w:rPr>
      </w:pPr>
      <w:r>
        <w:rPr>
          <w:rFonts w:ascii="Arial" w:cs="Arial" w:eastAsia="Arial" w:hAnsi="Arial"/>
          <w:sz w:val="22"/>
          <w:szCs w:val="22"/>
          <w:color w:val="auto"/>
        </w:rPr>
        <w:t>At the executive level, the People and Compensation Committee, together with the CEO, regularly reviews senior management talent, including readiness to take on additional leadership roles and developmental opportunities needed to prepare leaders for greater responsibilities. The People and Compensation Committee also focuses on plans for developing our mid-level talent into our future leaders, and we have a number of initiatives to provide these potential future leaders with the experience and exposure needed to succeed at the highest levels of our Company.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invest in our employees through training and development programs, on the job experiences, coaching, as well as tuition reimbursement for a majority of our employees in the United States to promote continued professional growth. Additionally, we understand the importance of maintaining competitive compensation, benefits and appropriate training that provide growth, developmental opportunities and multiple career paths with the Company.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Diversity, Equity and Inclusion</w:t>
      </w:r>
    </w:p>
    <w:p>
      <w:pPr>
        <w:spacing w:after="0" w:line="60" w:lineRule="exact"/>
        <w:rPr>
          <w:sz w:val="20"/>
          <w:szCs w:val="20"/>
          <w:color w:val="auto"/>
        </w:rPr>
      </w:pPr>
    </w:p>
    <w:p>
      <w:pPr>
        <w:ind w:left="40" w:right="400"/>
        <w:spacing w:after="0" w:line="238" w:lineRule="auto"/>
        <w:rPr>
          <w:sz w:val="20"/>
          <w:szCs w:val="20"/>
          <w:color w:val="auto"/>
        </w:rPr>
      </w:pPr>
      <w:r>
        <w:rPr>
          <w:rFonts w:ascii="Arial" w:cs="Arial" w:eastAsia="Arial" w:hAnsi="Arial"/>
          <w:sz w:val="22"/>
          <w:szCs w:val="22"/>
          <w:color w:val="auto"/>
        </w:rPr>
        <w:t>To build on our significant progress on DEI initiatives over the last several years and to continue to further our progress, the Board uses a governance model that includes full Board reviews twice per year of the Company’s approach and response to diversity, equity and inclusion. The Board is involved and aligned with management, including our Mondelēz Leadership Team and SVP, Chief Global Diversity Officer, on these DEI commitments and initiatives.</w:t>
      </w:r>
    </w:p>
    <w:p>
      <w:pPr>
        <w:spacing w:after="0" w:line="150" w:lineRule="exact"/>
        <w:rPr>
          <w:sz w:val="20"/>
          <w:szCs w:val="20"/>
          <w:color w:val="auto"/>
        </w:rPr>
      </w:pPr>
    </w:p>
    <w:p>
      <w:pPr>
        <w:ind w:left="40" w:right="60"/>
        <w:spacing w:after="0" w:line="235" w:lineRule="auto"/>
        <w:rPr>
          <w:sz w:val="20"/>
          <w:szCs w:val="20"/>
          <w:color w:val="auto"/>
        </w:rPr>
      </w:pPr>
      <w:r>
        <w:rPr>
          <w:rFonts w:ascii="Arial" w:cs="Arial" w:eastAsia="Arial" w:hAnsi="Arial"/>
          <w:sz w:val="22"/>
          <w:szCs w:val="22"/>
          <w:color w:val="auto"/>
        </w:rPr>
        <w:t>To reinforce these commitments and initiatives, we include specific DEI metrics as a part of the strategic scorecard within our AIP for our CEO and other senior leaders. These metrics include women in leadership globally and Black representation in our U.S. management team. At the end of 2021, women held 39% of executive leadership roles (defined as the Mondelēz Leadership Team plus one level below), significantly closing the gap to the balance of the organization, and 27% of the CEO’s management leadership team roles. We are exceeding our expected annual progress on our goal to double the percentage of Black representation in U.S. management by 2024. For our U.S. leadership, Black employees held 5.1% of management roles (defined as Director and above) at the end of 2021 and 3.2% at the end of 2020, a 1.9 percentage point (“pp”) increase.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Workplace Safety</w:t>
      </w:r>
    </w:p>
    <w:p>
      <w:pPr>
        <w:spacing w:after="0" w:line="60" w:lineRule="exact"/>
        <w:rPr>
          <w:sz w:val="20"/>
          <w:szCs w:val="20"/>
          <w:color w:val="auto"/>
        </w:rPr>
      </w:pPr>
    </w:p>
    <w:p>
      <w:pPr>
        <w:ind w:left="40" w:right="240"/>
        <w:spacing w:after="0" w:line="238" w:lineRule="auto"/>
        <w:rPr>
          <w:sz w:val="20"/>
          <w:szCs w:val="20"/>
          <w:color w:val="auto"/>
        </w:rPr>
      </w:pPr>
      <w:r>
        <w:rPr>
          <w:rFonts w:ascii="Arial" w:cs="Arial" w:eastAsia="Arial" w:hAnsi="Arial"/>
          <w:sz w:val="22"/>
          <w:szCs w:val="22"/>
          <w:color w:val="auto"/>
        </w:rPr>
        <w:t>The Audit Committee oversees our safety performance and reviews with management our safety priorities and initiatives. To promote a strong culture of safety and prioritize keeping a safe working environment,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4" w:name="page45"/>
    <w:bookmarkEnd w:id="44"/>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40" w:right="160"/>
        <w:spacing w:after="0" w:line="236" w:lineRule="auto"/>
        <w:rPr>
          <w:sz w:val="20"/>
          <w:szCs w:val="20"/>
          <w:color w:val="auto"/>
        </w:rPr>
      </w:pPr>
      <w:r>
        <w:rPr>
          <w:rFonts w:ascii="Arial" w:cs="Arial" w:eastAsia="Arial" w:hAnsi="Arial"/>
          <w:sz w:val="22"/>
          <w:szCs w:val="22"/>
          <w:color w:val="auto"/>
        </w:rPr>
        <w:t>In response to the COVID-19 pandemic, we implemented strict health and safety protocols and took appropriate measures in our facilities. To support our colleagues and promote a diverse and sustainable workforce, we launched “The Right You,” a global cross-functional initiative empowering our team members to thrive both at work and at home. “The Right You” is a globally-integrated, holistic approach to employee Well-being, that provides employees with resources, tools, social support, privacy, and strategies to adopt and maintain healthy behaviors and ensures clarity for all employees on the resources that are available.</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CORPORATE CULTURE</w:t>
      </w:r>
    </w:p>
    <w:p>
      <w:pPr>
        <w:spacing w:after="0" w:line="103" w:lineRule="exact"/>
        <w:rPr>
          <w:sz w:val="20"/>
          <w:szCs w:val="20"/>
          <w:color w:val="auto"/>
        </w:rPr>
      </w:pPr>
    </w:p>
    <w:p>
      <w:pPr>
        <w:ind w:left="40" w:right="20"/>
        <w:spacing w:after="0" w:line="235" w:lineRule="auto"/>
        <w:rPr>
          <w:sz w:val="20"/>
          <w:szCs w:val="20"/>
          <w:color w:val="auto"/>
        </w:rPr>
      </w:pPr>
      <w:r>
        <w:rPr>
          <w:rFonts w:ascii="Arial" w:cs="Arial" w:eastAsia="Arial" w:hAnsi="Arial"/>
          <w:sz w:val="22"/>
          <w:szCs w:val="22"/>
          <w:color w:val="auto"/>
        </w:rPr>
        <w:t>Our Board believes that a positive corporate culture is vitally important to our success and oversees implementation of practices and policies to maintain a positive and engaging work environment for our team members. Our global compliance and integrity program guides our employees to act with integrity and make ethical decisions while conducting business around the world. In addition, Board members are provided direct access to our employees and have engaged with them in person in the pre-COVID-19 pandemic through activities such as walking the floors of our offices, and periodic plant and in-market visits. These visits provide directors with an opportunity to assess our culture and interact with employees outside the senior management team, and we anticipate that these activities will resume in 2022.</w:t>
      </w:r>
    </w:p>
    <w:p>
      <w:pPr>
        <w:spacing w:after="0" w:line="151" w:lineRule="exact"/>
        <w:rPr>
          <w:sz w:val="20"/>
          <w:szCs w:val="20"/>
          <w:color w:val="auto"/>
        </w:rPr>
      </w:pPr>
    </w:p>
    <w:p>
      <w:pPr>
        <w:ind w:left="40" w:right="180"/>
        <w:spacing w:after="0" w:line="245" w:lineRule="auto"/>
        <w:rPr>
          <w:sz w:val="20"/>
          <w:szCs w:val="20"/>
          <w:color w:val="auto"/>
        </w:rPr>
      </w:pPr>
      <w:r>
        <w:rPr>
          <w:rFonts w:ascii="Arial" w:cs="Arial" w:eastAsia="Arial" w:hAnsi="Arial"/>
          <w:sz w:val="22"/>
          <w:szCs w:val="22"/>
          <w:color w:val="auto"/>
        </w:rPr>
        <w:t>Each year the Board reviews our global employee engagement survey results. The survey provides rich data for our leaders and a benchmark to other companies, and we create action plans at global, regional, functional and managerial levels.</w:t>
      </w:r>
    </w:p>
    <w:p>
      <w:pPr>
        <w:spacing w:after="0" w:line="143" w:lineRule="exact"/>
        <w:rPr>
          <w:sz w:val="20"/>
          <w:szCs w:val="20"/>
          <w:color w:val="auto"/>
        </w:rPr>
      </w:pPr>
    </w:p>
    <w:p>
      <w:pPr>
        <w:ind w:left="40" w:right="360"/>
        <w:spacing w:after="0" w:line="259" w:lineRule="auto"/>
        <w:rPr>
          <w:sz w:val="20"/>
          <w:szCs w:val="20"/>
          <w:color w:val="auto"/>
        </w:rPr>
      </w:pPr>
      <w:r>
        <w:rPr>
          <w:rFonts w:ascii="Arial" w:cs="Arial" w:eastAsia="Arial" w:hAnsi="Arial"/>
          <w:sz w:val="22"/>
          <w:szCs w:val="22"/>
          <w:color w:val="auto"/>
        </w:rPr>
        <w:t>For additional details on talent and development initiatives, our DEI initiatives, workplace safety and wellness, and our engagement survey, please see the Human Capital section of our 2021 Form 10-K.</w:t>
      </w:r>
    </w:p>
    <w:p>
      <w:pPr>
        <w:spacing w:after="0" w:line="12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Meeting Attendance</w:t>
      </w:r>
    </w:p>
    <w:p>
      <w:pPr>
        <w:spacing w:after="0" w:line="187" w:lineRule="exact"/>
        <w:rPr>
          <w:sz w:val="20"/>
          <w:szCs w:val="20"/>
          <w:color w:val="auto"/>
        </w:rPr>
      </w:pPr>
    </w:p>
    <w:p>
      <w:pPr>
        <w:jc w:val="both"/>
        <w:ind w:left="40" w:right="420"/>
        <w:spacing w:after="0" w:line="245" w:lineRule="auto"/>
        <w:rPr>
          <w:sz w:val="20"/>
          <w:szCs w:val="20"/>
          <w:color w:val="auto"/>
        </w:rPr>
      </w:pPr>
      <w:r>
        <w:rPr>
          <w:rFonts w:ascii="Arial" w:cs="Arial" w:eastAsia="Arial" w:hAnsi="Arial"/>
          <w:sz w:val="22"/>
          <w:szCs w:val="22"/>
          <w:color w:val="auto"/>
        </w:rPr>
        <w:t>Directors are expected to attend all Board meetings, the Annual Meeting of Shareholders and all meetings of the committees on which they serve. We understand, however, that occasionally a director may be unable to attend a meeting for good reason due to conflicts or unforeseen circumstances.</w:t>
      </w:r>
    </w:p>
    <w:p>
      <w:pPr>
        <w:spacing w:after="0" w:line="62" w:lineRule="exact"/>
        <w:rPr>
          <w:sz w:val="20"/>
          <w:szCs w:val="20"/>
          <w:color w:val="auto"/>
        </w:rPr>
      </w:pPr>
    </w:p>
    <w:p>
      <w:pPr>
        <w:ind w:left="260" w:hanging="212"/>
        <w:spacing w:after="0"/>
        <w:tabs>
          <w:tab w:leader="none" w:pos="260" w:val="left"/>
        </w:tabs>
        <w:numPr>
          <w:ilvl w:val="0"/>
          <w:numId w:val="26"/>
        </w:numPr>
        <w:rPr>
          <w:rFonts w:ascii="Arial" w:cs="Arial" w:eastAsia="Arial" w:hAnsi="Arial"/>
          <w:sz w:val="22"/>
          <w:szCs w:val="22"/>
          <w:color w:val="582C83"/>
        </w:rPr>
      </w:pPr>
      <w:r>
        <w:rPr>
          <w:rFonts w:ascii="Arial" w:cs="Arial" w:eastAsia="Arial" w:hAnsi="Arial"/>
          <w:sz w:val="22"/>
          <w:szCs w:val="22"/>
          <w:color w:val="auto"/>
        </w:rPr>
        <w:t>The Board held nine meetings during 2021. The Board acted by unanimous written consent two times.</w:t>
      </w:r>
    </w:p>
    <w:p>
      <w:pPr>
        <w:spacing w:after="0" w:line="98" w:lineRule="exact"/>
        <w:rPr>
          <w:rFonts w:ascii="Arial" w:cs="Arial" w:eastAsia="Arial" w:hAnsi="Arial"/>
          <w:sz w:val="22"/>
          <w:szCs w:val="22"/>
          <w:color w:val="582C83"/>
        </w:rPr>
      </w:pPr>
    </w:p>
    <w:p>
      <w:pPr>
        <w:ind w:left="260" w:right="20" w:hanging="212"/>
        <w:spacing w:after="0" w:line="236" w:lineRule="auto"/>
        <w:tabs>
          <w:tab w:leader="none" w:pos="260" w:val="left"/>
        </w:tabs>
        <w:numPr>
          <w:ilvl w:val="0"/>
          <w:numId w:val="26"/>
        </w:numPr>
        <w:rPr>
          <w:rFonts w:ascii="Arial" w:cs="Arial" w:eastAsia="Arial" w:hAnsi="Arial"/>
          <w:sz w:val="22"/>
          <w:szCs w:val="22"/>
          <w:color w:val="582C83"/>
        </w:rPr>
      </w:pPr>
      <w:r>
        <w:rPr>
          <w:rFonts w:ascii="Arial" w:cs="Arial" w:eastAsia="Arial" w:hAnsi="Arial"/>
          <w:sz w:val="22"/>
          <w:szCs w:val="22"/>
          <w:color w:val="auto"/>
        </w:rPr>
        <w:t>During 2021, Mmes. Juliber and Shi and Messrs. Bunch, May, Reynolds, Siewert, Todman and Van de Put attended 100% of the meetings of the Board and all committees on which they served during the period that he or she served. Ms. Nielsen and Messrs. Booth, Mesquita and van Boxmeer attended at least 78% of meetings of the Board and all committees on which they served during the period that he or she served. Ms. Crew did not stand for re-election at the 2021 annual meeting of shareholders and was unable to attend certain meetings at the end of her tenure, bringing her attendance to 43%.</w:t>
      </w:r>
    </w:p>
    <w:p>
      <w:pPr>
        <w:spacing w:after="0" w:line="73" w:lineRule="exact"/>
        <w:rPr>
          <w:rFonts w:ascii="Arial" w:cs="Arial" w:eastAsia="Arial" w:hAnsi="Arial"/>
          <w:sz w:val="22"/>
          <w:szCs w:val="22"/>
          <w:color w:val="582C83"/>
        </w:rPr>
      </w:pPr>
    </w:p>
    <w:p>
      <w:pPr>
        <w:ind w:left="260" w:right="300" w:hanging="212"/>
        <w:spacing w:after="0" w:line="259" w:lineRule="auto"/>
        <w:tabs>
          <w:tab w:leader="none" w:pos="260" w:val="left"/>
        </w:tabs>
        <w:numPr>
          <w:ilvl w:val="0"/>
          <w:numId w:val="26"/>
        </w:numPr>
        <w:rPr>
          <w:rFonts w:ascii="Arial" w:cs="Arial" w:eastAsia="Arial" w:hAnsi="Arial"/>
          <w:sz w:val="22"/>
          <w:szCs w:val="22"/>
          <w:color w:val="582C83"/>
        </w:rPr>
      </w:pPr>
      <w:r>
        <w:rPr>
          <w:rFonts w:ascii="Arial" w:cs="Arial" w:eastAsia="Arial" w:hAnsi="Arial"/>
          <w:sz w:val="22"/>
          <w:szCs w:val="22"/>
          <w:color w:val="auto"/>
        </w:rPr>
        <w:t>All of the then-incumbent directors and director nominees except Ms. Crew attended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107315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5" w:name="page46"/>
    <w:bookmarkEnd w:id="45"/>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Codes of Conduct</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CODE OF BUSINESS CONDUCT AND ETHICS FOR NON-EMPLOYEE DIRECTORS</w:t>
      </w:r>
    </w:p>
    <w:p>
      <w:pPr>
        <w:spacing w:after="0" w:line="58" w:lineRule="exact"/>
        <w:rPr>
          <w:sz w:val="20"/>
          <w:szCs w:val="20"/>
          <w:color w:val="auto"/>
        </w:rPr>
      </w:pPr>
    </w:p>
    <w:p>
      <w:pPr>
        <w:jc w:val="both"/>
        <w:ind w:left="40" w:right="340"/>
        <w:spacing w:after="0" w:line="236" w:lineRule="auto"/>
        <w:rPr>
          <w:sz w:val="20"/>
          <w:szCs w:val="20"/>
          <w:color w:val="auto"/>
        </w:rPr>
      </w:pPr>
      <w:r>
        <w:rPr>
          <w:rFonts w:ascii="Arial" w:cs="Arial" w:eastAsia="Arial" w:hAnsi="Arial"/>
          <w:sz w:val="22"/>
          <w:szCs w:val="22"/>
          <w:color w:val="auto"/>
        </w:rPr>
        <w:t>We have adopted the Code of Business Conduct and Ethics for Non-Employee Directors that fosters a culture of honesty and integrity, focuses on areas of ethical risk, guides non-employee directors in recognizing and handling ethical issues, and provides mechanisms to report unethical conduct. Annually, each non-employee director must acknowledge in writing that he or she has received, reviewed and understands the Code of Business Conduct and Ethics for Non-Employee Directors.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EMPLOYEE CODE OF CONDUCT</w:t>
      </w:r>
    </w:p>
    <w:p>
      <w:pPr>
        <w:spacing w:after="0" w:line="58" w:lineRule="exact"/>
        <w:rPr>
          <w:sz w:val="20"/>
          <w:szCs w:val="20"/>
          <w:color w:val="auto"/>
        </w:rPr>
      </w:pPr>
    </w:p>
    <w:p>
      <w:pPr>
        <w:jc w:val="both"/>
        <w:ind w:left="40" w:right="540"/>
        <w:spacing w:after="0" w:line="252" w:lineRule="auto"/>
        <w:rPr>
          <w:sz w:val="20"/>
          <w:szCs w:val="20"/>
          <w:color w:val="auto"/>
        </w:rPr>
      </w:pPr>
      <w:r>
        <w:rPr>
          <w:rFonts w:ascii="Arial" w:cs="Arial" w:eastAsia="Arial" w:hAnsi="Arial"/>
          <w:sz w:val="21"/>
          <w:szCs w:val="21"/>
          <w:color w:val="auto"/>
        </w:rPr>
        <w:t>We have adopted the Mondelēz International Code of Conduct for all our employees that reflects our values and contains important rules for conducting our business. The Code of Conduct is part of our global compliance and integrity program. The program provides training throughout the Company and encourages reporting of potential wrongdoing through anonymous reporting options and a publicized non-retaliation policy.</w:t>
      </w:r>
    </w:p>
    <w:p>
      <w:pPr>
        <w:spacing w:after="0" w:line="135"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Where to Find More Information</w:t>
      </w:r>
    </w:p>
    <w:p>
      <w:pPr>
        <w:spacing w:after="0" w:line="187" w:lineRule="exact"/>
        <w:rPr>
          <w:sz w:val="20"/>
          <w:szCs w:val="20"/>
          <w:color w:val="auto"/>
        </w:rPr>
      </w:pPr>
    </w:p>
    <w:p>
      <w:pPr>
        <w:ind w:left="40" w:right="20"/>
        <w:spacing w:after="0" w:line="245" w:lineRule="auto"/>
        <w:rPr>
          <w:sz w:val="20"/>
          <w:szCs w:val="20"/>
          <w:color w:val="auto"/>
        </w:rPr>
      </w:pPr>
      <w:r>
        <w:rPr>
          <w:rFonts w:ascii="Arial" w:cs="Arial" w:eastAsia="Arial" w:hAnsi="Arial"/>
          <w:sz w:val="22"/>
          <w:szCs w:val="22"/>
          <w:color w:val="auto"/>
        </w:rPr>
        <w:t xml:space="preserve">To learn more about our corporate governance practices, you can access the corporate governance documents listed below at </w:t>
      </w:r>
      <w:r>
        <w:rPr>
          <w:rFonts w:ascii="Arial" w:cs="Arial" w:eastAsia="Arial" w:hAnsi="Arial"/>
          <w:sz w:val="22"/>
          <w:szCs w:val="22"/>
          <w:i w:val="1"/>
          <w:iCs w:val="1"/>
          <w:color w:val="582C83"/>
        </w:rPr>
        <w:t>www.mondelezinternational.com/investors/corporate-governance</w:t>
      </w:r>
      <w:r>
        <w:rPr>
          <w:rFonts w:ascii="Arial" w:cs="Arial" w:eastAsia="Arial" w:hAnsi="Arial"/>
          <w:sz w:val="22"/>
          <w:szCs w:val="22"/>
          <w:color w:val="auto"/>
        </w:rPr>
        <w:t>. We will also provide copies of any of these documents to shareholders upon written request to the Corporate Secretary.</w:t>
      </w:r>
    </w:p>
    <w:p>
      <w:pPr>
        <w:spacing w:after="0" w:line="62" w:lineRule="exact"/>
        <w:rPr>
          <w:sz w:val="20"/>
          <w:szCs w:val="20"/>
          <w:color w:val="auto"/>
        </w:rPr>
      </w:pPr>
    </w:p>
    <w:p>
      <w:pPr>
        <w:ind w:left="260" w:hanging="212"/>
        <w:spacing w:after="0"/>
        <w:tabs>
          <w:tab w:leader="none" w:pos="260" w:val="left"/>
        </w:tabs>
        <w:numPr>
          <w:ilvl w:val="0"/>
          <w:numId w:val="27"/>
        </w:numPr>
        <w:rPr>
          <w:rFonts w:ascii="Arial" w:cs="Arial" w:eastAsia="Arial" w:hAnsi="Arial"/>
          <w:sz w:val="22"/>
          <w:szCs w:val="22"/>
          <w:color w:val="582C83"/>
        </w:rPr>
      </w:pPr>
      <w:r>
        <w:rPr>
          <w:rFonts w:ascii="Arial" w:cs="Arial" w:eastAsia="Arial" w:hAnsi="Arial"/>
          <w:sz w:val="22"/>
          <w:szCs w:val="22"/>
          <w:color w:val="auto"/>
        </w:rPr>
        <w:t>Articles of Incorporation</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7"/>
        </w:numPr>
        <w:rPr>
          <w:rFonts w:ascii="Arial" w:cs="Arial" w:eastAsia="Arial" w:hAnsi="Arial"/>
          <w:sz w:val="22"/>
          <w:szCs w:val="22"/>
          <w:color w:val="582C83"/>
        </w:rPr>
      </w:pPr>
      <w:r>
        <w:rPr>
          <w:rFonts w:ascii="Arial" w:cs="Arial" w:eastAsia="Arial" w:hAnsi="Arial"/>
          <w:sz w:val="22"/>
          <w:szCs w:val="22"/>
          <w:color w:val="auto"/>
        </w:rPr>
        <w:t>By-Laws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7"/>
        </w:numPr>
        <w:rPr>
          <w:rFonts w:ascii="Arial" w:cs="Arial" w:eastAsia="Arial" w:hAnsi="Arial"/>
          <w:sz w:val="22"/>
          <w:szCs w:val="22"/>
          <w:color w:val="582C83"/>
        </w:rPr>
      </w:pPr>
      <w:r>
        <w:rPr>
          <w:rFonts w:ascii="Arial" w:cs="Arial" w:eastAsia="Arial" w:hAnsi="Arial"/>
          <w:sz w:val="22"/>
          <w:szCs w:val="22"/>
          <w:color w:val="auto"/>
        </w:rPr>
        <w:t>Corporate Governance Guidelines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7"/>
        </w:numPr>
        <w:rPr>
          <w:rFonts w:ascii="Arial" w:cs="Arial" w:eastAsia="Arial" w:hAnsi="Arial"/>
          <w:sz w:val="22"/>
          <w:szCs w:val="22"/>
          <w:color w:val="582C83"/>
        </w:rPr>
      </w:pPr>
      <w:r>
        <w:rPr>
          <w:rFonts w:ascii="Arial" w:cs="Arial" w:eastAsia="Arial" w:hAnsi="Arial"/>
          <w:sz w:val="22"/>
          <w:szCs w:val="22"/>
          <w:color w:val="auto"/>
        </w:rPr>
        <w:t>Board Committee Charters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7"/>
        </w:numPr>
        <w:rPr>
          <w:rFonts w:ascii="Arial" w:cs="Arial" w:eastAsia="Arial" w:hAnsi="Arial"/>
          <w:sz w:val="22"/>
          <w:szCs w:val="22"/>
          <w:color w:val="582C83"/>
        </w:rPr>
      </w:pPr>
      <w:r>
        <w:rPr>
          <w:rFonts w:ascii="Arial" w:cs="Arial" w:eastAsia="Arial" w:hAnsi="Arial"/>
          <w:sz w:val="22"/>
          <w:szCs w:val="22"/>
          <w:color w:val="auto"/>
        </w:rPr>
        <w:t>Code of Business Conduct and Ethics for Non-Employee Directors</w:t>
      </w:r>
    </w:p>
    <w:p>
      <w:pPr>
        <w:spacing w:after="0" w:line="179" w:lineRule="exact"/>
        <w:rPr>
          <w:sz w:val="20"/>
          <w:szCs w:val="20"/>
          <w:color w:val="auto"/>
        </w:rPr>
      </w:pPr>
    </w:p>
    <w:p>
      <w:pPr>
        <w:ind w:left="40" w:right="140"/>
        <w:spacing w:after="0" w:line="259" w:lineRule="auto"/>
        <w:rPr>
          <w:sz w:val="20"/>
          <w:szCs w:val="20"/>
          <w:color w:val="auto"/>
        </w:rPr>
      </w:pPr>
      <w:r>
        <w:rPr>
          <w:rFonts w:ascii="Arial" w:cs="Arial" w:eastAsia="Arial" w:hAnsi="Arial"/>
          <w:sz w:val="22"/>
          <w:szCs w:val="22"/>
          <w:color w:val="auto"/>
        </w:rPr>
        <w:t xml:space="preserve">You can access the Code of Conduct at </w:t>
      </w:r>
      <w:r>
        <w:rPr>
          <w:rFonts w:ascii="Arial" w:cs="Arial" w:eastAsia="Arial" w:hAnsi="Arial"/>
          <w:sz w:val="22"/>
          <w:szCs w:val="22"/>
          <w:i w:val="1"/>
          <w:iCs w:val="1"/>
          <w:color w:val="582C83"/>
        </w:rPr>
        <w:t>www.mondelezinternational.com/about-us/our-way-of-doing-business/Code-of-Conduct.</w:t>
      </w:r>
    </w:p>
    <w:p>
      <w:pPr>
        <w:spacing w:after="0" w:line="129" w:lineRule="exact"/>
        <w:rPr>
          <w:sz w:val="20"/>
          <w:szCs w:val="20"/>
          <w:color w:val="auto"/>
        </w:rPr>
      </w:pPr>
    </w:p>
    <w:p>
      <w:pPr>
        <w:ind w:left="40" w:right="120"/>
        <w:spacing w:after="0" w:line="245" w:lineRule="auto"/>
        <w:rPr>
          <w:sz w:val="20"/>
          <w:szCs w:val="20"/>
          <w:color w:val="auto"/>
        </w:rPr>
      </w:pPr>
      <w:r>
        <w:rPr>
          <w:rFonts w:ascii="Arial" w:cs="Arial" w:eastAsia="Arial" w:hAnsi="Arial"/>
          <w:sz w:val="22"/>
          <w:szCs w:val="22"/>
          <w:color w:val="auto"/>
        </w:rPr>
        <w:t>We intend to disclose in the Corporate Governance section of our website any amendments to the Code of Business Conduct and Ethics for Non-Employee Directors or Code of Conduct and any waiver granted to an executive officer or director under these codes, to the extent required.</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Review of Transactions with Related Persons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RELATED PERSON TRANSACTIONS POLICY AND PROCEDURES</w:t>
      </w:r>
    </w:p>
    <w:p>
      <w:pPr>
        <w:spacing w:after="0" w:line="58" w:lineRule="exact"/>
        <w:rPr>
          <w:sz w:val="20"/>
          <w:szCs w:val="20"/>
          <w:color w:val="auto"/>
        </w:rPr>
      </w:pPr>
    </w:p>
    <w:p>
      <w:pPr>
        <w:ind w:left="40" w:right="280"/>
        <w:spacing w:after="0" w:line="236" w:lineRule="auto"/>
        <w:rPr>
          <w:sz w:val="20"/>
          <w:szCs w:val="20"/>
          <w:color w:val="auto"/>
        </w:rPr>
      </w:pPr>
      <w:r>
        <w:rPr>
          <w:rFonts w:ascii="Arial" w:cs="Arial" w:eastAsia="Arial" w:hAnsi="Arial"/>
          <w:sz w:val="22"/>
          <w:szCs w:val="22"/>
          <w:color w:val="auto"/>
        </w:rPr>
        <w:t>The Board has adopted a written policy regarding related person transactions. In general, “related persons” are the following persons and their immediate family members: directors, executive officers and shareholders beneficially owning more than 5% of our outstanding Common Stock. A related person transaction is one in which Mondelēz International or one of its subsidiaries is a participant, the amount involved exceeds $120,000, and any related person had, has or will have a direct or indirect material interest.</w:t>
      </w:r>
    </w:p>
    <w:p>
      <w:pPr>
        <w:spacing w:after="0" w:line="152" w:lineRule="exact"/>
        <w:rPr>
          <w:sz w:val="20"/>
          <w:szCs w:val="20"/>
          <w:color w:val="auto"/>
        </w:rPr>
      </w:pPr>
    </w:p>
    <w:p>
      <w:pPr>
        <w:ind w:left="40" w:right="20"/>
        <w:spacing w:after="0" w:line="236" w:lineRule="auto"/>
        <w:rPr>
          <w:sz w:val="20"/>
          <w:szCs w:val="20"/>
          <w:color w:val="auto"/>
        </w:rPr>
      </w:pPr>
      <w:r>
        <w:rPr>
          <w:rFonts w:ascii="Arial" w:cs="Arial" w:eastAsia="Arial" w:hAnsi="Arial"/>
          <w:sz w:val="22"/>
          <w:szCs w:val="22"/>
          <w:color w:val="auto"/>
        </w:rPr>
        <w:t>The Governance Committee reviews transactions that might qualify as related person transactions. If the Governance Committee determines that a transaction is a related person transaction, then the Governance Committee reviews and approves, disapproves or ratifies the transaction. Only those related person transactions that are fair and reasonable to Mondelēz International and in our shareholders’ best interests are ratified or approved. When it is not practicable or desirable to delay review of a transaction until a committee meeting, the chair of the Governance Committee may act on behalf of the committee and report to the Governance Committee on any transaction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6" w:name="page47"/>
    <w:bookmarkEnd w:id="46"/>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40" w:right="200"/>
        <w:spacing w:after="0" w:line="259" w:lineRule="auto"/>
        <w:rPr>
          <w:sz w:val="20"/>
          <w:szCs w:val="20"/>
          <w:color w:val="auto"/>
        </w:rPr>
      </w:pPr>
      <w:r>
        <w:rPr>
          <w:rFonts w:ascii="Arial" w:cs="Arial" w:eastAsia="Arial" w:hAnsi="Arial"/>
          <w:sz w:val="22"/>
          <w:szCs w:val="22"/>
          <w:color w:val="auto"/>
        </w:rPr>
        <w:t>When reviewing and acting on a related person transaction under this policy, the Governance Committee considers, among other things:</w:t>
      </w:r>
    </w:p>
    <w:p>
      <w:pPr>
        <w:spacing w:after="0" w:line="48" w:lineRule="exact"/>
        <w:rPr>
          <w:sz w:val="20"/>
          <w:szCs w:val="20"/>
          <w:color w:val="auto"/>
        </w:rPr>
      </w:pPr>
    </w:p>
    <w:p>
      <w:pPr>
        <w:ind w:left="260" w:hanging="212"/>
        <w:spacing w:after="0"/>
        <w:tabs>
          <w:tab w:leader="none" w:pos="260" w:val="left"/>
        </w:tabs>
        <w:numPr>
          <w:ilvl w:val="0"/>
          <w:numId w:val="28"/>
        </w:numPr>
        <w:rPr>
          <w:rFonts w:ascii="Arial" w:cs="Arial" w:eastAsia="Arial" w:hAnsi="Arial"/>
          <w:sz w:val="22"/>
          <w:szCs w:val="22"/>
          <w:color w:val="582C83"/>
        </w:rPr>
      </w:pPr>
      <w:r>
        <w:rPr>
          <w:rFonts w:ascii="Arial" w:cs="Arial" w:eastAsia="Arial" w:hAnsi="Arial"/>
          <w:sz w:val="22"/>
          <w:szCs w:val="22"/>
          <w:color w:val="auto"/>
        </w:rPr>
        <w:t>the commercial reasonableness of the transaction;</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8"/>
        </w:numPr>
        <w:rPr>
          <w:rFonts w:ascii="Arial" w:cs="Arial" w:eastAsia="Arial" w:hAnsi="Arial"/>
          <w:sz w:val="22"/>
          <w:szCs w:val="22"/>
          <w:color w:val="582C83"/>
        </w:rPr>
      </w:pPr>
      <w:r>
        <w:rPr>
          <w:rFonts w:ascii="Arial" w:cs="Arial" w:eastAsia="Arial" w:hAnsi="Arial"/>
          <w:sz w:val="22"/>
          <w:szCs w:val="22"/>
          <w:color w:val="auto"/>
        </w:rPr>
        <w:t>the materiality of the related person’s direct or indirect interest in the transaction;</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28"/>
        </w:numPr>
        <w:rPr>
          <w:rFonts w:ascii="Arial" w:cs="Arial" w:eastAsia="Arial" w:hAnsi="Arial"/>
          <w:sz w:val="22"/>
          <w:szCs w:val="22"/>
          <w:color w:val="582C83"/>
        </w:rPr>
      </w:pPr>
      <w:r>
        <w:rPr>
          <w:rFonts w:ascii="Arial" w:cs="Arial" w:eastAsia="Arial" w:hAnsi="Arial"/>
          <w:sz w:val="22"/>
          <w:szCs w:val="22"/>
          <w:color w:val="auto"/>
        </w:rPr>
        <w:t>whether the transaction may involve an actual conflict of interest or create the appearance of one;</w:t>
      </w:r>
    </w:p>
    <w:p>
      <w:pPr>
        <w:spacing w:after="0" w:line="98" w:lineRule="exact"/>
        <w:rPr>
          <w:rFonts w:ascii="Arial" w:cs="Arial" w:eastAsia="Arial" w:hAnsi="Arial"/>
          <w:sz w:val="22"/>
          <w:szCs w:val="22"/>
          <w:color w:val="582C83"/>
        </w:rPr>
      </w:pPr>
    </w:p>
    <w:p>
      <w:pPr>
        <w:ind w:left="260" w:right="240" w:hanging="212"/>
        <w:spacing w:after="0" w:line="259" w:lineRule="auto"/>
        <w:tabs>
          <w:tab w:leader="none" w:pos="260" w:val="left"/>
        </w:tabs>
        <w:numPr>
          <w:ilvl w:val="0"/>
          <w:numId w:val="28"/>
        </w:numPr>
        <w:rPr>
          <w:rFonts w:ascii="Arial" w:cs="Arial" w:eastAsia="Arial" w:hAnsi="Arial"/>
          <w:sz w:val="22"/>
          <w:szCs w:val="22"/>
          <w:color w:val="582C83"/>
        </w:rPr>
      </w:pPr>
      <w:r>
        <w:rPr>
          <w:rFonts w:ascii="Arial" w:cs="Arial" w:eastAsia="Arial" w:hAnsi="Arial"/>
          <w:sz w:val="22"/>
          <w:szCs w:val="22"/>
          <w:color w:val="auto"/>
        </w:rPr>
        <w:t>the impact of the transaction on the related person’s independence (as defined in the Guidelines and the Nasdaq listing standards); and</w:t>
      </w:r>
    </w:p>
    <w:p>
      <w:pPr>
        <w:spacing w:after="0" w:line="48" w:lineRule="exact"/>
        <w:rPr>
          <w:rFonts w:ascii="Arial" w:cs="Arial" w:eastAsia="Arial" w:hAnsi="Arial"/>
          <w:sz w:val="22"/>
          <w:szCs w:val="22"/>
          <w:color w:val="582C83"/>
        </w:rPr>
      </w:pPr>
    </w:p>
    <w:p>
      <w:pPr>
        <w:ind w:left="260" w:right="40" w:hanging="212"/>
        <w:spacing w:after="0" w:line="259" w:lineRule="auto"/>
        <w:tabs>
          <w:tab w:leader="none" w:pos="260" w:val="left"/>
        </w:tabs>
        <w:numPr>
          <w:ilvl w:val="0"/>
          <w:numId w:val="28"/>
        </w:numPr>
        <w:rPr>
          <w:rFonts w:ascii="Arial" w:cs="Arial" w:eastAsia="Arial" w:hAnsi="Arial"/>
          <w:sz w:val="22"/>
          <w:szCs w:val="22"/>
          <w:color w:val="582C83"/>
        </w:rPr>
      </w:pPr>
      <w:r>
        <w:rPr>
          <w:rFonts w:ascii="Arial" w:cs="Arial" w:eastAsia="Arial" w:hAnsi="Arial"/>
          <w:sz w:val="22"/>
          <w:szCs w:val="22"/>
          <w:color w:val="auto"/>
        </w:rPr>
        <w:t>whether the transaction would violate any provision of the Code of Business Conduct and Ethics for Non-Employee Directors or the Code of Conduct.</w:t>
      </w:r>
    </w:p>
    <w:p>
      <w:pPr>
        <w:spacing w:after="0" w:line="129" w:lineRule="exact"/>
        <w:rPr>
          <w:sz w:val="20"/>
          <w:szCs w:val="20"/>
          <w:color w:val="auto"/>
        </w:rPr>
      </w:pPr>
    </w:p>
    <w:p>
      <w:pPr>
        <w:ind w:left="40" w:right="260"/>
        <w:spacing w:after="0" w:line="259" w:lineRule="auto"/>
        <w:rPr>
          <w:sz w:val="20"/>
          <w:szCs w:val="20"/>
          <w:color w:val="auto"/>
        </w:rPr>
      </w:pPr>
      <w:r>
        <w:rPr>
          <w:rFonts w:ascii="Arial" w:cs="Arial" w:eastAsia="Arial" w:hAnsi="Arial"/>
          <w:sz w:val="22"/>
          <w:szCs w:val="22"/>
          <w:color w:val="auto"/>
        </w:rPr>
        <w:t>Any member of the Governance Committee who is a related person with respect to a transaction under review may not participate in the deliberations or decisions regarding the transaction.</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REVIEW OF RELATED PERSON TRANSACTIONS SINCE JANUARY 1, 2021</w:t>
      </w:r>
    </w:p>
    <w:p>
      <w:pPr>
        <w:spacing w:after="0" w:line="103"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On February 3, 2022, BlackRock, Inc. (“BlackRock”), an investment management corporation, filed a Schedule 13G/A with the SEC reporting that it was a greater than 5% shareholder of the Company as of December 31, 2021. During 2021, BlackRock acted as an investment manager with respect to certain investment options under our U.S., Canadian and Puerto Rican retirement savings plans and Canadian, Irish and U.K. pension plans. BlackRock was selected as an investment manager by each plan’s designated authority for plan investments. BlackRock’s selection was based on the determination of each plan’s designated authority that the selection met applicable standards and that the fees were reasonable and appropriate. BlackRock’s fees were approximately $2.89 million during 2021. Each of the plans for which BlackRock performed services paid the fees for those services from its assets. The plans expect to pay similar fees to BlackRock during 2022 for similar services. Fees, based on plan asset value, are paid quarterly on a lag basis.</w:t>
      </w:r>
    </w:p>
    <w:p>
      <w:pPr>
        <w:spacing w:after="0" w:line="15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Anti-Hedging Policy</w:t>
      </w:r>
    </w:p>
    <w:p>
      <w:pPr>
        <w:spacing w:after="0" w:line="187" w:lineRule="exact"/>
        <w:rPr>
          <w:sz w:val="20"/>
          <w:szCs w:val="20"/>
          <w:color w:val="auto"/>
        </w:rPr>
      </w:pPr>
    </w:p>
    <w:p>
      <w:pPr>
        <w:ind w:left="40" w:right="180"/>
        <w:spacing w:after="0" w:line="233" w:lineRule="auto"/>
        <w:rPr>
          <w:sz w:val="20"/>
          <w:szCs w:val="20"/>
          <w:color w:val="auto"/>
        </w:rPr>
      </w:pPr>
      <w:r>
        <w:rPr>
          <w:rFonts w:ascii="Arial" w:cs="Arial" w:eastAsia="Arial" w:hAnsi="Arial"/>
          <w:sz w:val="22"/>
          <w:szCs w:val="22"/>
          <w:color w:val="auto"/>
        </w:rPr>
        <w:t>Our Insider Trading Policy prohibits our employees, including our executive officers, and our directors (together, “Mondelēz International Personnel”) from engaging in transactions involving Mondelēz International, Inc.-based or Mondelēz International, Inc. subsidiary-based derivative securities, short-selling or hedging transactions that create an actual or potential bet against Mondelēz International, Inc. or one of its subsidiaries. Derivative securities include options, warrants, convertible securities, stock appreciation rights or similar rights whose value is derived from the value of an equity security, such as Mondelēz International, Inc. stock. This prohibition includes, but is not limited to, trading in Mondelēz International, Inc.-based or Mondelēz International, Inc. subsidiary-based option contracts (for example, buying and/or writing puts and calls or transacting in straddles). This prohibition also applies to family members who reside with Mondelēz International Personnel, others who live in their households (except tenants or staff), any family members who do not live in their households but whose transactions in securities they direct or are subject to their influence or control, any corporations or other business entities controlled or managed by Mondelēz International Personnel and any trusts of which Mondelēz International Personnel are the trustee or over which they otherwise have investment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243840</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7" w:name="page48"/>
    <w:bookmarkEnd w:id="47"/>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Shareholder Outreach and Communications with the Board</w:t>
      </w:r>
    </w:p>
    <w:p>
      <w:pPr>
        <w:spacing w:after="0" w:line="187" w:lineRule="exact"/>
        <w:rPr>
          <w:sz w:val="20"/>
          <w:szCs w:val="20"/>
          <w:color w:val="auto"/>
        </w:rPr>
      </w:pPr>
    </w:p>
    <w:p>
      <w:pPr>
        <w:ind w:left="40" w:right="40"/>
        <w:spacing w:after="0" w:line="233" w:lineRule="auto"/>
        <w:rPr>
          <w:sz w:val="20"/>
          <w:szCs w:val="20"/>
          <w:color w:val="auto"/>
        </w:rPr>
      </w:pPr>
      <w:r>
        <w:rPr>
          <w:rFonts w:ascii="Arial" w:cs="Arial" w:eastAsia="Arial" w:hAnsi="Arial"/>
          <w:sz w:val="22"/>
          <w:szCs w:val="22"/>
          <w:color w:val="auto"/>
        </w:rPr>
        <w:t>As part of our effort to better understand our shareholders’ perspectives, we regularly engage with our shareholders, seeking their input and views on various matters. Since our 2021 Annual Meeting of Shareholders, non-employee directors and members of senior management have conducted comprehensive shareholder engagement. We reached out to shareholders representing approximately 50% of our outstanding shares, engaged with 22 different shareholders, representing approximately 40% of our outstanding shares, and the independent Lead Director led conversations with shareholders representing approximately 30% of our outstanding shares. In addition, we engaged with shareholders at roundtables and corporate governance forums. During the engagements, we discussed a variety of topics, including the Company’s business strategy, executive compensation and environmental, social and governance matters. These discussions were very productive, and we appreciate that our shareholders took the time to share their perspectives and questions with us. The Board values our shareholders’ perspectives, and the feedback we received during these conversations was shared with the Board, the People and Compensation Committee, and the Governance Committee, and it continues to inform our policies and practices. For more information on our shareholder engagement, see “Shareholder Engagement on Executive Compensation” on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113665</wp:posOffset>
            </wp:positionV>
            <wp:extent cx="6858000" cy="13970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right="120"/>
        <w:spacing w:after="0" w:line="255" w:lineRule="auto"/>
        <w:rPr>
          <w:sz w:val="20"/>
          <w:szCs w:val="20"/>
          <w:color w:val="auto"/>
        </w:rPr>
      </w:pPr>
      <w:r>
        <w:rPr>
          <w:rFonts w:ascii="Arial" w:cs="Arial" w:eastAsia="Arial" w:hAnsi="Arial"/>
          <w:sz w:val="21"/>
          <w:szCs w:val="21"/>
          <w:color w:val="auto"/>
        </w:rPr>
        <w:t xml:space="preserve">Interested parties may directly contact the Board, the independent Lead Director, any of the independent directors or any committee of the Board regarding matters relevant to the Board’s duties and responsibilities. Information about how to do so is available at </w:t>
      </w:r>
      <w:r>
        <w:rPr>
          <w:rFonts w:ascii="Arial" w:cs="Arial" w:eastAsia="Arial" w:hAnsi="Arial"/>
          <w:sz w:val="21"/>
          <w:szCs w:val="21"/>
          <w:i w:val="1"/>
          <w:iCs w:val="1"/>
          <w:color w:val="582C83"/>
        </w:rPr>
        <w:t>www.mondelezinternational.com/investors/corporate-governance/contacting-the-board-and-reporting-wrongdoings</w:t>
      </w:r>
      <w:r>
        <w:rPr>
          <w:rFonts w:ascii="Arial" w:cs="Arial" w:eastAsia="Arial" w:hAnsi="Arial"/>
          <w:sz w:val="21"/>
          <w:szCs w:val="21"/>
          <w:color w:val="000000"/>
        </w:rPr>
        <w:t>. The independent Lead Director is available for consultation with our major shareholders.</w:t>
      </w:r>
    </w:p>
    <w:p>
      <w:pPr>
        <w:spacing w:after="0" w:line="135" w:lineRule="exact"/>
        <w:rPr>
          <w:sz w:val="20"/>
          <w:szCs w:val="20"/>
          <w:color w:val="auto"/>
        </w:rPr>
      </w:pPr>
    </w:p>
    <w:p>
      <w:pPr>
        <w:ind w:left="40" w:right="140"/>
        <w:spacing w:after="0" w:line="236" w:lineRule="auto"/>
        <w:rPr>
          <w:sz w:val="20"/>
          <w:szCs w:val="20"/>
          <w:color w:val="auto"/>
        </w:rPr>
      </w:pPr>
      <w:r>
        <w:rPr>
          <w:rFonts w:ascii="Arial" w:cs="Arial" w:eastAsia="Arial" w:hAnsi="Arial"/>
          <w:sz w:val="22"/>
          <w:szCs w:val="22"/>
          <w:color w:val="auto"/>
        </w:rPr>
        <w:t>The Corporate Secretary forwards communications relating to matters within the Board’s purview to the independent Lead Director or appropriate independent director(s), and communications relating to matters within a Board committee’s area of responsibility to the chair of the appropriate committee. Communications relating to ordinary business matters, such as suggestions, inquiries and consumer complaints, are forwarded to the appropriate Mondelēz International executive or employee and made available to any independent director who requests them. We do not forward solicitations, junk mail, or frivolous or inappropriate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123190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48" w:name="page49"/>
    <w:bookmarkEnd w:id="48"/>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37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68655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47"/>
          <w:szCs w:val="47"/>
          <w:b w:val="1"/>
          <w:bCs w:val="1"/>
          <w:color w:val="582C83"/>
        </w:rPr>
        <w:t>BOARD COMMITTEES AND MEMBERSHIP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60" w:right="920"/>
        <w:spacing w:after="0" w:line="262" w:lineRule="auto"/>
        <w:rPr>
          <w:sz w:val="20"/>
          <w:szCs w:val="20"/>
          <w:color w:val="auto"/>
        </w:rPr>
      </w:pPr>
      <w:r>
        <w:rPr>
          <w:rFonts w:ascii="Arial" w:cs="Arial" w:eastAsia="Arial" w:hAnsi="Arial"/>
          <w:sz w:val="21"/>
          <w:szCs w:val="21"/>
          <w:color w:val="auto"/>
        </w:rPr>
        <w:t>The Governance Committee considers and makes recommendations to the Board regarding the Board’s committee structure and membership. The Board establishes its committee structure and designates the committee members and chairs after consideration of the Governance Committee’s recommendations.</w:t>
      </w:r>
    </w:p>
    <w:p>
      <w:pPr>
        <w:spacing w:after="0" w:line="127" w:lineRule="exact"/>
        <w:rPr>
          <w:sz w:val="20"/>
          <w:szCs w:val="20"/>
          <w:color w:val="auto"/>
        </w:rPr>
      </w:pPr>
    </w:p>
    <w:p>
      <w:pPr>
        <w:ind w:left="360" w:right="420"/>
        <w:spacing w:after="0" w:line="238" w:lineRule="auto"/>
        <w:rPr>
          <w:sz w:val="20"/>
          <w:szCs w:val="20"/>
          <w:color w:val="auto"/>
        </w:rPr>
      </w:pPr>
      <w:r>
        <w:rPr>
          <w:rFonts w:ascii="Arial" w:cs="Arial" w:eastAsia="Arial" w:hAnsi="Arial"/>
          <w:sz w:val="22"/>
          <w:szCs w:val="22"/>
          <w:color w:val="auto"/>
        </w:rPr>
        <w:t xml:space="preserve">The Board currently has four standing committees: Audit; Finance; Governance, Membership and Sustainability; and People and Compensation. The Board has adopted a written charter for each standing committee. The charters, which are available on our website at </w:t>
      </w:r>
      <w:r>
        <w:rPr>
          <w:rFonts w:ascii="Arial" w:cs="Arial" w:eastAsia="Arial" w:hAnsi="Arial"/>
          <w:sz w:val="22"/>
          <w:szCs w:val="22"/>
          <w:i w:val="1"/>
          <w:iCs w:val="1"/>
          <w:color w:val="582C83"/>
        </w:rPr>
        <w:t>www.mondelezinternational.com/investors/corporate-governance</w:t>
      </w:r>
      <w:r>
        <w:rPr>
          <w:rFonts w:ascii="Arial" w:cs="Arial" w:eastAsia="Arial" w:hAnsi="Arial"/>
          <w:sz w:val="22"/>
          <w:szCs w:val="22"/>
          <w:color w:val="000000"/>
        </w:rPr>
        <w:t>, define the committees’ respective roles and</w:t>
      </w:r>
      <w:r>
        <w:rPr>
          <w:rFonts w:ascii="Arial" w:cs="Arial" w:eastAsia="Arial" w:hAnsi="Arial"/>
          <w:sz w:val="22"/>
          <w:szCs w:val="22"/>
          <w:i w:val="1"/>
          <w:iCs w:val="1"/>
          <w:color w:val="582C83"/>
        </w:rPr>
        <w:t xml:space="preserve"> </w:t>
      </w:r>
      <w:r>
        <w:rPr>
          <w:rFonts w:ascii="Arial" w:cs="Arial" w:eastAsia="Arial" w:hAnsi="Arial"/>
          <w:sz w:val="22"/>
          <w:szCs w:val="22"/>
          <w:color w:val="000000"/>
        </w:rPr>
        <w:t>responsibilities. All committee members and chairs are independent.</w:t>
      </w:r>
    </w:p>
    <w:p>
      <w:pPr>
        <w:spacing w:after="0" w:line="150" w:lineRule="exact"/>
        <w:rPr>
          <w:sz w:val="20"/>
          <w:szCs w:val="20"/>
          <w:color w:val="auto"/>
        </w:rPr>
      </w:pPr>
    </w:p>
    <w:p>
      <w:pPr>
        <w:ind w:left="360" w:right="420"/>
        <w:spacing w:after="0"/>
        <w:rPr>
          <w:sz w:val="20"/>
          <w:szCs w:val="20"/>
          <w:color w:val="auto"/>
        </w:rPr>
      </w:pPr>
      <w:r>
        <w:rPr>
          <w:rFonts w:ascii="Arial" w:cs="Arial" w:eastAsia="Arial" w:hAnsi="Arial"/>
          <w:sz w:val="22"/>
          <w:szCs w:val="22"/>
          <w:color w:val="auto"/>
        </w:rPr>
        <w:t>Committee chairs approve agendas and materials for their committee meetings. Each committee meets regularly in executive session without management. Committees may retain outside legal, financial and other advisors at the Company’s expense. In addition, directors may attend the meetings of any committee of which they are not a member.</w:t>
      </w:r>
    </w:p>
    <w:p>
      <w:pPr>
        <w:spacing w:after="0" w:line="146" w:lineRule="exact"/>
        <w:rPr>
          <w:sz w:val="20"/>
          <w:szCs w:val="20"/>
          <w:color w:val="auto"/>
        </w:rPr>
      </w:pPr>
    </w:p>
    <w:p>
      <w:pPr>
        <w:ind w:left="320"/>
        <w:spacing w:after="0"/>
        <w:rPr>
          <w:sz w:val="20"/>
          <w:szCs w:val="20"/>
          <w:color w:val="auto"/>
        </w:rPr>
      </w:pPr>
      <w:r>
        <w:rPr>
          <w:sz w:val="1"/>
          <w:szCs w:val="1"/>
          <w:color w:val="auto"/>
        </w:rPr>
        <w:drawing>
          <wp:inline distT="0" distB="0" distL="0" distR="0">
            <wp:extent cx="171450" cy="1714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Committee Membership</w:t>
      </w:r>
    </w:p>
    <w:p>
      <w:pPr>
        <w:spacing w:after="0" w:line="252"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As of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23495</wp:posOffset>
            </wp:positionV>
            <wp:extent cx="380619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06190" cy="26035"/>
                    </a:xfrm>
                    <a:prstGeom prst="rect">
                      <a:avLst/>
                    </a:prstGeom>
                    <a:noFill/>
                  </pic:spPr>
                </pic:pic>
              </a:graphicData>
            </a:graphic>
          </wp:anchor>
        </w:drawing>
      </w:r>
    </w:p>
    <w:p>
      <w:pPr>
        <w:spacing w:after="0" w:line="93" w:lineRule="exact"/>
        <w:rPr>
          <w:sz w:val="20"/>
          <w:szCs w:val="20"/>
          <w:color w:val="auto"/>
        </w:rPr>
      </w:pPr>
    </w:p>
    <w:tbl>
      <w:tblPr>
        <w:tblLayout w:type="fixed"/>
        <w:tblInd w:w="518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Governance,</w:t>
            </w:r>
          </w:p>
        </w:tc>
        <w:tc>
          <w:tcPr>
            <w:tcW w:w="1320" w:type="dxa"/>
            <w:vAlign w:val="bottom"/>
          </w:tcPr>
          <w:p>
            <w:pPr>
              <w:spacing w:after="0"/>
              <w:rPr>
                <w:sz w:val="18"/>
                <w:szCs w:val="18"/>
                <w:color w:val="auto"/>
              </w:rPr>
            </w:pPr>
          </w:p>
        </w:tc>
      </w:tr>
      <w:tr>
        <w:trPr>
          <w:trHeight w:val="243"/>
        </w:trPr>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Membership and</w:t>
            </w:r>
          </w:p>
        </w:tc>
        <w:tc>
          <w:tcPr>
            <w:tcW w:w="1320" w:type="dxa"/>
            <w:vAlign w:val="bottom"/>
          </w:tcPr>
          <w:p>
            <w:pPr>
              <w:jc w:val="center"/>
              <w:ind w:left="12"/>
              <w:spacing w:after="0"/>
              <w:rPr>
                <w:sz w:val="20"/>
                <w:szCs w:val="20"/>
                <w:color w:val="auto"/>
              </w:rPr>
            </w:pPr>
            <w:r>
              <w:rPr>
                <w:rFonts w:ascii="Arial" w:cs="Arial" w:eastAsia="Arial" w:hAnsi="Arial"/>
                <w:sz w:val="18"/>
                <w:szCs w:val="18"/>
                <w:b w:val="1"/>
                <w:bCs w:val="1"/>
                <w:color w:val="auto"/>
                <w:w w:val="97"/>
              </w:rPr>
              <w:t>People and</w:t>
            </w:r>
          </w:p>
        </w:tc>
      </w:tr>
      <w:tr>
        <w:trPr>
          <w:trHeight w:val="243"/>
        </w:trPr>
        <w:tc>
          <w:tcPr>
            <w:tcW w:w="1180" w:type="dxa"/>
            <w:vAlign w:val="bottom"/>
          </w:tcPr>
          <w:p>
            <w:pPr>
              <w:jc w:val="center"/>
              <w:ind w:right="232"/>
              <w:spacing w:after="0"/>
              <w:rPr>
                <w:sz w:val="20"/>
                <w:szCs w:val="20"/>
                <w:color w:val="auto"/>
              </w:rPr>
            </w:pPr>
            <w:r>
              <w:rPr>
                <w:rFonts w:ascii="Arial" w:cs="Arial" w:eastAsia="Arial" w:hAnsi="Arial"/>
                <w:sz w:val="18"/>
                <w:szCs w:val="18"/>
                <w:b w:val="1"/>
                <w:bCs w:val="1"/>
                <w:color w:val="auto"/>
                <w:w w:val="99"/>
              </w:rPr>
              <w:t>Audit</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Finance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Sustainability</w:t>
            </w:r>
          </w:p>
        </w:tc>
        <w:tc>
          <w:tcPr>
            <w:tcW w:w="1320" w:type="dxa"/>
            <w:vAlign w:val="bottom"/>
          </w:tcPr>
          <w:p>
            <w:pPr>
              <w:jc w:val="center"/>
              <w:ind w:left="12"/>
              <w:spacing w:after="0"/>
              <w:rPr>
                <w:sz w:val="20"/>
                <w:szCs w:val="20"/>
                <w:color w:val="auto"/>
              </w:rPr>
            </w:pPr>
            <w:r>
              <w:rPr>
                <w:rFonts w:ascii="Arial" w:cs="Arial" w:eastAsia="Arial" w:hAnsi="Arial"/>
                <w:sz w:val="18"/>
                <w:szCs w:val="18"/>
                <w:b w:val="1"/>
                <w:bCs w:val="1"/>
                <w:color w:val="auto"/>
                <w:w w:val="97"/>
              </w:rPr>
              <w:t>Compensation</w:t>
            </w:r>
          </w:p>
        </w:tc>
      </w:tr>
      <w:tr>
        <w:trPr>
          <w:trHeight w:val="241"/>
        </w:trPr>
        <w:tc>
          <w:tcPr>
            <w:tcW w:w="118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Committee</w:t>
            </w:r>
          </w:p>
        </w:tc>
        <w:tc>
          <w:tcPr>
            <w:tcW w:w="1380" w:type="dxa"/>
            <w:vAlign w:val="bottom"/>
          </w:tcPr>
          <w:p>
            <w:pPr>
              <w:jc w:val="center"/>
              <w:ind w:left="12"/>
              <w:spacing w:after="0"/>
              <w:rPr>
                <w:sz w:val="20"/>
                <w:szCs w:val="20"/>
                <w:color w:val="auto"/>
              </w:rPr>
            </w:pPr>
            <w:r>
              <w:rPr>
                <w:rFonts w:ascii="Arial" w:cs="Arial" w:eastAsia="Arial" w:hAnsi="Arial"/>
                <w:sz w:val="18"/>
                <w:szCs w:val="18"/>
                <w:b w:val="1"/>
                <w:bCs w:val="1"/>
                <w:color w:val="auto"/>
                <w:w w:val="98"/>
              </w:rPr>
              <w:t>Committee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320" w:type="dxa"/>
            <w:vAlign w:val="bottom"/>
          </w:tcPr>
          <w:p>
            <w:pPr>
              <w:jc w:val="center"/>
              <w:ind w:left="12"/>
              <w:spacing w:after="0"/>
              <w:rPr>
                <w:sz w:val="20"/>
                <w:szCs w:val="20"/>
                <w:color w:val="auto"/>
              </w:rPr>
            </w:pPr>
            <w:r>
              <w:rPr>
                <w:rFonts w:ascii="Arial" w:cs="Arial" w:eastAsia="Arial" w:hAnsi="Arial"/>
                <w:sz w:val="18"/>
                <w:szCs w:val="18"/>
                <w:b w:val="1"/>
                <w:bCs w:val="1"/>
                <w:color w:val="auto"/>
                <w:w w:val="96"/>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wp:posOffset>
            </wp:positionV>
            <wp:extent cx="6694805" cy="2400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94805" cy="240030"/>
                    </a:xfrm>
                    <a:prstGeom prst="rect">
                      <a:avLst/>
                    </a:prstGeom>
                    <a:noFill/>
                  </pic:spPr>
                </pic:pic>
              </a:graphicData>
            </a:graphic>
          </wp:anchor>
        </w:drawing>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Lewis W.K.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73660</wp:posOffset>
            </wp:positionV>
            <wp:extent cx="9398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Charles E. Bunch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6408420</wp:posOffset>
            </wp:positionH>
            <wp:positionV relativeFrom="paragraph">
              <wp:posOffset>-105410</wp:posOffset>
            </wp:positionV>
            <wp:extent cx="85725"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39370</wp:posOffset>
            </wp:positionV>
            <wp:extent cx="6694805" cy="2311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94805" cy="231140"/>
                    </a:xfrm>
                    <a:prstGeom prst="rect">
                      <a:avLst/>
                    </a:prstGeom>
                    <a:noFill/>
                  </pic:spPr>
                </pic:pic>
              </a:graphicData>
            </a:graphic>
          </wp:anchor>
        </w:drawing>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Ertharin Cousin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73660</wp:posOffset>
            </wp:positionV>
            <wp:extent cx="9398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Lois D. Juliber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-105410</wp:posOffset>
            </wp:positionV>
            <wp:extent cx="85725"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39370</wp:posOffset>
            </wp:positionV>
            <wp:extent cx="6694805" cy="231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94805" cy="231775"/>
                    </a:xfrm>
                    <a:prstGeom prst="rect">
                      <a:avLst/>
                    </a:prstGeom>
                    <a:noFill/>
                  </pic:spPr>
                </pic:pic>
              </a:graphicData>
            </a:graphic>
          </wp:anchor>
        </w:drawing>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Peter W. May*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Jorge S. Mesquita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-105410</wp:posOffset>
            </wp:positionV>
            <wp:extent cx="85725"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-105410</wp:posOffset>
            </wp:positionV>
            <wp:extent cx="85725"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39370</wp:posOffset>
            </wp:positionV>
            <wp:extent cx="6694805" cy="231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94805" cy="231775"/>
                    </a:xfrm>
                    <a:prstGeom prst="rect">
                      <a:avLst/>
                    </a:prstGeom>
                    <a:noFill/>
                  </pic:spPr>
                </pic:pic>
              </a:graphicData>
            </a:graphic>
          </wp:anchor>
        </w:drawing>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Jane Hamilton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73660</wp:posOffset>
            </wp:positionV>
            <wp:extent cx="93980" cy="163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-105410</wp:posOffset>
            </wp:positionV>
            <wp:extent cx="85725"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39370</wp:posOffset>
            </wp:positionV>
            <wp:extent cx="6694805" cy="2317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94805" cy="231775"/>
                    </a:xfrm>
                    <a:prstGeom prst="rect">
                      <a:avLst/>
                    </a:prstGeom>
                    <a:noFill/>
                  </pic:spPr>
                </pic:pic>
              </a:graphicData>
            </a:graphic>
          </wp:anchor>
        </w:drawing>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Christiana S.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73660</wp:posOffset>
            </wp:positionV>
            <wp:extent cx="93980" cy="162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162560"/>
                    </a:xfrm>
                    <a:prstGeom prst="rect">
                      <a:avLst/>
                    </a:prstGeom>
                    <a:noFill/>
                  </pic:spPr>
                </pic:pic>
              </a:graphicData>
            </a:graphic>
          </wp:anchor>
        </w:drawing>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Patrick T. Siewert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-105410</wp:posOffset>
            </wp:positionV>
            <wp:extent cx="85725"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39370</wp:posOffset>
            </wp:positionV>
            <wp:extent cx="6694805" cy="2317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94805" cy="231775"/>
                    </a:xfrm>
                    <a:prstGeom prst="rect">
                      <a:avLst/>
                    </a:prstGeom>
                    <a:noFill/>
                  </pic:spPr>
                </pic:pic>
              </a:graphicData>
            </a:graphic>
          </wp:anchor>
        </w:drawing>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A. Todman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Jean-François M. L. van Boxmeer*</w:t>
      </w:r>
      <w:r>
        <w:rPr>
          <w:rFonts w:ascii="Arial" w:cs="Arial" w:eastAsia="Arial" w:hAnsi="Arial"/>
          <w:sz w:val="21"/>
          <w:szCs w:val="21"/>
          <w:color w:val="auto"/>
          <w:vertAlign w:val="superscript"/>
        </w:rPr>
        <w:t>+</w:t>
      </w:r>
    </w:p>
    <w:p>
      <w:pPr>
        <w:spacing w:after="0" w:line="28" w:lineRule="exact"/>
        <w:rPr>
          <w:sz w:val="20"/>
          <w:szCs w:val="20"/>
          <w:color w:val="auto"/>
        </w:rPr>
      </w:pPr>
    </w:p>
    <w:tbl>
      <w:tblPr>
        <w:tblLayout w:type="fixed"/>
        <w:tblInd w:w="360" w:type="dxa"/>
        <w:tblCellMar>
          <w:top w:w="0" w:type="dxa"/>
          <w:left w:w="0" w:type="dxa"/>
          <w:bottom w:w="0" w:type="dxa"/>
          <w:right w:w="0" w:type="dxa"/>
        </w:tblCellMar>
      </w:tblPr>
      <w:tr>
        <w:trPr>
          <w:trHeight w:val="298"/>
        </w:trPr>
        <w:tc>
          <w:tcPr>
            <w:tcW w:w="4540" w:type="dxa"/>
            <w:vAlign w:val="bottom"/>
            <w:tcBorders>
              <w:top w:val="single" w:sz="8" w:color="582C83"/>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582C83"/>
              </w:rPr>
              <w:t>Total Number of Committee Meetings During 2021</w:t>
            </w:r>
          </w:p>
        </w:tc>
        <w:tc>
          <w:tcPr>
            <w:tcW w:w="1470" w:type="dxa"/>
            <w:vAlign w:val="bottom"/>
            <w:tcBorders>
              <w:top w:val="single" w:sz="8" w:color="582C83"/>
              <w:bottom w:val="single" w:sz="8" w:color="EBE6F0"/>
            </w:tcBorders>
            <w:shd w:val="clear" w:color="auto" w:fill="EBE6F0"/>
          </w:tcPr>
          <w:p>
            <w:pPr>
              <w:jc w:val="right"/>
              <w:ind w:right="542"/>
              <w:spacing w:after="0"/>
              <w:rPr>
                <w:sz w:val="20"/>
                <w:szCs w:val="20"/>
                <w:color w:val="auto"/>
              </w:rPr>
            </w:pPr>
            <w:r>
              <w:rPr>
                <w:rFonts w:ascii="Arial" w:cs="Arial" w:eastAsia="Arial" w:hAnsi="Arial"/>
                <w:sz w:val="18"/>
                <w:szCs w:val="18"/>
                <w:b w:val="1"/>
                <w:bCs w:val="1"/>
                <w:color w:val="582C83"/>
              </w:rPr>
              <w:t>10</w:t>
            </w:r>
          </w:p>
        </w:tc>
        <w:tc>
          <w:tcPr>
            <w:tcW w:w="1480" w:type="dxa"/>
            <w:vAlign w:val="bottom"/>
            <w:tcBorders>
              <w:top w:val="single" w:sz="8" w:color="582C83"/>
              <w:bottom w:val="single" w:sz="8" w:color="EBE6F0"/>
            </w:tcBorders>
            <w:shd w:val="clear" w:color="auto" w:fill="EBE6F0"/>
          </w:tcPr>
          <w:p>
            <w:pPr>
              <w:jc w:val="right"/>
              <w:ind w:right="542"/>
              <w:spacing w:after="0"/>
              <w:rPr>
                <w:sz w:val="20"/>
                <w:szCs w:val="20"/>
                <w:color w:val="auto"/>
              </w:rPr>
            </w:pPr>
            <w:r>
              <w:rPr>
                <w:rFonts w:ascii="Arial" w:cs="Arial" w:eastAsia="Arial" w:hAnsi="Arial"/>
                <w:sz w:val="18"/>
                <w:szCs w:val="18"/>
                <w:b w:val="1"/>
                <w:bCs w:val="1"/>
                <w:color w:val="582C83"/>
              </w:rPr>
              <w:t>7**</w:t>
            </w:r>
          </w:p>
        </w:tc>
        <w:tc>
          <w:tcPr>
            <w:tcW w:w="1580" w:type="dxa"/>
            <w:vAlign w:val="bottom"/>
            <w:tcBorders>
              <w:top w:val="single" w:sz="8" w:color="582C83"/>
              <w:bottom w:val="single" w:sz="8" w:color="EBE6F0"/>
            </w:tcBorders>
            <w:shd w:val="clear" w:color="auto" w:fill="EBE6F0"/>
          </w:tcPr>
          <w:p>
            <w:pPr>
              <w:jc w:val="right"/>
              <w:ind w:right="662"/>
              <w:spacing w:after="0"/>
              <w:rPr>
                <w:sz w:val="20"/>
                <w:szCs w:val="20"/>
                <w:color w:val="auto"/>
              </w:rPr>
            </w:pPr>
            <w:r>
              <w:rPr>
                <w:rFonts w:ascii="Arial" w:cs="Arial" w:eastAsia="Arial" w:hAnsi="Arial"/>
                <w:sz w:val="18"/>
                <w:szCs w:val="18"/>
                <w:b w:val="1"/>
                <w:bCs w:val="1"/>
                <w:color w:val="582C83"/>
              </w:rPr>
              <w:t>6</w:t>
            </w:r>
          </w:p>
        </w:tc>
        <w:tc>
          <w:tcPr>
            <w:tcW w:w="1470" w:type="dxa"/>
            <w:vAlign w:val="bottom"/>
            <w:tcBorders>
              <w:top w:val="single" w:sz="8" w:color="582C83"/>
              <w:bottom w:val="single" w:sz="8" w:color="EBE6F0"/>
            </w:tcBorders>
            <w:shd w:val="clear" w:color="auto" w:fill="EBE6F0"/>
          </w:tcPr>
          <w:p>
            <w:pPr>
              <w:jc w:val="right"/>
              <w:ind w:right="612"/>
              <w:spacing w:after="0"/>
              <w:rPr>
                <w:sz w:val="20"/>
                <w:szCs w:val="20"/>
                <w:color w:val="auto"/>
              </w:rPr>
            </w:pPr>
            <w:r>
              <w:rPr>
                <w:rFonts w:ascii="Arial" w:cs="Arial" w:eastAsia="Arial" w:hAnsi="Arial"/>
                <w:sz w:val="18"/>
                <w:szCs w:val="18"/>
                <w:b w:val="1"/>
                <w:bCs w:val="1"/>
                <w:color w:val="582C83"/>
              </w:rPr>
              <w:t>7</w:t>
            </w:r>
          </w:p>
        </w:tc>
      </w:tr>
      <w:tr>
        <w:trPr>
          <w:trHeight w:val="27"/>
        </w:trPr>
        <w:tc>
          <w:tcPr>
            <w:tcW w:w="4540" w:type="dxa"/>
            <w:vAlign w:val="bottom"/>
            <w:shd w:val="clear" w:color="auto" w:fill="582C83"/>
          </w:tcPr>
          <w:p>
            <w:pPr>
              <w:spacing w:after="0"/>
              <w:rPr>
                <w:sz w:val="2"/>
                <w:szCs w:val="2"/>
                <w:color w:val="auto"/>
              </w:rPr>
            </w:pPr>
          </w:p>
        </w:tc>
        <w:tc>
          <w:tcPr>
            <w:tcW w:w="1470" w:type="dxa"/>
            <w:vAlign w:val="bottom"/>
            <w:shd w:val="clear" w:color="auto" w:fill="582C83"/>
          </w:tcPr>
          <w:p>
            <w:pPr>
              <w:spacing w:after="0"/>
              <w:rPr>
                <w:sz w:val="2"/>
                <w:szCs w:val="2"/>
                <w:color w:val="auto"/>
              </w:rPr>
            </w:pPr>
          </w:p>
        </w:tc>
        <w:tc>
          <w:tcPr>
            <w:tcW w:w="1480" w:type="dxa"/>
            <w:vAlign w:val="bottom"/>
            <w:shd w:val="clear" w:color="auto" w:fill="582C83"/>
          </w:tcPr>
          <w:p>
            <w:pPr>
              <w:spacing w:after="0"/>
              <w:rPr>
                <w:sz w:val="2"/>
                <w:szCs w:val="2"/>
                <w:color w:val="auto"/>
              </w:rPr>
            </w:pPr>
          </w:p>
        </w:tc>
        <w:tc>
          <w:tcPr>
            <w:tcW w:w="1580" w:type="dxa"/>
            <w:vAlign w:val="bottom"/>
            <w:shd w:val="clear" w:color="auto" w:fill="582C83"/>
          </w:tcPr>
          <w:p>
            <w:pPr>
              <w:spacing w:after="0"/>
              <w:rPr>
                <w:sz w:val="2"/>
                <w:szCs w:val="2"/>
                <w:color w:val="auto"/>
              </w:rPr>
            </w:pPr>
          </w:p>
        </w:tc>
        <w:tc>
          <w:tcPr>
            <w:tcW w:w="1470" w:type="dxa"/>
            <w:vAlign w:val="bottom"/>
            <w:shd w:val="clear" w:color="auto" w:fill="582C83"/>
          </w:tcPr>
          <w:p>
            <w:pPr>
              <w:spacing w:after="0"/>
              <w:rPr>
                <w:sz w:val="2"/>
                <w:szCs w:val="2"/>
                <w:color w:val="auto"/>
              </w:rPr>
            </w:pPr>
          </w:p>
        </w:tc>
      </w:tr>
    </w:tbl>
    <w:p>
      <w:pPr>
        <w:spacing w:after="0" w:line="67" w:lineRule="exact"/>
        <w:rPr>
          <w:sz w:val="20"/>
          <w:szCs w:val="20"/>
          <w:color w:val="auto"/>
        </w:rPr>
      </w:pPr>
    </w:p>
    <w:p>
      <w:pPr>
        <w:ind w:left="420" w:right="2200" w:firstLine="6"/>
        <w:spacing w:after="0" w:line="299" w:lineRule="auto"/>
        <w:tabs>
          <w:tab w:leader="none" w:pos="7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Peter W. May, Fredric G. Reynolds and Jean-François M. L. van Boxmeer will not stand for re-election to the Board. ** The Finance Committee acted once by unanimous written consent.</w:t>
      </w: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   As Lead Director, Mr. van Boxmeer is an </w:t>
      </w:r>
      <w:r>
        <w:rPr>
          <w:rFonts w:ascii="Arial" w:cs="Arial" w:eastAsia="Arial" w:hAnsi="Arial"/>
          <w:sz w:val="16"/>
          <w:szCs w:val="16"/>
          <w:i w:val="1"/>
          <w:iCs w:val="1"/>
          <w:color w:val="auto"/>
        </w:rPr>
        <w:t>ex-officio</w:t>
      </w:r>
      <w:r>
        <w:rPr>
          <w:rFonts w:ascii="Arial" w:cs="Arial" w:eastAsia="Arial" w:hAnsi="Arial"/>
          <w:sz w:val="16"/>
          <w:szCs w:val="16"/>
          <w:color w:val="auto"/>
        </w:rPr>
        <w:t xml:space="preserve"> non-voting member of all committees.</w:t>
      </w:r>
    </w:p>
    <w:p>
      <w:pPr>
        <w:spacing w:after="0" w:line="30" w:lineRule="exact"/>
        <w:rPr>
          <w:rFonts w:ascii="Arial" w:cs="Arial" w:eastAsia="Arial" w:hAnsi="Arial"/>
          <w:sz w:val="16"/>
          <w:szCs w:val="16"/>
          <w:color w:val="auto"/>
        </w:rPr>
      </w:pPr>
    </w:p>
    <w:p>
      <w:pPr>
        <w:ind w:left="420"/>
        <w:spacing w:after="0" w:line="184" w:lineRule="auto"/>
        <w:rPr>
          <w:rFonts w:ascii="Arial" w:cs="Arial" w:eastAsia="Arial" w:hAnsi="Arial"/>
          <w:sz w:val="16"/>
          <w:szCs w:val="16"/>
          <w:color w:val="auto"/>
        </w:rPr>
      </w:pPr>
      <w:r>
        <w:rPr>
          <w:rFonts w:ascii="Arial" w:cs="Arial" w:eastAsia="Arial" w:hAnsi="Arial"/>
          <w:sz w:val="37"/>
          <w:szCs w:val="37"/>
          <w:color w:val="572C83"/>
          <w:vertAlign w:val="subscript"/>
        </w:rPr>
        <w:t>•</w:t>
      </w:r>
      <w:r>
        <w:rPr>
          <w:rFonts w:ascii="Arial" w:cs="Arial" w:eastAsia="Arial" w:hAnsi="Arial"/>
          <w:sz w:val="15"/>
          <w:szCs w:val="15"/>
          <w:color w:val="auto"/>
        </w:rPr>
        <w:t xml:space="preserve">  Member</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-81280</wp:posOffset>
            </wp:positionV>
            <wp:extent cx="93980"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16319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965" w:gutter="0" w:footer="0" w:header="0"/>
        </w:sectPr>
      </w:pPr>
    </w:p>
    <w:bookmarkStart w:id="49" w:name="page50"/>
    <w:bookmarkEnd w:id="49"/>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Audit Committee</w:t>
      </w:r>
    </w:p>
    <w:p>
      <w:pPr>
        <w:spacing w:after="0" w:line="187" w:lineRule="exact"/>
        <w:rPr>
          <w:sz w:val="20"/>
          <w:szCs w:val="20"/>
          <w:color w:val="auto"/>
        </w:rPr>
      </w:pPr>
    </w:p>
    <w:p>
      <w:pPr>
        <w:ind w:left="40" w:right="60"/>
        <w:spacing w:after="0" w:line="246" w:lineRule="auto"/>
        <w:rPr>
          <w:sz w:val="20"/>
          <w:szCs w:val="20"/>
          <w:color w:val="auto"/>
        </w:rPr>
      </w:pPr>
      <w:r>
        <w:rPr>
          <w:rFonts w:ascii="Arial" w:cs="Arial" w:eastAsia="Arial" w:hAnsi="Arial"/>
          <w:sz w:val="21"/>
          <w:szCs w:val="21"/>
          <w:color w:val="auto"/>
        </w:rPr>
        <w:t xml:space="preserve">The Board established the Audit Committee in accordance with Section 3(a)(58)(A) of the Securities Exchange Act of 1934 (the “Exchange Act”). The Board has determined that all of the Audit Committee members are independent within the meaning of the Nasdaq listing standards and Rule 10A-3 of the Exchange Act. The Board also determined that all Audit Committee members are able to read and understand financial statements in accordance with Nasdaq listing standards and are financially literate in accordance with the New York Stock Exchange listing standards. The Board has determined that director nominees Jane Hamilton Nielsen, Patrick T. Siewert and Michael A. Todman are </w:t>
      </w:r>
      <w:r>
        <w:rPr>
          <w:rFonts w:ascii="Arial" w:cs="Arial" w:eastAsia="Arial" w:hAnsi="Arial"/>
          <w:sz w:val="21"/>
          <w:szCs w:val="21"/>
          <w:i w:val="1"/>
          <w:iCs w:val="1"/>
          <w:color w:val="auto"/>
        </w:rPr>
        <w:t>“</w:t>
      </w:r>
      <w:r>
        <w:rPr>
          <w:rFonts w:ascii="Arial" w:cs="Arial" w:eastAsia="Arial" w:hAnsi="Arial"/>
          <w:sz w:val="21"/>
          <w:szCs w:val="21"/>
          <w:color w:val="auto"/>
        </w:rPr>
        <w:t>audit committee financial experts” within the meaning of SEC regulations and have financial sophistication in</w:t>
      </w:r>
      <w:r>
        <w:rPr>
          <w:rFonts w:ascii="Arial" w:cs="Arial" w:eastAsia="Arial" w:hAnsi="Arial"/>
          <w:sz w:val="21"/>
          <w:szCs w:val="21"/>
          <w:i w:val="1"/>
          <w:iCs w:val="1"/>
          <w:color w:val="auto"/>
        </w:rPr>
        <w:t xml:space="preserve"> </w:t>
      </w:r>
      <w:r>
        <w:rPr>
          <w:rFonts w:ascii="Arial" w:cs="Arial" w:eastAsia="Arial" w:hAnsi="Arial"/>
          <w:sz w:val="21"/>
          <w:szCs w:val="21"/>
          <w:color w:val="auto"/>
        </w:rPr>
        <w:t>accordance with Nasdaq listing standards. The Board has also determined that Frederic G. Reynolds, who will not stand for re-election, is also an audit committee financial expert within the meaning of the SEC regulations. No Audit Committee member received any payments in 2021 from us other than compensation for service as a director.</w:t>
      </w:r>
    </w:p>
    <w:p>
      <w:pPr>
        <w:spacing w:after="0" w:line="144"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Under its charter, the Audit Committee is responsible for overseeing our accounting and financial reporting processes and audits of our financial statements. The Audit Committee is directly responsible for the appointment, compensation, retention and oversight of our independent registered public accountants, including review of their qualifications, independence and performance.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Among other duties, the Audit Committee also oversees:</w:t>
      </w:r>
    </w:p>
    <w:p>
      <w:pPr>
        <w:spacing w:after="0" w:line="98" w:lineRule="exact"/>
        <w:rPr>
          <w:sz w:val="20"/>
          <w:szCs w:val="20"/>
          <w:color w:val="auto"/>
        </w:rPr>
      </w:pPr>
    </w:p>
    <w:p>
      <w:pPr>
        <w:ind w:left="260" w:right="600" w:hanging="212"/>
        <w:spacing w:after="0" w:line="259" w:lineRule="auto"/>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the integrity of our financial statements, our accounting and financial reporting processes, and our systems of internal control over financial reporting and safeguarding our assets;</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our compliance with legal and regulatory requirements;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the qualifications, independence and performance of our independent auditors;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the performance of our internal auditors and internal audit functions;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our safety priorities and goals, as well as ESG-related frameworks, disclosures, controls and assurance;</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our technology and cybersecurity risk, including risk mitigation; and</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0"/>
        </w:numPr>
        <w:rPr>
          <w:rFonts w:ascii="Arial" w:cs="Arial" w:eastAsia="Arial" w:hAnsi="Arial"/>
          <w:sz w:val="22"/>
          <w:szCs w:val="22"/>
          <w:color w:val="582C83"/>
        </w:rPr>
      </w:pPr>
      <w:r>
        <w:rPr>
          <w:rFonts w:ascii="Arial" w:cs="Arial" w:eastAsia="Arial" w:hAnsi="Arial"/>
          <w:sz w:val="22"/>
          <w:szCs w:val="22"/>
          <w:color w:val="auto"/>
        </w:rPr>
        <w:t>our guidelines and policies with respect to risk assessment and risk management.</w:t>
      </w:r>
    </w:p>
    <w:p>
      <w:pPr>
        <w:spacing w:after="0" w:line="179" w:lineRule="exact"/>
        <w:rPr>
          <w:sz w:val="20"/>
          <w:szCs w:val="20"/>
          <w:color w:val="auto"/>
        </w:rPr>
      </w:pPr>
    </w:p>
    <w:p>
      <w:pPr>
        <w:ind w:left="40" w:right="180"/>
        <w:spacing w:after="0" w:line="238" w:lineRule="auto"/>
        <w:rPr>
          <w:sz w:val="20"/>
          <w:szCs w:val="20"/>
          <w:color w:val="auto"/>
        </w:rPr>
      </w:pPr>
      <w:r>
        <w:rPr>
          <w:rFonts w:ascii="Arial" w:cs="Arial" w:eastAsia="Arial" w:hAnsi="Arial"/>
          <w:sz w:val="22"/>
          <w:szCs w:val="22"/>
          <w:color w:val="auto"/>
        </w:rPr>
        <w:t xml:space="preserve">The Audit Committee has established procedures for the receipt, retention and treatment, on a confidential basis, of any complaints we receive. We encourage employees and third-party individuals and organizations to report concerns about our accounting controls, auditing matters, or anything else that appears to involve financial or other wrongdoing. To report such matters, please visit </w:t>
      </w:r>
      <w:r>
        <w:rPr>
          <w:rFonts w:ascii="Arial" w:cs="Arial" w:eastAsia="Arial" w:hAnsi="Arial"/>
          <w:sz w:val="22"/>
          <w:szCs w:val="22"/>
          <w:i w:val="1"/>
          <w:iCs w:val="1"/>
          <w:color w:val="582C83"/>
        </w:rPr>
        <w:t>www.mondelezinternational.com/about-us/compliance-and-integrity</w:t>
      </w:r>
      <w:r>
        <w:rPr>
          <w:rFonts w:ascii="Arial" w:cs="Arial" w:eastAsia="Arial" w:hAnsi="Arial"/>
          <w:sz w:val="22"/>
          <w:szCs w:val="22"/>
          <w:color w:val="auto"/>
        </w:rPr>
        <w:t xml:space="preserve"> for information about reporting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50" w:name="page51"/>
    <w:bookmarkEnd w:id="50"/>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36130" cy="79248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6130" cy="792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582C83"/>
        </w:rPr>
        <w:t>AUDIT COMMITTEE REPORT FOR THE YEAR ENDED DECEMBER 31, 2021</w:t>
      </w:r>
    </w:p>
    <w:p>
      <w:pPr>
        <w:spacing w:after="0" w:line="103" w:lineRule="exact"/>
        <w:rPr>
          <w:sz w:val="20"/>
          <w:szCs w:val="20"/>
          <w:color w:val="auto"/>
        </w:rPr>
      </w:pPr>
    </w:p>
    <w:p>
      <w:pPr>
        <w:ind w:left="160" w:right="360"/>
        <w:spacing w:after="0" w:line="236" w:lineRule="auto"/>
        <w:rPr>
          <w:sz w:val="20"/>
          <w:szCs w:val="20"/>
          <w:color w:val="auto"/>
        </w:rPr>
      </w:pPr>
      <w:r>
        <w:rPr>
          <w:rFonts w:ascii="Arial" w:cs="Arial" w:eastAsia="Arial" w:hAnsi="Arial"/>
          <w:sz w:val="22"/>
          <w:szCs w:val="22"/>
          <w:color w:val="auto"/>
        </w:rPr>
        <w:t>Management has primary responsibility for Mondelēz International’s financial statements and the reporting process, including the systems of internal control over financial reporting. Our role as the Audit Committee of the Mondelēz International Board of Directors is to oversee Mondelēz International’s accounting and financial reporting processes and audits of its financial statements. We also emphasize the Board’s commitment to compliance and ethical conduct throughout the organization. In addition, in 2021 we assisted the Board in its oversight of:</w:t>
      </w:r>
    </w:p>
    <w:p>
      <w:pPr>
        <w:spacing w:after="0" w:line="74" w:lineRule="exact"/>
        <w:rPr>
          <w:sz w:val="20"/>
          <w:szCs w:val="20"/>
          <w:color w:val="auto"/>
        </w:rPr>
      </w:pPr>
    </w:p>
    <w:p>
      <w:pPr>
        <w:ind w:left="380" w:hanging="215"/>
        <w:spacing w:after="0"/>
        <w:tabs>
          <w:tab w:leader="none" w:pos="380" w:val="left"/>
        </w:tabs>
        <w:numPr>
          <w:ilvl w:val="0"/>
          <w:numId w:val="31"/>
        </w:numPr>
        <w:rPr>
          <w:rFonts w:ascii="Arial" w:cs="Arial" w:eastAsia="Arial" w:hAnsi="Arial"/>
          <w:sz w:val="22"/>
          <w:szCs w:val="22"/>
          <w:color w:val="582C83"/>
        </w:rPr>
      </w:pPr>
      <w:r>
        <w:rPr>
          <w:rFonts w:ascii="Arial" w:cs="Arial" w:eastAsia="Arial" w:hAnsi="Arial"/>
          <w:sz w:val="22"/>
          <w:szCs w:val="22"/>
          <w:color w:val="auto"/>
        </w:rPr>
        <w:t>Mondelēz International’s compliance with legal and regulatory requirements;</w:t>
      </w:r>
    </w:p>
    <w:p>
      <w:pPr>
        <w:spacing w:after="0" w:line="57" w:lineRule="exact"/>
        <w:rPr>
          <w:rFonts w:ascii="Arial" w:cs="Arial" w:eastAsia="Arial" w:hAnsi="Arial"/>
          <w:sz w:val="22"/>
          <w:szCs w:val="22"/>
          <w:color w:val="582C83"/>
        </w:rPr>
      </w:pPr>
    </w:p>
    <w:p>
      <w:pPr>
        <w:ind w:left="380" w:right="1140" w:hanging="215"/>
        <w:spacing w:after="0" w:line="259" w:lineRule="auto"/>
        <w:tabs>
          <w:tab w:leader="none" w:pos="380" w:val="left"/>
        </w:tabs>
        <w:numPr>
          <w:ilvl w:val="0"/>
          <w:numId w:val="31"/>
        </w:numPr>
        <w:rPr>
          <w:rFonts w:ascii="Arial" w:cs="Arial" w:eastAsia="Arial" w:hAnsi="Arial"/>
          <w:sz w:val="22"/>
          <w:szCs w:val="22"/>
          <w:color w:val="582C83"/>
        </w:rPr>
      </w:pPr>
      <w:r>
        <w:rPr>
          <w:rFonts w:ascii="Arial" w:cs="Arial" w:eastAsia="Arial" w:hAnsi="Arial"/>
          <w:sz w:val="22"/>
          <w:szCs w:val="22"/>
          <w:color w:val="auto"/>
        </w:rPr>
        <w:t>Mondelēz International’s independent registered public accountants’ qualifications, independence and performance;</w:t>
      </w:r>
    </w:p>
    <w:p>
      <w:pPr>
        <w:spacing w:after="0" w:line="7" w:lineRule="exact"/>
        <w:rPr>
          <w:rFonts w:ascii="Arial" w:cs="Arial" w:eastAsia="Arial" w:hAnsi="Arial"/>
          <w:sz w:val="22"/>
          <w:szCs w:val="22"/>
          <w:color w:val="582C83"/>
        </w:rPr>
      </w:pPr>
    </w:p>
    <w:p>
      <w:pPr>
        <w:ind w:left="380" w:hanging="215"/>
        <w:spacing w:after="0"/>
        <w:tabs>
          <w:tab w:leader="none" w:pos="380" w:val="left"/>
        </w:tabs>
        <w:numPr>
          <w:ilvl w:val="0"/>
          <w:numId w:val="31"/>
        </w:numPr>
        <w:rPr>
          <w:rFonts w:ascii="Arial" w:cs="Arial" w:eastAsia="Arial" w:hAnsi="Arial"/>
          <w:sz w:val="22"/>
          <w:szCs w:val="22"/>
          <w:color w:val="582C83"/>
        </w:rPr>
      </w:pPr>
      <w:r>
        <w:rPr>
          <w:rFonts w:ascii="Arial" w:cs="Arial" w:eastAsia="Arial" w:hAnsi="Arial"/>
          <w:sz w:val="22"/>
          <w:szCs w:val="22"/>
          <w:color w:val="auto"/>
        </w:rPr>
        <w:t>The performance of Mondelēz International’s internal auditor and the internal audit function; and</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1"/>
        </w:numPr>
        <w:rPr>
          <w:rFonts w:ascii="Arial" w:cs="Arial" w:eastAsia="Arial" w:hAnsi="Arial"/>
          <w:sz w:val="22"/>
          <w:szCs w:val="22"/>
          <w:color w:val="582C83"/>
        </w:rPr>
      </w:pPr>
      <w:r>
        <w:rPr>
          <w:rFonts w:ascii="Arial" w:cs="Arial" w:eastAsia="Arial" w:hAnsi="Arial"/>
          <w:sz w:val="22"/>
          <w:szCs w:val="22"/>
          <w:color w:val="auto"/>
        </w:rPr>
        <w:t>Mondelēz International’s risk assessment and risk management guidelines and policies.</w:t>
      </w:r>
    </w:p>
    <w:p>
      <w:pPr>
        <w:spacing w:after="0" w:line="58" w:lineRule="exact"/>
        <w:rPr>
          <w:sz w:val="20"/>
          <w:szCs w:val="20"/>
          <w:color w:val="auto"/>
        </w:rPr>
      </w:pPr>
    </w:p>
    <w:p>
      <w:pPr>
        <w:ind w:left="160" w:right="880"/>
        <w:spacing w:after="0" w:line="245" w:lineRule="auto"/>
        <w:rPr>
          <w:sz w:val="20"/>
          <w:szCs w:val="20"/>
          <w:color w:val="auto"/>
        </w:rPr>
      </w:pPr>
      <w:r>
        <w:rPr>
          <w:rFonts w:ascii="Arial" w:cs="Arial" w:eastAsia="Arial" w:hAnsi="Arial"/>
          <w:sz w:val="22"/>
          <w:szCs w:val="22"/>
          <w:color w:val="auto"/>
        </w:rPr>
        <w:t>Our duties include overseeing Mondelēz International’s management, the internal audit department and PricewaterhouseCoopers LLP, Mondelēz International’s independent registered public accountants, in their performance of the following functions, for which they are responsible: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Management</w:t>
      </w:r>
    </w:p>
    <w:p>
      <w:pPr>
        <w:spacing w:after="0" w:line="60" w:lineRule="exact"/>
        <w:rPr>
          <w:sz w:val="20"/>
          <w:szCs w:val="20"/>
          <w:color w:val="auto"/>
        </w:rPr>
      </w:pPr>
    </w:p>
    <w:p>
      <w:pPr>
        <w:ind w:left="380" w:right="1320" w:hanging="215"/>
        <w:spacing w:after="0" w:line="259" w:lineRule="auto"/>
        <w:tabs>
          <w:tab w:leader="none" w:pos="380" w:val="left"/>
        </w:tabs>
        <w:numPr>
          <w:ilvl w:val="0"/>
          <w:numId w:val="32"/>
        </w:numPr>
        <w:rPr>
          <w:rFonts w:ascii="Arial" w:cs="Arial" w:eastAsia="Arial" w:hAnsi="Arial"/>
          <w:sz w:val="22"/>
          <w:szCs w:val="22"/>
          <w:color w:val="582C83"/>
        </w:rPr>
      </w:pPr>
      <w:r>
        <w:rPr>
          <w:rFonts w:ascii="Arial" w:cs="Arial" w:eastAsia="Arial" w:hAnsi="Arial"/>
          <w:sz w:val="22"/>
          <w:szCs w:val="22"/>
          <w:color w:val="auto"/>
        </w:rPr>
        <w:t>Preparing Mondelēz International’s consolidated financial statements in accordance with accounting principles generally accepted in the United States of America (“U.S. GAAP”);</w:t>
      </w:r>
    </w:p>
    <w:p>
      <w:pPr>
        <w:spacing w:after="0" w:line="7" w:lineRule="exact"/>
        <w:rPr>
          <w:rFonts w:ascii="Arial" w:cs="Arial" w:eastAsia="Arial" w:hAnsi="Arial"/>
          <w:sz w:val="22"/>
          <w:szCs w:val="22"/>
          <w:color w:val="582C83"/>
        </w:rPr>
      </w:pPr>
    </w:p>
    <w:p>
      <w:pPr>
        <w:ind w:left="380" w:hanging="215"/>
        <w:spacing w:after="0"/>
        <w:tabs>
          <w:tab w:leader="none" w:pos="380" w:val="left"/>
        </w:tabs>
        <w:numPr>
          <w:ilvl w:val="0"/>
          <w:numId w:val="32"/>
        </w:numPr>
        <w:rPr>
          <w:rFonts w:ascii="Arial" w:cs="Arial" w:eastAsia="Arial" w:hAnsi="Arial"/>
          <w:sz w:val="22"/>
          <w:szCs w:val="22"/>
          <w:color w:val="582C83"/>
        </w:rPr>
      </w:pPr>
      <w:r>
        <w:rPr>
          <w:rFonts w:ascii="Arial" w:cs="Arial" w:eastAsia="Arial" w:hAnsi="Arial"/>
          <w:sz w:val="22"/>
          <w:szCs w:val="22"/>
          <w:color w:val="auto"/>
        </w:rPr>
        <w:t>Assessing and establishing effective financial reporting systems and internal controls and procedures; and</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2"/>
        </w:numPr>
        <w:rPr>
          <w:rFonts w:ascii="Arial" w:cs="Arial" w:eastAsia="Arial" w:hAnsi="Arial"/>
          <w:sz w:val="22"/>
          <w:szCs w:val="22"/>
          <w:color w:val="582C83"/>
        </w:rPr>
      </w:pPr>
      <w:r>
        <w:rPr>
          <w:rFonts w:ascii="Arial" w:cs="Arial" w:eastAsia="Arial" w:hAnsi="Arial"/>
          <w:sz w:val="22"/>
          <w:szCs w:val="22"/>
          <w:color w:val="auto"/>
        </w:rPr>
        <w:t>Reporting on the effectiveness of Mondelēz International’s internal control over financial reporting.</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Internal Audit Department</w:t>
      </w:r>
    </w:p>
    <w:p>
      <w:pPr>
        <w:spacing w:after="0" w:line="60" w:lineRule="exact"/>
        <w:rPr>
          <w:sz w:val="20"/>
          <w:szCs w:val="20"/>
          <w:color w:val="auto"/>
        </w:rPr>
      </w:pPr>
    </w:p>
    <w:p>
      <w:pPr>
        <w:ind w:left="380" w:hanging="215"/>
        <w:spacing w:after="0"/>
        <w:tabs>
          <w:tab w:leader="none" w:pos="380" w:val="left"/>
        </w:tabs>
        <w:numPr>
          <w:ilvl w:val="0"/>
          <w:numId w:val="33"/>
        </w:numPr>
        <w:rPr>
          <w:rFonts w:ascii="Arial" w:cs="Arial" w:eastAsia="Arial" w:hAnsi="Arial"/>
          <w:sz w:val="22"/>
          <w:szCs w:val="22"/>
          <w:color w:val="582C83"/>
        </w:rPr>
      </w:pPr>
      <w:r>
        <w:rPr>
          <w:rFonts w:ascii="Arial" w:cs="Arial" w:eastAsia="Arial" w:hAnsi="Arial"/>
          <w:sz w:val="22"/>
          <w:szCs w:val="22"/>
          <w:color w:val="auto"/>
        </w:rPr>
        <w:t>Assessing management’s system of internal controls and procedures; and</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3"/>
        </w:numPr>
        <w:rPr>
          <w:rFonts w:ascii="Arial" w:cs="Arial" w:eastAsia="Arial" w:hAnsi="Arial"/>
          <w:sz w:val="22"/>
          <w:szCs w:val="22"/>
          <w:color w:val="582C83"/>
        </w:rPr>
      </w:pPr>
      <w:r>
        <w:rPr>
          <w:rFonts w:ascii="Arial" w:cs="Arial" w:eastAsia="Arial" w:hAnsi="Arial"/>
          <w:sz w:val="22"/>
          <w:szCs w:val="22"/>
          <w:color w:val="auto"/>
        </w:rPr>
        <w:t>Reporting on the effectiveness of that system.</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Independent Registered Public Accountants</w:t>
      </w:r>
    </w:p>
    <w:p>
      <w:pPr>
        <w:spacing w:after="0" w:line="60" w:lineRule="exact"/>
        <w:rPr>
          <w:sz w:val="20"/>
          <w:szCs w:val="20"/>
          <w:color w:val="auto"/>
        </w:rPr>
      </w:pPr>
    </w:p>
    <w:p>
      <w:pPr>
        <w:ind w:left="380" w:hanging="215"/>
        <w:spacing w:after="0"/>
        <w:tabs>
          <w:tab w:leader="none" w:pos="380" w:val="left"/>
        </w:tabs>
        <w:numPr>
          <w:ilvl w:val="0"/>
          <w:numId w:val="34"/>
        </w:numPr>
        <w:rPr>
          <w:rFonts w:ascii="Arial" w:cs="Arial" w:eastAsia="Arial" w:hAnsi="Arial"/>
          <w:sz w:val="22"/>
          <w:szCs w:val="22"/>
          <w:color w:val="582C83"/>
        </w:rPr>
      </w:pPr>
      <w:r>
        <w:rPr>
          <w:rFonts w:ascii="Arial" w:cs="Arial" w:eastAsia="Arial" w:hAnsi="Arial"/>
          <w:sz w:val="22"/>
          <w:szCs w:val="22"/>
          <w:color w:val="auto"/>
        </w:rPr>
        <w:t>Auditing Mondelēz International’s financial statements;</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4"/>
        </w:numPr>
        <w:rPr>
          <w:rFonts w:ascii="Arial" w:cs="Arial" w:eastAsia="Arial" w:hAnsi="Arial"/>
          <w:sz w:val="22"/>
          <w:szCs w:val="22"/>
          <w:color w:val="582C83"/>
        </w:rPr>
      </w:pPr>
      <w:r>
        <w:rPr>
          <w:rFonts w:ascii="Arial" w:cs="Arial" w:eastAsia="Arial" w:hAnsi="Arial"/>
          <w:sz w:val="22"/>
          <w:szCs w:val="22"/>
          <w:color w:val="auto"/>
        </w:rPr>
        <w:t>Issuing an opinion about whether the financial statements conform with U.S. GAAP; and</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4"/>
        </w:numPr>
        <w:rPr>
          <w:rFonts w:ascii="Arial" w:cs="Arial" w:eastAsia="Arial" w:hAnsi="Arial"/>
          <w:sz w:val="22"/>
          <w:szCs w:val="22"/>
          <w:color w:val="582C83"/>
        </w:rPr>
      </w:pPr>
      <w:r>
        <w:rPr>
          <w:rFonts w:ascii="Arial" w:cs="Arial" w:eastAsia="Arial" w:hAnsi="Arial"/>
          <w:sz w:val="22"/>
          <w:szCs w:val="22"/>
          <w:color w:val="auto"/>
        </w:rPr>
        <w:t>Annually auditing the effectiveness of Mondelēz International’s internal control over financial reporting.</w:t>
      </w:r>
    </w:p>
    <w:p>
      <w:pPr>
        <w:spacing w:after="0" w:line="58" w:lineRule="exact"/>
        <w:rPr>
          <w:sz w:val="20"/>
          <w:szCs w:val="20"/>
          <w:color w:val="auto"/>
        </w:rPr>
      </w:pPr>
    </w:p>
    <w:p>
      <w:pPr>
        <w:ind w:left="160" w:right="940"/>
        <w:spacing w:after="0" w:line="259" w:lineRule="auto"/>
        <w:rPr>
          <w:sz w:val="20"/>
          <w:szCs w:val="20"/>
          <w:color w:val="auto"/>
        </w:rPr>
      </w:pPr>
      <w:r>
        <w:rPr>
          <w:rFonts w:ascii="Arial" w:cs="Arial" w:eastAsia="Arial" w:hAnsi="Arial"/>
          <w:sz w:val="22"/>
          <w:szCs w:val="22"/>
          <w:color w:val="auto"/>
        </w:rPr>
        <w:t>Periodically, we meet both independently and collectively with management, the internal auditor and/or the independent registered public accountants to, among other things:</w:t>
      </w:r>
    </w:p>
    <w:p>
      <w:pPr>
        <w:spacing w:after="0" w:line="48" w:lineRule="exact"/>
        <w:rPr>
          <w:sz w:val="20"/>
          <w:szCs w:val="20"/>
          <w:color w:val="auto"/>
        </w:rPr>
      </w:pPr>
    </w:p>
    <w:p>
      <w:pPr>
        <w:ind w:left="380" w:right="1300" w:hanging="215"/>
        <w:spacing w:after="0" w:line="259" w:lineRule="auto"/>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Discuss the quality of Mondelēz International’s accounting and financial reporting processes and the adequacy and effectiveness of its internal controls and procedures;</w:t>
      </w:r>
    </w:p>
    <w:p>
      <w:pPr>
        <w:spacing w:after="0" w:line="7" w:lineRule="exact"/>
        <w:rPr>
          <w:rFonts w:ascii="Arial" w:cs="Arial" w:eastAsia="Arial" w:hAnsi="Arial"/>
          <w:sz w:val="22"/>
          <w:szCs w:val="22"/>
          <w:color w:val="582C83"/>
        </w:rPr>
      </w:pPr>
    </w:p>
    <w:p>
      <w:pPr>
        <w:ind w:left="380" w:right="920" w:hanging="215"/>
        <w:spacing w:after="0" w:line="259" w:lineRule="auto"/>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significant audit findings prepared by each of the independent registered public accountants and internal audit department, together with management’s responses;</w:t>
      </w:r>
    </w:p>
    <w:p>
      <w:pPr>
        <w:spacing w:after="0" w:line="7" w:lineRule="exact"/>
        <w:rPr>
          <w:rFonts w:ascii="Arial" w:cs="Arial" w:eastAsia="Arial" w:hAnsi="Arial"/>
          <w:sz w:val="22"/>
          <w:szCs w:val="22"/>
          <w:color w:val="582C83"/>
        </w:rPr>
      </w:pPr>
    </w:p>
    <w:p>
      <w:pPr>
        <w:ind w:left="380" w:right="1020" w:hanging="215"/>
        <w:spacing w:after="0" w:line="259" w:lineRule="auto"/>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the overall scope and plans for the audits by the internal audit department and the independent registered public accountants;</w:t>
      </w:r>
    </w:p>
    <w:p>
      <w:pPr>
        <w:spacing w:after="0" w:line="7" w:lineRule="exact"/>
        <w:rPr>
          <w:rFonts w:ascii="Arial" w:cs="Arial" w:eastAsia="Arial" w:hAnsi="Arial"/>
          <w:sz w:val="22"/>
          <w:szCs w:val="22"/>
          <w:color w:val="582C83"/>
        </w:rPr>
      </w:pPr>
    </w:p>
    <w:p>
      <w:pPr>
        <w:ind w:left="380" w:hanging="215"/>
        <w:spacing w:after="0"/>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matters related to the conduct of the independent registered public accountant’s audit;</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any critical audit matter identified in the independent registered public accountant’s report;</w:t>
      </w:r>
    </w:p>
    <w:p>
      <w:pPr>
        <w:spacing w:after="0" w:line="98" w:lineRule="exact"/>
        <w:rPr>
          <w:rFonts w:ascii="Arial" w:cs="Arial" w:eastAsia="Arial" w:hAnsi="Arial"/>
          <w:sz w:val="22"/>
          <w:szCs w:val="22"/>
          <w:color w:val="582C83"/>
        </w:rPr>
      </w:pPr>
    </w:p>
    <w:p>
      <w:pPr>
        <w:ind w:left="380" w:right="560" w:hanging="215"/>
        <w:spacing w:after="0" w:line="245" w:lineRule="auto"/>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critical accounting policies, the implementation of new accounting standards and the significant estimates and judgments management used in preparing the financial statements and their appropriateness for Mondelēz International’s business and current circumstances; and</w:t>
      </w:r>
    </w:p>
    <w:p>
      <w:pPr>
        <w:spacing w:after="0" w:line="21" w:lineRule="exact"/>
        <w:rPr>
          <w:rFonts w:ascii="Arial" w:cs="Arial" w:eastAsia="Arial" w:hAnsi="Arial"/>
          <w:sz w:val="22"/>
          <w:szCs w:val="22"/>
          <w:color w:val="582C83"/>
        </w:rPr>
      </w:pPr>
    </w:p>
    <w:p>
      <w:pPr>
        <w:ind w:left="380" w:hanging="215"/>
        <w:spacing w:after="0"/>
        <w:tabs>
          <w:tab w:leader="none" w:pos="380" w:val="left"/>
        </w:tabs>
        <w:numPr>
          <w:ilvl w:val="0"/>
          <w:numId w:val="35"/>
        </w:numPr>
        <w:rPr>
          <w:rFonts w:ascii="Arial" w:cs="Arial" w:eastAsia="Arial" w:hAnsi="Arial"/>
          <w:sz w:val="22"/>
          <w:szCs w:val="22"/>
          <w:color w:val="582C83"/>
        </w:rPr>
      </w:pPr>
      <w:r>
        <w:rPr>
          <w:rFonts w:ascii="Arial" w:cs="Arial" w:eastAsia="Arial" w:hAnsi="Arial"/>
          <w:sz w:val="22"/>
          <w:szCs w:val="22"/>
          <w:color w:val="auto"/>
        </w:rPr>
        <w:t>Review Mondelēz International’s earnings releases and its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85520" cy="2482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36130" cy="71450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6130" cy="714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In addition to the activities outlined above, in 2021 we reviewed with management, among other things:</w:t>
      </w:r>
    </w:p>
    <w:p>
      <w:pPr>
        <w:spacing w:after="0" w:line="98" w:lineRule="exact"/>
        <w:rPr>
          <w:sz w:val="20"/>
          <w:szCs w:val="20"/>
          <w:color w:val="auto"/>
        </w:rPr>
      </w:pPr>
    </w:p>
    <w:p>
      <w:pPr>
        <w:ind w:left="38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The continued impacts of COVID-19 on the processes and matters over which we have oversight;</w:t>
      </w:r>
    </w:p>
    <w:p>
      <w:pPr>
        <w:spacing w:after="0" w:line="57" w:lineRule="exact"/>
        <w:rPr>
          <w:rFonts w:ascii="Arial" w:cs="Arial" w:eastAsia="Arial" w:hAnsi="Arial"/>
          <w:sz w:val="22"/>
          <w:szCs w:val="22"/>
          <w:color w:val="582C83"/>
        </w:rPr>
      </w:pPr>
    </w:p>
    <w:p>
      <w:pPr>
        <w:ind w:left="380" w:right="460" w:hanging="215"/>
        <w:spacing w:after="0" w:line="259" w:lineRule="auto"/>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The Company’s ESG reporting and disclosures in its SEC filings and the evolving ESG regulatory landscape, including increased regulatory focus on climate change;</w:t>
      </w:r>
    </w:p>
    <w:p>
      <w:pPr>
        <w:spacing w:after="0" w:line="7" w:lineRule="exact"/>
        <w:rPr>
          <w:rFonts w:ascii="Arial" w:cs="Arial" w:eastAsia="Arial" w:hAnsi="Arial"/>
          <w:sz w:val="22"/>
          <w:szCs w:val="22"/>
          <w:color w:val="582C83"/>
        </w:rPr>
      </w:pPr>
    </w:p>
    <w:p>
      <w:pPr>
        <w:ind w:left="380" w:right="280" w:hanging="215"/>
        <w:spacing w:after="0" w:line="245" w:lineRule="auto"/>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Guidelines and policies with respect to Mondelēz International’s overall risk assessment and risk management, including its enterprise risk management process and specific risks identified in that process, including commodity and foreign exchange risks;</w:t>
      </w:r>
    </w:p>
    <w:p>
      <w:pPr>
        <w:spacing w:after="0" w:line="21" w:lineRule="exact"/>
        <w:rPr>
          <w:rFonts w:ascii="Arial" w:cs="Arial" w:eastAsia="Arial" w:hAnsi="Arial"/>
          <w:sz w:val="22"/>
          <w:szCs w:val="22"/>
          <w:color w:val="582C83"/>
        </w:rPr>
      </w:pPr>
    </w:p>
    <w:p>
      <w:pPr>
        <w:ind w:left="380" w:right="44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Mondelēz International’s information technology and cybersecurity risk management and business continuity planning, including three briefings by the Company’s Chief Information Officer on information security matters and discussions on cybersecurity with the Company’s Chief Information Security Officer, the internal audit department and an external consultant;</w:t>
      </w:r>
    </w:p>
    <w:p>
      <w:pPr>
        <w:spacing w:after="0" w:line="27" w:lineRule="exact"/>
        <w:rPr>
          <w:rFonts w:ascii="Arial" w:cs="Arial" w:eastAsia="Arial" w:hAnsi="Arial"/>
          <w:sz w:val="22"/>
          <w:szCs w:val="22"/>
          <w:color w:val="582C83"/>
        </w:rPr>
      </w:pPr>
    </w:p>
    <w:p>
      <w:pPr>
        <w:ind w:left="38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Health and safety and compliance matters;</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Significant legal and regulatory matters;</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The U.S. and non-U.S. tax regulatory environment; and</w:t>
      </w:r>
    </w:p>
    <w:p>
      <w:pPr>
        <w:spacing w:after="0" w:line="57" w:lineRule="exact"/>
        <w:rPr>
          <w:rFonts w:ascii="Arial" w:cs="Arial" w:eastAsia="Arial" w:hAnsi="Arial"/>
          <w:sz w:val="22"/>
          <w:szCs w:val="22"/>
          <w:color w:val="582C83"/>
        </w:rPr>
      </w:pPr>
    </w:p>
    <w:p>
      <w:pPr>
        <w:ind w:left="380" w:hanging="215"/>
        <w:spacing w:after="0"/>
        <w:tabs>
          <w:tab w:leader="none" w:pos="380" w:val="left"/>
        </w:tabs>
        <w:numPr>
          <w:ilvl w:val="0"/>
          <w:numId w:val="36"/>
        </w:numPr>
        <w:rPr>
          <w:rFonts w:ascii="Arial" w:cs="Arial" w:eastAsia="Arial" w:hAnsi="Arial"/>
          <w:sz w:val="22"/>
          <w:szCs w:val="22"/>
          <w:color w:val="582C83"/>
        </w:rPr>
      </w:pPr>
      <w:r>
        <w:rPr>
          <w:rFonts w:ascii="Arial" w:cs="Arial" w:eastAsia="Arial" w:hAnsi="Arial"/>
          <w:sz w:val="22"/>
          <w:szCs w:val="22"/>
          <w:color w:val="auto"/>
        </w:rPr>
        <w:t>External ratings related to the performance of our duties of oversight.</w:t>
      </w:r>
    </w:p>
    <w:p>
      <w:pPr>
        <w:spacing w:after="0" w:line="58" w:lineRule="exact"/>
        <w:rPr>
          <w:sz w:val="20"/>
          <w:szCs w:val="20"/>
          <w:color w:val="auto"/>
        </w:rPr>
      </w:pPr>
    </w:p>
    <w:p>
      <w:pPr>
        <w:ind w:left="160" w:right="300"/>
        <w:spacing w:after="0" w:line="259" w:lineRule="auto"/>
        <w:rPr>
          <w:sz w:val="20"/>
          <w:szCs w:val="20"/>
          <w:color w:val="auto"/>
        </w:rPr>
      </w:pPr>
      <w:r>
        <w:rPr>
          <w:rFonts w:ascii="Arial" w:cs="Arial" w:eastAsia="Arial" w:hAnsi="Arial"/>
          <w:sz w:val="22"/>
          <w:szCs w:val="22"/>
          <w:color w:val="auto"/>
        </w:rPr>
        <w:t>Prior to Mondelēz International’s filing of its Annual Report on Form 10-K for the year ended December 31, 2021, with the SEC, we also:</w:t>
      </w:r>
    </w:p>
    <w:p>
      <w:pPr>
        <w:spacing w:after="0" w:line="48" w:lineRule="exact"/>
        <w:rPr>
          <w:sz w:val="20"/>
          <w:szCs w:val="20"/>
          <w:color w:val="auto"/>
        </w:rPr>
      </w:pPr>
    </w:p>
    <w:p>
      <w:pPr>
        <w:ind w:left="380" w:right="560" w:hanging="215"/>
        <w:spacing w:after="0" w:line="259" w:lineRule="auto"/>
        <w:tabs>
          <w:tab w:leader="none" w:pos="380" w:val="left"/>
        </w:tabs>
        <w:numPr>
          <w:ilvl w:val="0"/>
          <w:numId w:val="37"/>
        </w:numPr>
        <w:rPr>
          <w:rFonts w:ascii="Arial" w:cs="Arial" w:eastAsia="Arial" w:hAnsi="Arial"/>
          <w:sz w:val="22"/>
          <w:szCs w:val="22"/>
          <w:color w:val="582C83"/>
        </w:rPr>
      </w:pPr>
      <w:r>
        <w:rPr>
          <w:rFonts w:ascii="Arial" w:cs="Arial" w:eastAsia="Arial" w:hAnsi="Arial"/>
          <w:sz w:val="22"/>
          <w:szCs w:val="22"/>
          <w:color w:val="auto"/>
        </w:rPr>
        <w:t>Reviewed and discussed the audited financial statements with management and the independent registered public accountants;</w:t>
      </w:r>
    </w:p>
    <w:p>
      <w:pPr>
        <w:spacing w:after="0" w:line="7" w:lineRule="exact"/>
        <w:rPr>
          <w:rFonts w:ascii="Arial" w:cs="Arial" w:eastAsia="Arial" w:hAnsi="Arial"/>
          <w:sz w:val="22"/>
          <w:szCs w:val="22"/>
          <w:color w:val="582C83"/>
        </w:rPr>
      </w:pPr>
    </w:p>
    <w:p>
      <w:pPr>
        <w:ind w:left="380" w:right="740" w:hanging="215"/>
        <w:spacing w:after="0" w:line="245" w:lineRule="auto"/>
        <w:tabs>
          <w:tab w:leader="none" w:pos="380" w:val="left"/>
        </w:tabs>
        <w:numPr>
          <w:ilvl w:val="0"/>
          <w:numId w:val="37"/>
        </w:numPr>
        <w:rPr>
          <w:rFonts w:ascii="Arial" w:cs="Arial" w:eastAsia="Arial" w:hAnsi="Arial"/>
          <w:sz w:val="22"/>
          <w:szCs w:val="22"/>
          <w:color w:val="582C83"/>
        </w:rPr>
      </w:pPr>
      <w:r>
        <w:rPr>
          <w:rFonts w:ascii="Arial" w:cs="Arial" w:eastAsia="Arial" w:hAnsi="Arial"/>
          <w:sz w:val="22"/>
          <w:szCs w:val="22"/>
          <w:color w:val="auto"/>
        </w:rPr>
        <w:t>Discussed with the independent registered public accountants the items the independent registered public accountants are required to communicate to the Audit Committee in accordance with the applicable requirements of the Public Company Accounting Oversight Board and the SEC;</w:t>
      </w:r>
    </w:p>
    <w:p>
      <w:pPr>
        <w:spacing w:after="0" w:line="21" w:lineRule="exact"/>
        <w:rPr>
          <w:rFonts w:ascii="Arial" w:cs="Arial" w:eastAsia="Arial" w:hAnsi="Arial"/>
          <w:sz w:val="22"/>
          <w:szCs w:val="22"/>
          <w:color w:val="582C83"/>
        </w:rPr>
      </w:pPr>
    </w:p>
    <w:p>
      <w:pPr>
        <w:ind w:left="380" w:right="320" w:hanging="215"/>
        <w:spacing w:after="0" w:line="245" w:lineRule="auto"/>
        <w:tabs>
          <w:tab w:leader="none" w:pos="380" w:val="left"/>
        </w:tabs>
        <w:numPr>
          <w:ilvl w:val="0"/>
          <w:numId w:val="37"/>
        </w:numPr>
        <w:rPr>
          <w:rFonts w:ascii="Arial" w:cs="Arial" w:eastAsia="Arial" w:hAnsi="Arial"/>
          <w:sz w:val="22"/>
          <w:szCs w:val="22"/>
          <w:color w:val="582C83"/>
        </w:rPr>
      </w:pPr>
      <w:r>
        <w:rPr>
          <w:rFonts w:ascii="Arial" w:cs="Arial" w:eastAsia="Arial" w:hAnsi="Arial"/>
          <w:sz w:val="22"/>
          <w:szCs w:val="22"/>
          <w:color w:val="auto"/>
        </w:rPr>
        <w:t>Received from the independent registered public accountants the written disclosures and the letter required by applicable requirements of the Public Company Accounting Oversight Board regarding the independent registered public accountants’ communications with us concerning independence; and</w:t>
      </w:r>
    </w:p>
    <w:p>
      <w:pPr>
        <w:spacing w:after="0" w:line="21" w:lineRule="exact"/>
        <w:rPr>
          <w:rFonts w:ascii="Arial" w:cs="Arial" w:eastAsia="Arial" w:hAnsi="Arial"/>
          <w:sz w:val="22"/>
          <w:szCs w:val="22"/>
          <w:color w:val="582C83"/>
        </w:rPr>
      </w:pPr>
    </w:p>
    <w:p>
      <w:pPr>
        <w:ind w:left="380" w:right="240" w:hanging="215"/>
        <w:spacing w:after="0"/>
        <w:tabs>
          <w:tab w:leader="none" w:pos="380" w:val="left"/>
        </w:tabs>
        <w:numPr>
          <w:ilvl w:val="0"/>
          <w:numId w:val="37"/>
        </w:numPr>
        <w:rPr>
          <w:rFonts w:ascii="Arial" w:cs="Arial" w:eastAsia="Arial" w:hAnsi="Arial"/>
          <w:sz w:val="22"/>
          <w:szCs w:val="22"/>
          <w:color w:val="582C83"/>
        </w:rPr>
      </w:pPr>
      <w:r>
        <w:rPr>
          <w:rFonts w:ascii="Arial" w:cs="Arial" w:eastAsia="Arial" w:hAnsi="Arial"/>
          <w:sz w:val="22"/>
          <w:szCs w:val="22"/>
          <w:color w:val="auto"/>
        </w:rPr>
        <w:t>Discussed with the independent registered public accountants their independence from Mondelēz International, including reviewing non-audit services and fees to assure compliance with (i) regulations prohibiting the independent registered public accountants from performing specified services that could impair their independence, and (ii) Mondelēz International’s and the Audit Committee’s policies.</w:t>
      </w:r>
    </w:p>
    <w:p>
      <w:pPr>
        <w:spacing w:after="0" w:line="28" w:lineRule="exact"/>
        <w:rPr>
          <w:sz w:val="20"/>
          <w:szCs w:val="20"/>
          <w:color w:val="auto"/>
        </w:rPr>
      </w:pPr>
    </w:p>
    <w:p>
      <w:pPr>
        <w:ind w:left="160" w:right="380"/>
        <w:spacing w:after="0" w:line="238" w:lineRule="auto"/>
        <w:rPr>
          <w:sz w:val="20"/>
          <w:szCs w:val="20"/>
          <w:color w:val="auto"/>
        </w:rPr>
      </w:pPr>
      <w:r>
        <w:rPr>
          <w:rFonts w:ascii="Arial" w:cs="Arial" w:eastAsia="Arial" w:hAnsi="Arial"/>
          <w:sz w:val="22"/>
          <w:szCs w:val="22"/>
          <w:color w:val="auto"/>
        </w:rPr>
        <w:t>Based upon the review and discussions described in this report and without other independent verification, and subject to the limitations of our role and responsibilities outlined in this report and in our written charter, we recommended to the Board, and the Board approved, that the audited consolidated financial statements be included in Mondelēz International’s Annual Report on Form 10-K for the year ended December 31, 2021, which was filed with the SEC on February 4, 2022.</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Audit Committee: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Fredric G. Reynolds, Chair</w:t>
      </w:r>
    </w:p>
    <w:p>
      <w:pPr>
        <w:ind w:left="160"/>
        <w:spacing w:after="0" w:line="230" w:lineRule="auto"/>
        <w:rPr>
          <w:sz w:val="20"/>
          <w:szCs w:val="20"/>
          <w:color w:val="auto"/>
        </w:rPr>
      </w:pPr>
      <w:r>
        <w:rPr>
          <w:rFonts w:ascii="Arial" w:cs="Arial" w:eastAsia="Arial" w:hAnsi="Arial"/>
          <w:sz w:val="22"/>
          <w:szCs w:val="22"/>
          <w:color w:val="auto"/>
        </w:rPr>
        <w:t>Jorge S. Mesquita</w:t>
      </w:r>
    </w:p>
    <w:p>
      <w:pPr>
        <w:ind w:left="160"/>
        <w:spacing w:after="0" w:line="231" w:lineRule="auto"/>
        <w:rPr>
          <w:sz w:val="20"/>
          <w:szCs w:val="20"/>
          <w:color w:val="auto"/>
        </w:rPr>
      </w:pPr>
      <w:r>
        <w:rPr>
          <w:rFonts w:ascii="Arial" w:cs="Arial" w:eastAsia="Arial" w:hAnsi="Arial"/>
          <w:sz w:val="22"/>
          <w:szCs w:val="22"/>
          <w:color w:val="auto"/>
        </w:rPr>
        <w:t>Jane Hamilton Nielsen</w:t>
      </w:r>
    </w:p>
    <w:p>
      <w:pPr>
        <w:ind w:left="160"/>
        <w:spacing w:after="0" w:line="230" w:lineRule="auto"/>
        <w:rPr>
          <w:sz w:val="20"/>
          <w:szCs w:val="20"/>
          <w:color w:val="auto"/>
        </w:rPr>
      </w:pPr>
      <w:r>
        <w:rPr>
          <w:rFonts w:ascii="Arial" w:cs="Arial" w:eastAsia="Arial" w:hAnsi="Arial"/>
          <w:sz w:val="22"/>
          <w:szCs w:val="22"/>
          <w:color w:val="auto"/>
        </w:rPr>
        <w:t>Patrick T. Siewert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Michael A. Todman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PRE-APPROVAL POLICIES</w:t>
      </w:r>
    </w:p>
    <w:p>
      <w:pPr>
        <w:spacing w:after="0" w:line="58" w:lineRule="exact"/>
        <w:rPr>
          <w:sz w:val="20"/>
          <w:szCs w:val="20"/>
          <w:color w:val="auto"/>
        </w:rPr>
      </w:pPr>
    </w:p>
    <w:p>
      <w:pPr>
        <w:ind w:left="40" w:right="60"/>
        <w:spacing w:after="0" w:line="236" w:lineRule="auto"/>
        <w:rPr>
          <w:sz w:val="20"/>
          <w:szCs w:val="20"/>
          <w:color w:val="auto"/>
        </w:rPr>
      </w:pPr>
      <w:r>
        <w:rPr>
          <w:rFonts w:ascii="Arial" w:cs="Arial" w:eastAsia="Arial" w:hAnsi="Arial"/>
          <w:sz w:val="22"/>
          <w:szCs w:val="22"/>
          <w:color w:val="auto"/>
        </w:rPr>
        <w:t>The Audit Committee’s policy is to pre-approve all audit and non-audit services provided by the independent registered public accountants. Non-audit services may include audit-related services and tax services, among others.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52" w:lineRule="exact"/>
        <w:rPr>
          <w:sz w:val="20"/>
          <w:szCs w:val="20"/>
          <w:color w:val="auto"/>
        </w:rPr>
      </w:pPr>
    </w:p>
    <w:p>
      <w:pPr>
        <w:ind w:left="40" w:right="120"/>
        <w:spacing w:after="0" w:line="251" w:lineRule="auto"/>
        <w:rPr>
          <w:sz w:val="20"/>
          <w:szCs w:val="20"/>
          <w:color w:val="auto"/>
        </w:rPr>
      </w:pPr>
      <w:r>
        <w:rPr>
          <w:rFonts w:ascii="Arial" w:cs="Arial" w:eastAsia="Arial" w:hAnsi="Arial"/>
          <w:sz w:val="21"/>
          <w:szCs w:val="21"/>
          <w:color w:val="auto"/>
        </w:rPr>
        <w:t>During the year, circumstances may arise when it becomes necessary to engage the independent registered public accountants for additional services not contemplated in the original pre-approval authority. In those instances, the committee approves the services before we engage the independent registered public accountants. In case approval is needed before a scheduled committee meeting, the committee has delegated pre-approval authority to its Chair. The Chair must report on such pre-approval decisions at the committee’s next regular meeting.</w:t>
      </w:r>
    </w:p>
    <w:p>
      <w:pPr>
        <w:spacing w:after="0" w:line="141" w:lineRule="exact"/>
        <w:rPr>
          <w:sz w:val="20"/>
          <w:szCs w:val="20"/>
          <w:color w:val="auto"/>
        </w:rPr>
      </w:pPr>
    </w:p>
    <w:p>
      <w:pPr>
        <w:ind w:left="40" w:right="500"/>
        <w:spacing w:after="0" w:line="259" w:lineRule="auto"/>
        <w:rPr>
          <w:sz w:val="20"/>
          <w:szCs w:val="20"/>
          <w:color w:val="auto"/>
        </w:rPr>
      </w:pPr>
      <w:r>
        <w:rPr>
          <w:rFonts w:ascii="Arial" w:cs="Arial" w:eastAsia="Arial" w:hAnsi="Arial"/>
          <w:sz w:val="22"/>
          <w:szCs w:val="22"/>
          <w:color w:val="auto"/>
        </w:rPr>
        <w:t>The Audit Committee pre-approved all 2021 audit and non-audit services provided by the independent registered public accountants.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INDEPENDENT REGISTERED PUBLIC ACCOUNTANTS’ FEES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aggregate fees for professional services provided to us by our independent registered public accountants,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PricewaterhouseCoopers LLP, for 2021 and 2020 were: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65"/>
        </w:trPr>
        <w:tc>
          <w:tcPr>
            <w:tcW w:w="7540" w:type="dxa"/>
            <w:vAlign w:val="bottom"/>
            <w:tcBorders>
              <w:bottom w:val="single" w:sz="8" w:color="582C83"/>
            </w:tcBorders>
          </w:tcPr>
          <w:p>
            <w:pPr>
              <w:spacing w:after="0"/>
              <w:rPr>
                <w:sz w:val="23"/>
                <w:szCs w:val="23"/>
                <w:color w:val="auto"/>
              </w:rPr>
            </w:pP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2021</w:t>
            </w:r>
          </w:p>
        </w:tc>
        <w:tc>
          <w:tcPr>
            <w:tcW w:w="18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323"/>
        </w:trPr>
        <w:tc>
          <w:tcPr>
            <w:tcW w:w="7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Audit Fees</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$16,149,000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$15,493,000</w:t>
            </w:r>
          </w:p>
        </w:tc>
      </w:tr>
      <w:tr>
        <w:trPr>
          <w:trHeight w:val="272"/>
        </w:trPr>
        <w:tc>
          <w:tcPr>
            <w:tcW w:w="754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Audit-Related Fees</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719,000</w:t>
            </w:r>
          </w:p>
        </w:tc>
        <w:tc>
          <w:tcPr>
            <w:tcW w:w="1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689,000</w:t>
            </w:r>
          </w:p>
        </w:tc>
      </w:tr>
      <w:tr>
        <w:trPr>
          <w:trHeight w:val="46"/>
        </w:trPr>
        <w:tc>
          <w:tcPr>
            <w:tcW w:w="754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r>
      <w:tr>
        <w:trPr>
          <w:trHeight w:val="323"/>
        </w:trPr>
        <w:tc>
          <w:tcPr>
            <w:tcW w:w="7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Tax Fees</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186,000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32,000</w:t>
            </w:r>
          </w:p>
        </w:tc>
      </w:tr>
      <w:tr>
        <w:trPr>
          <w:trHeight w:val="272"/>
        </w:trPr>
        <w:tc>
          <w:tcPr>
            <w:tcW w:w="754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All Other Fees</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30,000</w:t>
            </w:r>
          </w:p>
        </w:tc>
        <w:tc>
          <w:tcPr>
            <w:tcW w:w="1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10,000</w:t>
            </w:r>
          </w:p>
        </w:tc>
      </w:tr>
      <w:tr>
        <w:trPr>
          <w:trHeight w:val="46"/>
        </w:trPr>
        <w:tc>
          <w:tcPr>
            <w:tcW w:w="754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r>
      <w:tr>
        <w:trPr>
          <w:trHeight w:val="290"/>
        </w:trPr>
        <w:tc>
          <w:tcPr>
            <w:tcW w:w="7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582C83"/>
              </w:rPr>
              <w:t>Total</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582C83"/>
              </w:rPr>
              <w:t>$17,084,000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582C83"/>
              </w:rPr>
              <w:t>$16,224,000</w:t>
            </w:r>
          </w:p>
        </w:tc>
      </w:tr>
      <w:tr>
        <w:trPr>
          <w:trHeight w:val="27"/>
        </w:trPr>
        <w:tc>
          <w:tcPr>
            <w:tcW w:w="7540" w:type="dxa"/>
            <w:vAlign w:val="bottom"/>
            <w:shd w:val="clear" w:color="auto" w:fill="582C83"/>
          </w:tcPr>
          <w:p>
            <w:pPr>
              <w:spacing w:after="0"/>
              <w:rPr>
                <w:sz w:val="2"/>
                <w:szCs w:val="2"/>
                <w:color w:val="auto"/>
              </w:rPr>
            </w:pPr>
          </w:p>
        </w:tc>
        <w:tc>
          <w:tcPr>
            <w:tcW w:w="1900" w:type="dxa"/>
            <w:vAlign w:val="bottom"/>
            <w:shd w:val="clear" w:color="auto" w:fill="582C83"/>
          </w:tcPr>
          <w:p>
            <w:pPr>
              <w:spacing w:after="0"/>
              <w:rPr>
                <w:sz w:val="2"/>
                <w:szCs w:val="2"/>
                <w:color w:val="auto"/>
              </w:rPr>
            </w:pPr>
          </w:p>
        </w:tc>
        <w:tc>
          <w:tcPr>
            <w:tcW w:w="1820" w:type="dxa"/>
            <w:vAlign w:val="bottom"/>
            <w:shd w:val="clear" w:color="auto" w:fill="582C83"/>
          </w:tcPr>
          <w:p>
            <w:pPr>
              <w:spacing w:after="0"/>
              <w:rPr>
                <w:sz w:val="2"/>
                <w:szCs w:val="2"/>
                <w:color w:val="auto"/>
              </w:rPr>
            </w:pPr>
          </w:p>
        </w:tc>
      </w:tr>
    </w:tbl>
    <w:p>
      <w:pPr>
        <w:spacing w:after="0" w:line="176" w:lineRule="exact"/>
        <w:rPr>
          <w:sz w:val="20"/>
          <w:szCs w:val="20"/>
          <w:color w:val="auto"/>
        </w:rPr>
      </w:pPr>
    </w:p>
    <w:p>
      <w:pPr>
        <w:ind w:left="40" w:right="240"/>
        <w:spacing w:after="0" w:line="245" w:lineRule="auto"/>
        <w:rPr>
          <w:sz w:val="20"/>
          <w:szCs w:val="20"/>
          <w:color w:val="auto"/>
        </w:rPr>
      </w:pPr>
      <w:r>
        <w:rPr>
          <w:rFonts w:ascii="Arial" w:cs="Arial" w:eastAsia="Arial" w:hAnsi="Arial"/>
          <w:sz w:val="22"/>
          <w:szCs w:val="22"/>
          <w:color w:val="auto"/>
        </w:rPr>
        <w:t>Audit Fees include: (a) the integrated audit of our consolidated financial statements, including statutory audits of the financial statements of our affiliates and our internal control over financial reporting; and (b) the reviews of our unaudited condensed consolidated interim financial statements (quarterly financial statements).</w:t>
      </w:r>
    </w:p>
    <w:p>
      <w:pPr>
        <w:spacing w:after="0" w:line="143" w:lineRule="exact"/>
        <w:rPr>
          <w:sz w:val="20"/>
          <w:szCs w:val="20"/>
          <w:color w:val="auto"/>
        </w:rPr>
      </w:pPr>
    </w:p>
    <w:p>
      <w:pPr>
        <w:ind w:left="40" w:right="440"/>
        <w:spacing w:after="0" w:line="259" w:lineRule="auto"/>
        <w:rPr>
          <w:sz w:val="20"/>
          <w:szCs w:val="20"/>
          <w:color w:val="auto"/>
        </w:rPr>
      </w:pPr>
      <w:r>
        <w:rPr>
          <w:rFonts w:ascii="Arial" w:cs="Arial" w:eastAsia="Arial" w:hAnsi="Arial"/>
          <w:sz w:val="22"/>
          <w:szCs w:val="22"/>
          <w:color w:val="auto"/>
        </w:rPr>
        <w:t>Audit-Related Fees include professional services in connection with employee benefit plan audits and procedures related to various other audit and special reports.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Tax Fees include professional services in connection with tax compliance and advice.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All Other Fees include fees for seminars and use of accounting research and reporting tools.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All fees above include out-of-pocket expenses.</w:t>
      </w:r>
    </w:p>
    <w:p>
      <w:pPr>
        <w:spacing w:after="0" w:line="17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Finance Committee</w:t>
      </w:r>
    </w:p>
    <w:p>
      <w:pPr>
        <w:spacing w:after="0" w:line="187" w:lineRule="exact"/>
        <w:rPr>
          <w:sz w:val="20"/>
          <w:szCs w:val="20"/>
          <w:color w:val="auto"/>
        </w:rPr>
      </w:pPr>
    </w:p>
    <w:p>
      <w:pPr>
        <w:ind w:left="40" w:right="160"/>
        <w:spacing w:after="0" w:line="259" w:lineRule="auto"/>
        <w:rPr>
          <w:sz w:val="20"/>
          <w:szCs w:val="20"/>
          <w:color w:val="auto"/>
        </w:rPr>
      </w:pPr>
      <w:r>
        <w:rPr>
          <w:rFonts w:ascii="Arial" w:cs="Arial" w:eastAsia="Arial" w:hAnsi="Arial"/>
          <w:sz w:val="22"/>
          <w:szCs w:val="22"/>
          <w:color w:val="auto"/>
        </w:rPr>
        <w:t>The Finance Committee’s charter sets out its responsibilities, which include reviewing and making recommendations to the Board on significant financial matters, including:</w:t>
      </w:r>
    </w:p>
    <w:p>
      <w:pPr>
        <w:spacing w:after="0" w:line="48" w:lineRule="exact"/>
        <w:rPr>
          <w:sz w:val="20"/>
          <w:szCs w:val="20"/>
          <w:color w:val="auto"/>
        </w:rPr>
      </w:pPr>
    </w:p>
    <w:p>
      <w:pPr>
        <w:ind w:left="260" w:right="80" w:hanging="212"/>
        <w:spacing w:after="0" w:line="259" w:lineRule="auto"/>
        <w:tabs>
          <w:tab w:leader="none" w:pos="260" w:val="left"/>
        </w:tabs>
        <w:numPr>
          <w:ilvl w:val="0"/>
          <w:numId w:val="38"/>
        </w:numPr>
        <w:rPr>
          <w:rFonts w:ascii="Arial" w:cs="Arial" w:eastAsia="Arial" w:hAnsi="Arial"/>
          <w:sz w:val="22"/>
          <w:szCs w:val="22"/>
          <w:color w:val="582C83"/>
        </w:rPr>
      </w:pPr>
      <w:r>
        <w:rPr>
          <w:rFonts w:ascii="Arial" w:cs="Arial" w:eastAsia="Arial" w:hAnsi="Arial"/>
          <w:sz w:val="22"/>
          <w:szCs w:val="22"/>
          <w:color w:val="auto"/>
        </w:rPr>
        <w:t>at least annually, the Company’s long-term capital structure, including financing plans, projected financial structure, funding requirements, target credit ratings and return on invested capital;</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38"/>
        </w:numPr>
        <w:rPr>
          <w:rFonts w:ascii="Arial" w:cs="Arial" w:eastAsia="Arial" w:hAnsi="Arial"/>
          <w:sz w:val="22"/>
          <w:szCs w:val="22"/>
          <w:color w:val="582C83"/>
        </w:rPr>
      </w:pPr>
      <w:r>
        <w:rPr>
          <w:rFonts w:ascii="Arial" w:cs="Arial" w:eastAsia="Arial" w:hAnsi="Arial"/>
          <w:sz w:val="22"/>
          <w:szCs w:val="22"/>
          <w:color w:val="auto"/>
        </w:rPr>
        <w:t>authorization of issuances, sales or repurchases of equity and debt securities;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38"/>
        </w:numPr>
        <w:rPr>
          <w:rFonts w:ascii="Arial" w:cs="Arial" w:eastAsia="Arial" w:hAnsi="Arial"/>
          <w:sz w:val="22"/>
          <w:szCs w:val="22"/>
          <w:color w:val="582C83"/>
        </w:rPr>
      </w:pPr>
      <w:r>
        <w:rPr>
          <w:rFonts w:ascii="Arial" w:cs="Arial" w:eastAsia="Arial" w:hAnsi="Arial"/>
          <w:sz w:val="22"/>
          <w:szCs w:val="22"/>
          <w:color w:val="auto"/>
        </w:rPr>
        <w:t>the Company’s external dividend policy and dividend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139065</wp:posOffset>
            </wp:positionV>
            <wp:extent cx="71323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9"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2C83"/>
        </w:rPr>
        <w:t>2022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300"/>
          </w:cols>
          <w:pgMar w:left="280" w:top="130" w:right="319" w:bottom="1440" w:gutter="0" w:footer="0" w:header="0"/>
        </w:sectPr>
      </w:pPr>
    </w:p>
    <w:bookmarkStart w:id="53" w:name="page54"/>
    <w:bookmarkEnd w:id="53"/>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260" w:right="820" w:hanging="212"/>
        <w:spacing w:after="0" w:line="259" w:lineRule="auto"/>
        <w:tabs>
          <w:tab w:leader="none" w:pos="260" w:val="left"/>
        </w:tabs>
        <w:numPr>
          <w:ilvl w:val="0"/>
          <w:numId w:val="39"/>
        </w:numPr>
        <w:rPr>
          <w:rFonts w:ascii="Arial" w:cs="Arial" w:eastAsia="Arial" w:hAnsi="Arial"/>
          <w:sz w:val="22"/>
          <w:szCs w:val="22"/>
          <w:color w:val="582C83"/>
        </w:rPr>
      </w:pPr>
      <w:r>
        <w:rPr>
          <w:rFonts w:ascii="Arial" w:cs="Arial" w:eastAsia="Arial" w:hAnsi="Arial"/>
          <w:sz w:val="22"/>
          <w:szCs w:val="22"/>
          <w:color w:val="auto"/>
        </w:rPr>
        <w:t>proposed acquisitions, divestitures, joint ventures, investments, asset sales and purchase commitments for services in excess of $100 million; and</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39"/>
        </w:numPr>
        <w:rPr>
          <w:rFonts w:ascii="Arial" w:cs="Arial" w:eastAsia="Arial" w:hAnsi="Arial"/>
          <w:sz w:val="22"/>
          <w:szCs w:val="22"/>
          <w:color w:val="582C83"/>
        </w:rPr>
      </w:pPr>
      <w:r>
        <w:rPr>
          <w:rFonts w:ascii="Arial" w:cs="Arial" w:eastAsia="Arial" w:hAnsi="Arial"/>
          <w:sz w:val="22"/>
          <w:szCs w:val="22"/>
          <w:color w:val="auto"/>
        </w:rPr>
        <w:t>Board authorization and delegation levels with respect to financing matters.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Finance Committee also reviews and discusses with management:</w:t>
      </w:r>
    </w:p>
    <w:p>
      <w:pPr>
        <w:spacing w:after="0" w:line="98" w:lineRule="exact"/>
        <w:rPr>
          <w:sz w:val="20"/>
          <w:szCs w:val="20"/>
          <w:color w:val="auto"/>
        </w:rPr>
      </w:pPr>
    </w:p>
    <w:p>
      <w:pPr>
        <w:ind w:left="260" w:right="200" w:hanging="212"/>
        <w:spacing w:after="0" w:line="259" w:lineRule="auto"/>
        <w:tabs>
          <w:tab w:leader="none" w:pos="260" w:val="left"/>
        </w:tabs>
        <w:numPr>
          <w:ilvl w:val="0"/>
          <w:numId w:val="40"/>
        </w:numPr>
        <w:rPr>
          <w:rFonts w:ascii="Arial" w:cs="Arial" w:eastAsia="Arial" w:hAnsi="Arial"/>
          <w:sz w:val="22"/>
          <w:szCs w:val="22"/>
          <w:color w:val="582C83"/>
        </w:rPr>
      </w:pPr>
      <w:r>
        <w:rPr>
          <w:rFonts w:ascii="Arial" w:cs="Arial" w:eastAsia="Arial" w:hAnsi="Arial"/>
          <w:sz w:val="22"/>
          <w:szCs w:val="22"/>
          <w:color w:val="auto"/>
        </w:rPr>
        <w:t>results of transactions such as acquisitions, divestitures, joint ventures and investments in excess of $100 million; and</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0"/>
        </w:numPr>
        <w:rPr>
          <w:rFonts w:ascii="Arial" w:cs="Arial" w:eastAsia="Arial" w:hAnsi="Arial"/>
          <w:sz w:val="22"/>
          <w:szCs w:val="22"/>
          <w:color w:val="582C83"/>
        </w:rPr>
      </w:pPr>
      <w:r>
        <w:rPr>
          <w:rFonts w:ascii="Arial" w:cs="Arial" w:eastAsia="Arial" w:hAnsi="Arial"/>
          <w:sz w:val="22"/>
          <w:szCs w:val="22"/>
          <w:color w:val="auto"/>
        </w:rPr>
        <w:t>the cash-flow impact of non-debt obligations, including funding pension and other post-retirement benefit plans.</w:t>
      </w:r>
    </w:p>
    <w:p>
      <w:pPr>
        <w:spacing w:after="0" w:line="17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Governance, Membership and Sustainability Committee</w:t>
      </w:r>
    </w:p>
    <w:p>
      <w:pPr>
        <w:spacing w:after="0" w:line="187" w:lineRule="exact"/>
        <w:rPr>
          <w:sz w:val="20"/>
          <w:szCs w:val="20"/>
          <w:color w:val="auto"/>
        </w:rPr>
      </w:pPr>
    </w:p>
    <w:p>
      <w:pPr>
        <w:ind w:left="40" w:right="160"/>
        <w:spacing w:after="0" w:line="259" w:lineRule="auto"/>
        <w:rPr>
          <w:sz w:val="20"/>
          <w:szCs w:val="20"/>
          <w:color w:val="auto"/>
        </w:rPr>
      </w:pPr>
      <w:r>
        <w:rPr>
          <w:rFonts w:ascii="Arial" w:cs="Arial" w:eastAsia="Arial" w:hAnsi="Arial"/>
          <w:sz w:val="22"/>
          <w:szCs w:val="22"/>
          <w:color w:val="auto"/>
        </w:rPr>
        <w:t>The Governance Committee’s charter sets out its responsibilities. Among other duties, the Governance Committee’s activities include:</w:t>
      </w:r>
    </w:p>
    <w:p>
      <w:pPr>
        <w:spacing w:after="0" w:line="48" w:lineRule="exact"/>
        <w:rPr>
          <w:sz w:val="20"/>
          <w:szCs w:val="20"/>
          <w:color w:val="auto"/>
        </w:rPr>
      </w:pPr>
    </w:p>
    <w:p>
      <w:pPr>
        <w:ind w:left="260" w:right="920" w:hanging="212"/>
        <w:spacing w:after="0" w:line="259"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at least annually, reviewing the characteristics, skills, knowledge, experience for identifying and evaluating directors and recommend changes to the Board, if any;</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reviewing candidates’ qualifications for Board membership consistent with criteria determined by the Board;</w:t>
      </w:r>
    </w:p>
    <w:p>
      <w:pPr>
        <w:spacing w:after="0" w:line="98" w:lineRule="exact"/>
        <w:rPr>
          <w:rFonts w:ascii="Arial" w:cs="Arial" w:eastAsia="Arial" w:hAnsi="Arial"/>
          <w:sz w:val="22"/>
          <w:szCs w:val="22"/>
          <w:color w:val="582C83"/>
        </w:rPr>
      </w:pPr>
    </w:p>
    <w:p>
      <w:pPr>
        <w:ind w:left="260" w:right="200" w:hanging="212"/>
        <w:spacing w:after="0" w:line="245"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considering the performance and suitability of incumbent directors for re-election and recommending to the Board a slate of nominees for each annual meeting of shareholders and candidates to be appointed to the Board as necessary to fill vacancies and newly created directorships;</w:t>
      </w:r>
    </w:p>
    <w:p>
      <w:pPr>
        <w:spacing w:after="0" w:line="62" w:lineRule="exact"/>
        <w:rPr>
          <w:rFonts w:ascii="Arial" w:cs="Arial" w:eastAsia="Arial" w:hAnsi="Arial"/>
          <w:sz w:val="22"/>
          <w:szCs w:val="22"/>
          <w:color w:val="582C83"/>
        </w:rPr>
      </w:pPr>
    </w:p>
    <w:p>
      <w:pPr>
        <w:ind w:left="260" w:hanging="212"/>
        <w:spacing w:after="0"/>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making recommendations to the Board as to directors’ independence and related person transactions;</w:t>
      </w:r>
    </w:p>
    <w:p>
      <w:pPr>
        <w:spacing w:after="0" w:line="98" w:lineRule="exact"/>
        <w:rPr>
          <w:rFonts w:ascii="Arial" w:cs="Arial" w:eastAsia="Arial" w:hAnsi="Arial"/>
          <w:sz w:val="22"/>
          <w:szCs w:val="22"/>
          <w:color w:val="582C83"/>
        </w:rPr>
      </w:pPr>
    </w:p>
    <w:p>
      <w:pPr>
        <w:ind w:left="260" w:right="380" w:hanging="212"/>
        <w:spacing w:after="0" w:line="259"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making recommendations to the Board concerning the functions, composition and structure of the Board and its committees;</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recommending the frequency of Board meetings and content of Board agendas;</w:t>
      </w:r>
    </w:p>
    <w:p>
      <w:pPr>
        <w:spacing w:after="0" w:line="98" w:lineRule="exact"/>
        <w:rPr>
          <w:rFonts w:ascii="Arial" w:cs="Arial" w:eastAsia="Arial" w:hAnsi="Arial"/>
          <w:sz w:val="22"/>
          <w:szCs w:val="22"/>
          <w:color w:val="582C83"/>
        </w:rPr>
      </w:pPr>
    </w:p>
    <w:p>
      <w:pPr>
        <w:ind w:left="260" w:hanging="212"/>
        <w:spacing w:after="0"/>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recommending to the Board the directors’ retirement age;</w:t>
      </w:r>
    </w:p>
    <w:p>
      <w:pPr>
        <w:spacing w:after="0" w:line="98" w:lineRule="exact"/>
        <w:rPr>
          <w:rFonts w:ascii="Arial" w:cs="Arial" w:eastAsia="Arial" w:hAnsi="Arial"/>
          <w:sz w:val="22"/>
          <w:szCs w:val="22"/>
          <w:color w:val="582C83"/>
        </w:rPr>
      </w:pPr>
    </w:p>
    <w:p>
      <w:pPr>
        <w:jc w:val="both"/>
        <w:ind w:left="260" w:right="380" w:hanging="212"/>
        <w:spacing w:after="0" w:line="283" w:lineRule="auto"/>
        <w:tabs>
          <w:tab w:leader="none" w:pos="260" w:val="left"/>
        </w:tabs>
        <w:numPr>
          <w:ilvl w:val="0"/>
          <w:numId w:val="41"/>
        </w:numPr>
        <w:rPr>
          <w:rFonts w:ascii="Arial" w:cs="Arial" w:eastAsia="Arial" w:hAnsi="Arial"/>
          <w:sz w:val="21"/>
          <w:szCs w:val="21"/>
          <w:color w:val="582C83"/>
        </w:rPr>
      </w:pPr>
      <w:r>
        <w:rPr>
          <w:rFonts w:ascii="Arial" w:cs="Arial" w:eastAsia="Arial" w:hAnsi="Arial"/>
          <w:sz w:val="21"/>
          <w:szCs w:val="21"/>
          <w:color w:val="auto"/>
        </w:rPr>
        <w:t>advising and making recommendations to the Board on corporate governance matters, including the Corporate Governance Guidelines and the annual self-assessment process for the Board, its committees and its directors;</w:t>
      </w:r>
    </w:p>
    <w:p>
      <w:pPr>
        <w:spacing w:after="0" w:line="24" w:lineRule="exact"/>
        <w:rPr>
          <w:rFonts w:ascii="Arial" w:cs="Arial" w:eastAsia="Arial" w:hAnsi="Arial"/>
          <w:sz w:val="21"/>
          <w:szCs w:val="21"/>
          <w:color w:val="582C83"/>
        </w:rPr>
      </w:pPr>
    </w:p>
    <w:p>
      <w:pPr>
        <w:ind w:left="260" w:right="540" w:hanging="212"/>
        <w:spacing w:after="0" w:line="259"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administering the Code of Business Conduct and Ethics for Non-Employee Directors and monitoring directors’ compliance with our stock ownership guidelines;</w:t>
      </w:r>
    </w:p>
    <w:p>
      <w:pPr>
        <w:spacing w:after="0" w:line="48" w:lineRule="exact"/>
        <w:rPr>
          <w:rFonts w:ascii="Arial" w:cs="Arial" w:eastAsia="Arial" w:hAnsi="Arial"/>
          <w:sz w:val="22"/>
          <w:szCs w:val="22"/>
          <w:color w:val="582C83"/>
        </w:rPr>
      </w:pPr>
    </w:p>
    <w:p>
      <w:pPr>
        <w:ind w:left="260" w:right="480" w:hanging="212"/>
        <w:spacing w:after="0" w:line="245"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overseeing policies and programs related to corporate citizenship, social responsibility and public policy issues significant to Mondelēz International such as sustainability and environmental responsibility; food labeling, marketing and packaging; and philanthropic and political activities and contributions;</w:t>
      </w:r>
    </w:p>
    <w:p>
      <w:pPr>
        <w:spacing w:after="0" w:line="62" w:lineRule="exact"/>
        <w:rPr>
          <w:rFonts w:ascii="Arial" w:cs="Arial" w:eastAsia="Arial" w:hAnsi="Arial"/>
          <w:sz w:val="22"/>
          <w:szCs w:val="22"/>
          <w:color w:val="582C83"/>
        </w:rPr>
      </w:pPr>
    </w:p>
    <w:p>
      <w:pPr>
        <w:jc w:val="both"/>
        <w:ind w:left="260" w:right="960" w:hanging="212"/>
        <w:spacing w:after="0" w:line="283" w:lineRule="auto"/>
        <w:tabs>
          <w:tab w:leader="none" w:pos="260" w:val="left"/>
        </w:tabs>
        <w:numPr>
          <w:ilvl w:val="0"/>
          <w:numId w:val="41"/>
        </w:numPr>
        <w:rPr>
          <w:rFonts w:ascii="Arial" w:cs="Arial" w:eastAsia="Arial" w:hAnsi="Arial"/>
          <w:sz w:val="21"/>
          <w:szCs w:val="21"/>
          <w:color w:val="582C83"/>
        </w:rPr>
      </w:pPr>
      <w:r>
        <w:rPr>
          <w:rFonts w:ascii="Arial" w:cs="Arial" w:eastAsia="Arial" w:hAnsi="Arial"/>
          <w:sz w:val="21"/>
          <w:szCs w:val="21"/>
          <w:color w:val="auto"/>
        </w:rPr>
        <w:t>overseeing our ESG framework, including critical issues, KPI performance and strategic communications; consumer well-being, environmental and social sustainability; and Board ESG education and capabilities;</w:t>
      </w:r>
    </w:p>
    <w:p>
      <w:pPr>
        <w:spacing w:after="0" w:line="24" w:lineRule="exact"/>
        <w:rPr>
          <w:rFonts w:ascii="Arial" w:cs="Arial" w:eastAsia="Arial" w:hAnsi="Arial"/>
          <w:sz w:val="21"/>
          <w:szCs w:val="21"/>
          <w:color w:val="582C83"/>
        </w:rPr>
      </w:pPr>
    </w:p>
    <w:p>
      <w:pPr>
        <w:ind w:left="260" w:right="260" w:hanging="212"/>
        <w:spacing w:after="0" w:line="259" w:lineRule="auto"/>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monitoring issues, trends, internal and external factors and relationships that may affect Mondelēz International’s public image and reputation and the food and beverage industry; and</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1"/>
        </w:numPr>
        <w:rPr>
          <w:rFonts w:ascii="Arial" w:cs="Arial" w:eastAsia="Arial" w:hAnsi="Arial"/>
          <w:sz w:val="22"/>
          <w:szCs w:val="22"/>
          <w:color w:val="582C83"/>
        </w:rPr>
      </w:pPr>
      <w:r>
        <w:rPr>
          <w:rFonts w:ascii="Arial" w:cs="Arial" w:eastAsia="Arial" w:hAnsi="Arial"/>
          <w:sz w:val="22"/>
          <w:szCs w:val="22"/>
          <w:color w:val="auto"/>
        </w:rPr>
        <w:t>monitor significant developments in the regulatory environment.</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POLITICAL ACTIVITY AND GOVERNANCE</w:t>
      </w:r>
    </w:p>
    <w:p>
      <w:pPr>
        <w:spacing w:after="0" w:line="58" w:lineRule="exact"/>
        <w:rPr>
          <w:sz w:val="20"/>
          <w:szCs w:val="20"/>
          <w:color w:val="auto"/>
        </w:rPr>
      </w:pPr>
    </w:p>
    <w:p>
      <w:pPr>
        <w:ind w:left="40" w:right="20"/>
        <w:spacing w:after="0" w:line="236" w:lineRule="auto"/>
        <w:rPr>
          <w:sz w:val="20"/>
          <w:szCs w:val="20"/>
          <w:color w:val="auto"/>
        </w:rPr>
      </w:pPr>
      <w:r>
        <w:rPr>
          <w:rFonts w:ascii="Arial" w:cs="Arial" w:eastAsia="Arial" w:hAnsi="Arial"/>
          <w:sz w:val="22"/>
          <w:szCs w:val="22"/>
          <w:color w:val="auto"/>
        </w:rPr>
        <w:t>We maintain a robust governance framework for overseeing our political activities. We do so responsibly and transparently, with priority on compliance with federal, state and local laws. The Governance Committee oversees our policies and programs related to corporate citizenship and public policy issues significant to the Company. As our success depends on sound public policies, we regularly work with government officials regarding matters of concern in accordance with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121920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54" w:name="page55"/>
    <w:bookmarkEnd w:id="54"/>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 xml:space="preserve">Mondelēz International has a proud history of involvement in the communities where employees live and work, including participation in the political process to support policies that impact our communities, employees and businesses. We provide comprehensive disclosure of political activity through our website: </w:t>
      </w:r>
      <w:r>
        <w:rPr>
          <w:rFonts w:ascii="Arial" w:cs="Arial" w:eastAsia="Arial" w:hAnsi="Arial"/>
          <w:sz w:val="22"/>
          <w:szCs w:val="22"/>
          <w:i w:val="1"/>
          <w:iCs w:val="1"/>
          <w:color w:val="582C83"/>
        </w:rPr>
        <w:t xml:space="preserve">www.mondelezinternational.com/investors/corporate-governance/board-oversight-of-corporate-citizenship </w:t>
      </w:r>
      <w:r>
        <w:rPr>
          <w:rFonts w:ascii="Arial" w:cs="Arial" w:eastAsia="Arial" w:hAnsi="Arial"/>
          <w:sz w:val="22"/>
          <w:szCs w:val="22"/>
          <w:color w:val="000000"/>
        </w:rPr>
        <w:t>reflecting</w:t>
      </w:r>
      <w:r>
        <w:rPr>
          <w:rFonts w:ascii="Arial" w:cs="Arial" w:eastAsia="Arial" w:hAnsi="Arial"/>
          <w:sz w:val="22"/>
          <w:szCs w:val="22"/>
          <w:i w:val="1"/>
          <w:iCs w:val="1"/>
          <w:color w:val="582C83"/>
        </w:rPr>
        <w:t xml:space="preserve"> </w:t>
      </w:r>
      <w:r>
        <w:rPr>
          <w:rFonts w:ascii="Arial" w:cs="Arial" w:eastAsia="Arial" w:hAnsi="Arial"/>
          <w:sz w:val="22"/>
          <w:szCs w:val="22"/>
          <w:color w:val="000000"/>
        </w:rPr>
        <w:t>our policies and procedures for making political contributions and expenditures. In addition, the website provides information on our lobbying activities and a link to the lobbying disclosure reports we file with the U.S. Congress. A list of trade associations to which we pay dues of more than $50,000 annually, including the portion of dues attributable to lobbying, can also be found on our website. As demonstrated by our robust reporting, we are firmly committed to providing shareholders with transparency about our political activities.</w:t>
      </w:r>
    </w:p>
    <w:p>
      <w:pPr>
        <w:spacing w:after="0" w:line="153"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People and Compensation Committee</w:t>
      </w:r>
    </w:p>
    <w:p>
      <w:pPr>
        <w:spacing w:after="0" w:line="185" w:lineRule="exact"/>
        <w:rPr>
          <w:sz w:val="20"/>
          <w:szCs w:val="20"/>
          <w:color w:val="auto"/>
        </w:rPr>
      </w:pPr>
    </w:p>
    <w:p>
      <w:pPr>
        <w:ind w:left="40" w:right="740"/>
        <w:spacing w:after="0" w:line="288" w:lineRule="auto"/>
        <w:rPr>
          <w:sz w:val="20"/>
          <w:szCs w:val="20"/>
          <w:color w:val="auto"/>
        </w:rPr>
      </w:pPr>
      <w:r>
        <w:rPr>
          <w:rFonts w:ascii="Arial" w:cs="Arial" w:eastAsia="Arial" w:hAnsi="Arial"/>
          <w:sz w:val="24"/>
          <w:szCs w:val="24"/>
          <w:b w:val="1"/>
          <w:bCs w:val="1"/>
          <w:color w:val="582C83"/>
        </w:rPr>
        <w:t>PEOPLE AND COMPENSATION COMMITTEE INDEPENDENCE, INTERLOCKS AND INSIDER PARTICIPATION</w:t>
      </w:r>
    </w:p>
    <w:p>
      <w:pPr>
        <w:spacing w:after="0" w:line="1" w:lineRule="exact"/>
        <w:rPr>
          <w:sz w:val="20"/>
          <w:szCs w:val="20"/>
          <w:color w:val="auto"/>
        </w:rPr>
      </w:pPr>
    </w:p>
    <w:p>
      <w:pPr>
        <w:ind w:left="40" w:right="40"/>
        <w:spacing w:after="0" w:line="238" w:lineRule="auto"/>
        <w:rPr>
          <w:sz w:val="20"/>
          <w:szCs w:val="20"/>
          <w:color w:val="auto"/>
        </w:rPr>
      </w:pPr>
      <w:r>
        <w:rPr>
          <w:rFonts w:ascii="Arial" w:cs="Arial" w:eastAsia="Arial" w:hAnsi="Arial"/>
          <w:sz w:val="22"/>
          <w:szCs w:val="22"/>
          <w:color w:val="auto"/>
        </w:rPr>
        <w:t>The Board determined that all People and Compensation Committee members are independent within the meaning of the Nasdaq listing standards, including the heightened independence criteria for People and Compensation Committee members. All are “non-employee” directors under SEC rules and outside directors under the Internal Revenue Code of 1986, as amended (the “Code”). None of the People and Compensation Committee’s members are or were:</w:t>
      </w:r>
    </w:p>
    <w:p>
      <w:pPr>
        <w:spacing w:after="0" w:line="69" w:lineRule="exact"/>
        <w:rPr>
          <w:sz w:val="20"/>
          <w:szCs w:val="20"/>
          <w:color w:val="auto"/>
        </w:rPr>
      </w:pPr>
    </w:p>
    <w:p>
      <w:pPr>
        <w:ind w:left="260" w:hanging="212"/>
        <w:spacing w:after="0"/>
        <w:tabs>
          <w:tab w:leader="none" w:pos="260" w:val="left"/>
        </w:tabs>
        <w:numPr>
          <w:ilvl w:val="0"/>
          <w:numId w:val="42"/>
        </w:numPr>
        <w:rPr>
          <w:rFonts w:ascii="Arial" w:cs="Arial" w:eastAsia="Arial" w:hAnsi="Arial"/>
          <w:sz w:val="22"/>
          <w:szCs w:val="22"/>
          <w:color w:val="582C83"/>
        </w:rPr>
      </w:pPr>
      <w:r>
        <w:rPr>
          <w:rFonts w:ascii="Arial" w:cs="Arial" w:eastAsia="Arial" w:hAnsi="Arial"/>
          <w:sz w:val="22"/>
          <w:szCs w:val="22"/>
          <w:color w:val="auto"/>
        </w:rPr>
        <w:t>an officer or employee of Mondelēz International;</w:t>
      </w:r>
    </w:p>
    <w:p>
      <w:pPr>
        <w:spacing w:after="0" w:line="98" w:lineRule="exact"/>
        <w:rPr>
          <w:rFonts w:ascii="Arial" w:cs="Arial" w:eastAsia="Arial" w:hAnsi="Arial"/>
          <w:sz w:val="22"/>
          <w:szCs w:val="22"/>
          <w:color w:val="582C83"/>
        </w:rPr>
      </w:pPr>
    </w:p>
    <w:p>
      <w:pPr>
        <w:ind w:left="260" w:right="480" w:hanging="212"/>
        <w:spacing w:after="0" w:line="245" w:lineRule="auto"/>
        <w:tabs>
          <w:tab w:leader="none" w:pos="260" w:val="left"/>
        </w:tabs>
        <w:numPr>
          <w:ilvl w:val="0"/>
          <w:numId w:val="42"/>
        </w:numPr>
        <w:rPr>
          <w:rFonts w:ascii="Arial" w:cs="Arial" w:eastAsia="Arial" w:hAnsi="Arial"/>
          <w:sz w:val="22"/>
          <w:szCs w:val="22"/>
          <w:color w:val="582C83"/>
        </w:rPr>
      </w:pPr>
      <w:r>
        <w:rPr>
          <w:rFonts w:ascii="Arial" w:cs="Arial" w:eastAsia="Arial" w:hAnsi="Arial"/>
          <w:sz w:val="22"/>
          <w:szCs w:val="22"/>
          <w:color w:val="auto"/>
        </w:rPr>
        <w:t>a participant in a related person transaction required to be disclosed under Item 404 of Regulation S-K (for a description of our policy on related person transactions, see “Review of Transactions with Related Persons” on page 42); or</w:t>
      </w:r>
    </w:p>
    <w:p>
      <w:pPr>
        <w:spacing w:after="0" w:line="62" w:lineRule="exact"/>
        <w:rPr>
          <w:rFonts w:ascii="Arial" w:cs="Arial" w:eastAsia="Arial" w:hAnsi="Arial"/>
          <w:sz w:val="22"/>
          <w:szCs w:val="22"/>
          <w:color w:val="582C83"/>
        </w:rPr>
      </w:pPr>
    </w:p>
    <w:p>
      <w:pPr>
        <w:ind w:left="260" w:right="240" w:hanging="212"/>
        <w:spacing w:after="0" w:line="259" w:lineRule="auto"/>
        <w:tabs>
          <w:tab w:leader="none" w:pos="260" w:val="left"/>
        </w:tabs>
        <w:numPr>
          <w:ilvl w:val="0"/>
          <w:numId w:val="42"/>
        </w:numPr>
        <w:rPr>
          <w:rFonts w:ascii="Arial" w:cs="Arial" w:eastAsia="Arial" w:hAnsi="Arial"/>
          <w:sz w:val="22"/>
          <w:szCs w:val="22"/>
          <w:color w:val="582C83"/>
        </w:rPr>
      </w:pPr>
      <w:r>
        <w:rPr>
          <w:rFonts w:ascii="Arial" w:cs="Arial" w:eastAsia="Arial" w:hAnsi="Arial"/>
          <w:sz w:val="22"/>
          <w:szCs w:val="22"/>
          <w:color w:val="auto"/>
        </w:rPr>
        <w:t>an executive officer of another entity at which one of our executive officers serves on the board of directors or the compensation committee.</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24"/>
          <w:szCs w:val="24"/>
          <w:b w:val="1"/>
          <w:bCs w:val="1"/>
          <w:color w:val="582C83"/>
        </w:rPr>
        <w:t>RESPONSIBILITIES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People and Compensation Committee’s charter sets out its responsibilities, which include:</w:t>
      </w:r>
    </w:p>
    <w:p>
      <w:pPr>
        <w:spacing w:after="0" w:line="98" w:lineRule="exact"/>
        <w:rPr>
          <w:sz w:val="20"/>
          <w:szCs w:val="20"/>
          <w:color w:val="auto"/>
        </w:rPr>
      </w:pPr>
    </w:p>
    <w:p>
      <w:pPr>
        <w:ind w:left="260" w:hanging="212"/>
        <w:spacing w:after="0"/>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establishing our executive compensation philosophy;</w:t>
      </w:r>
    </w:p>
    <w:p>
      <w:pPr>
        <w:spacing w:after="0" w:line="98" w:lineRule="exact"/>
        <w:rPr>
          <w:rFonts w:ascii="Arial" w:cs="Arial" w:eastAsia="Arial" w:hAnsi="Arial"/>
          <w:sz w:val="22"/>
          <w:szCs w:val="22"/>
          <w:color w:val="582C83"/>
        </w:rPr>
      </w:pPr>
    </w:p>
    <w:p>
      <w:pPr>
        <w:ind w:left="260" w:right="220" w:hanging="212"/>
        <w:spacing w:after="0" w:line="259" w:lineRule="auto"/>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determining the group of companies the People and Compensation Committee uses to benchmark executive and director compensation;</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assessing the appropriateness and competitiveness of our executive compensation programs;</w:t>
      </w:r>
    </w:p>
    <w:p>
      <w:pPr>
        <w:spacing w:after="0" w:line="98" w:lineRule="exact"/>
        <w:rPr>
          <w:rFonts w:ascii="Arial" w:cs="Arial" w:eastAsia="Arial" w:hAnsi="Arial"/>
          <w:sz w:val="22"/>
          <w:szCs w:val="22"/>
          <w:color w:val="582C83"/>
        </w:rPr>
      </w:pPr>
    </w:p>
    <w:p>
      <w:pPr>
        <w:ind w:left="260" w:right="280" w:hanging="212"/>
        <w:spacing w:after="0" w:line="245" w:lineRule="auto"/>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reviewing and approving the CEO’s goals and objectives, evaluating the CEO’s performance against those goals and objectives and, based upon its evaluation, determining both the elements and amounts of the CEO’s compensation;</w:t>
      </w:r>
    </w:p>
    <w:p>
      <w:pPr>
        <w:spacing w:after="0" w:line="62" w:lineRule="exact"/>
        <w:rPr>
          <w:rFonts w:ascii="Arial" w:cs="Arial" w:eastAsia="Arial" w:hAnsi="Arial"/>
          <w:sz w:val="22"/>
          <w:szCs w:val="22"/>
          <w:color w:val="582C83"/>
        </w:rPr>
      </w:pPr>
    </w:p>
    <w:p>
      <w:pPr>
        <w:ind w:left="260" w:right="260" w:hanging="212"/>
        <w:spacing w:after="0" w:line="259" w:lineRule="auto"/>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reviewing and approving the compensation of the CEO’s direct reports and other officers subject to Section 16(a) of the Exchange Act;</w:t>
      </w:r>
    </w:p>
    <w:p>
      <w:pPr>
        <w:spacing w:after="0" w:line="48" w:lineRule="exact"/>
        <w:rPr>
          <w:rFonts w:ascii="Arial" w:cs="Arial" w:eastAsia="Arial" w:hAnsi="Arial"/>
          <w:sz w:val="22"/>
          <w:szCs w:val="22"/>
          <w:color w:val="582C83"/>
        </w:rPr>
      </w:pPr>
    </w:p>
    <w:p>
      <w:pPr>
        <w:ind w:left="260" w:right="200" w:hanging="212"/>
        <w:spacing w:after="0" w:line="259" w:lineRule="auto"/>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determining annual incentive compensation, equity grants and other long-term incentive grants and awards under our incentive plan;</w:t>
      </w:r>
    </w:p>
    <w:p>
      <w:pPr>
        <w:spacing w:after="0" w:line="48" w:lineRule="exact"/>
        <w:rPr>
          <w:rFonts w:ascii="Arial" w:cs="Arial" w:eastAsia="Arial" w:hAnsi="Arial"/>
          <w:sz w:val="22"/>
          <w:szCs w:val="22"/>
          <w:color w:val="582C83"/>
        </w:rPr>
      </w:pPr>
    </w:p>
    <w:p>
      <w:pPr>
        <w:ind w:left="260" w:hanging="212"/>
        <w:spacing w:after="0"/>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determining the Company’s policies governing options and other stock grants;</w:t>
      </w:r>
    </w:p>
    <w:p>
      <w:pPr>
        <w:spacing w:after="0" w:line="98" w:lineRule="exact"/>
        <w:rPr>
          <w:rFonts w:ascii="Arial" w:cs="Arial" w:eastAsia="Arial" w:hAnsi="Arial"/>
          <w:sz w:val="22"/>
          <w:szCs w:val="22"/>
          <w:color w:val="582C83"/>
        </w:rPr>
      </w:pPr>
    </w:p>
    <w:p>
      <w:pPr>
        <w:ind w:left="260" w:right="420" w:hanging="212"/>
        <w:spacing w:after="0" w:line="259" w:lineRule="auto"/>
        <w:tabs>
          <w:tab w:leader="none" w:pos="260" w:val="left"/>
        </w:tabs>
        <w:numPr>
          <w:ilvl w:val="0"/>
          <w:numId w:val="43"/>
        </w:numPr>
        <w:rPr>
          <w:rFonts w:ascii="Arial" w:cs="Arial" w:eastAsia="Arial" w:hAnsi="Arial"/>
          <w:sz w:val="22"/>
          <w:szCs w:val="22"/>
          <w:color w:val="582C83"/>
        </w:rPr>
      </w:pPr>
      <w:r>
        <w:rPr>
          <w:rFonts w:ascii="Arial" w:cs="Arial" w:eastAsia="Arial" w:hAnsi="Arial"/>
          <w:sz w:val="22"/>
          <w:szCs w:val="22"/>
          <w:color w:val="auto"/>
        </w:rPr>
        <w:t>making recommendations to the Board regarding incentive plans requiring shareholder approval and approving eligibility for and design of executive compensation programs implemented under those plans;</w:t>
      </w:r>
    </w:p>
    <w:p>
      <w:pPr>
        <w:spacing w:after="0" w:line="48" w:lineRule="exact"/>
        <w:rPr>
          <w:rFonts w:ascii="Arial" w:cs="Arial" w:eastAsia="Arial" w:hAnsi="Arial"/>
          <w:sz w:val="22"/>
          <w:szCs w:val="22"/>
          <w:color w:val="582C83"/>
        </w:rPr>
      </w:pPr>
    </w:p>
    <w:p>
      <w:pPr>
        <w:ind w:left="260" w:right="360" w:hanging="212"/>
        <w:spacing w:after="0" w:line="283" w:lineRule="auto"/>
        <w:tabs>
          <w:tab w:leader="none" w:pos="260" w:val="left"/>
        </w:tabs>
        <w:numPr>
          <w:ilvl w:val="0"/>
          <w:numId w:val="43"/>
        </w:numPr>
        <w:rPr>
          <w:rFonts w:ascii="Arial" w:cs="Arial" w:eastAsia="Arial" w:hAnsi="Arial"/>
          <w:sz w:val="21"/>
          <w:szCs w:val="21"/>
          <w:color w:val="582C83"/>
        </w:rPr>
      </w:pPr>
      <w:r>
        <w:rPr>
          <w:rFonts w:ascii="Arial" w:cs="Arial" w:eastAsia="Arial" w:hAnsi="Arial"/>
          <w:sz w:val="21"/>
          <w:szCs w:val="21"/>
          <w:color w:val="auto"/>
        </w:rPr>
        <w:t>reviewing our compensation and benefits policies and practices as they relate to our risk management practices and risk-taking incentives, and reviewing proposed material changes to those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92075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55" w:name="page56"/>
    <w:bookmarkEnd w:id="55"/>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220" w:right="860" w:hanging="212"/>
        <w:spacing w:after="0" w:line="283" w:lineRule="auto"/>
        <w:tabs>
          <w:tab w:leader="none" w:pos="220" w:val="left"/>
        </w:tabs>
        <w:numPr>
          <w:ilvl w:val="0"/>
          <w:numId w:val="44"/>
        </w:numPr>
        <w:rPr>
          <w:rFonts w:ascii="Arial" w:cs="Arial" w:eastAsia="Arial" w:hAnsi="Arial"/>
          <w:sz w:val="21"/>
          <w:szCs w:val="21"/>
          <w:color w:val="582C83"/>
        </w:rPr>
      </w:pPr>
      <w:r>
        <w:rPr>
          <w:rFonts w:ascii="Arial" w:cs="Arial" w:eastAsia="Arial" w:hAnsi="Arial"/>
          <w:sz w:val="21"/>
          <w:szCs w:val="21"/>
          <w:color w:val="auto"/>
        </w:rPr>
        <w:t>reviewing periodically the Company’s key human resources policies and practices related to organizational engagement and effectiveness, talent sourcing strategies and employee development programs;</w:t>
      </w:r>
    </w:p>
    <w:p>
      <w:pPr>
        <w:spacing w:after="0" w:line="24" w:lineRule="exact"/>
        <w:rPr>
          <w:rFonts w:ascii="Arial" w:cs="Arial" w:eastAsia="Arial" w:hAnsi="Arial"/>
          <w:sz w:val="21"/>
          <w:szCs w:val="21"/>
          <w:color w:val="582C83"/>
        </w:rPr>
      </w:pPr>
    </w:p>
    <w:p>
      <w:pPr>
        <w:ind w:left="220" w:right="360" w:hanging="212"/>
        <w:spacing w:after="0" w:line="259" w:lineRule="auto"/>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overseeing the management development and succession planning process (including emergency planning) for the CEO and his direct reports;</w:t>
      </w:r>
    </w:p>
    <w:p>
      <w:pPr>
        <w:spacing w:after="0" w:line="48" w:lineRule="exact"/>
        <w:rPr>
          <w:rFonts w:ascii="Arial" w:cs="Arial" w:eastAsia="Arial" w:hAnsi="Arial"/>
          <w:sz w:val="22"/>
          <w:szCs w:val="22"/>
          <w:color w:val="582C83"/>
        </w:rPr>
      </w:pPr>
    </w:p>
    <w:p>
      <w:pPr>
        <w:ind w:left="220" w:right="400" w:hanging="212"/>
        <w:spacing w:after="0" w:line="259" w:lineRule="auto"/>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reviewing key human resource policies and practices, including our policies, objectives and programs related to diversity, and periodically reviewing our performance on DEI;</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monitoring executive officers’ compliance with our stock ownership guidelines;</w:t>
      </w:r>
    </w:p>
    <w:p>
      <w:pPr>
        <w:spacing w:after="0" w:line="98" w:lineRule="exact"/>
        <w:rPr>
          <w:rFonts w:ascii="Arial" w:cs="Arial" w:eastAsia="Arial" w:hAnsi="Arial"/>
          <w:sz w:val="22"/>
          <w:szCs w:val="22"/>
          <w:color w:val="582C83"/>
        </w:rPr>
      </w:pPr>
    </w:p>
    <w:p>
      <w:pPr>
        <w:ind w:left="220" w:right="140" w:hanging="212"/>
        <w:spacing w:after="0" w:line="259" w:lineRule="auto"/>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benchmarking independent director compensation and considering the appropriateness of the form and amount of independent director compensation;</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advising the Board regarding the compensation of independent directors;</w:t>
      </w:r>
    </w:p>
    <w:p>
      <w:pPr>
        <w:spacing w:after="0" w:line="98" w:lineRule="exact"/>
        <w:rPr>
          <w:rFonts w:ascii="Arial" w:cs="Arial" w:eastAsia="Arial" w:hAnsi="Arial"/>
          <w:sz w:val="22"/>
          <w:szCs w:val="22"/>
          <w:color w:val="582C83"/>
        </w:rPr>
      </w:pPr>
    </w:p>
    <w:p>
      <w:pPr>
        <w:ind w:left="220" w:right="40" w:hanging="212"/>
        <w:spacing w:after="0" w:line="259" w:lineRule="auto"/>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reviewing and discussing with management the CD&amp;A and preparing and approving the People and Compensation Committee’s report to shareholders included in our Proxy Statement;</w:t>
      </w:r>
    </w:p>
    <w:p>
      <w:pPr>
        <w:spacing w:after="0" w:line="48" w:lineRule="exact"/>
        <w:rPr>
          <w:rFonts w:ascii="Arial" w:cs="Arial" w:eastAsia="Arial" w:hAnsi="Arial"/>
          <w:sz w:val="22"/>
          <w:szCs w:val="22"/>
          <w:color w:val="582C83"/>
        </w:rPr>
      </w:pPr>
    </w:p>
    <w:p>
      <w:pPr>
        <w:ind w:left="220" w:right="160" w:hanging="212"/>
        <w:spacing w:after="0" w:line="245" w:lineRule="auto"/>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assessing the independence of the People and Compensation Committee’s outside advisors and at least annually assessing whether the work of its compensation consultants has raised any conflict of interest that must be disclosed in our annual report and Proxy Statement; and</w:t>
      </w:r>
    </w:p>
    <w:p>
      <w:pPr>
        <w:spacing w:after="0" w:line="62" w:lineRule="exact"/>
        <w:rPr>
          <w:rFonts w:ascii="Arial" w:cs="Arial" w:eastAsia="Arial" w:hAnsi="Arial"/>
          <w:sz w:val="22"/>
          <w:szCs w:val="22"/>
          <w:color w:val="582C83"/>
        </w:rPr>
      </w:pPr>
    </w:p>
    <w:p>
      <w:pPr>
        <w:ind w:left="220" w:hanging="212"/>
        <w:spacing w:after="0"/>
        <w:tabs>
          <w:tab w:leader="none" w:pos="220" w:val="left"/>
        </w:tabs>
        <w:numPr>
          <w:ilvl w:val="0"/>
          <w:numId w:val="44"/>
        </w:numPr>
        <w:rPr>
          <w:rFonts w:ascii="Arial" w:cs="Arial" w:eastAsia="Arial" w:hAnsi="Arial"/>
          <w:sz w:val="22"/>
          <w:szCs w:val="22"/>
          <w:color w:val="582C83"/>
        </w:rPr>
      </w:pPr>
      <w:r>
        <w:rPr>
          <w:rFonts w:ascii="Arial" w:cs="Arial" w:eastAsia="Arial" w:hAnsi="Arial"/>
          <w:sz w:val="22"/>
          <w:szCs w:val="22"/>
          <w:color w:val="auto"/>
        </w:rPr>
        <w:t>assessing the results of the Company’s most recent advisory vote on executive compensation.</w:t>
      </w:r>
    </w:p>
    <w:p>
      <w:pPr>
        <w:spacing w:after="0" w:line="179" w:lineRule="exact"/>
        <w:rPr>
          <w:sz w:val="20"/>
          <w:szCs w:val="20"/>
          <w:color w:val="auto"/>
        </w:rPr>
      </w:pPr>
    </w:p>
    <w:p>
      <w:pPr>
        <w:ind w:right="160"/>
        <w:spacing w:after="0" w:line="245" w:lineRule="auto"/>
        <w:rPr>
          <w:sz w:val="20"/>
          <w:szCs w:val="20"/>
          <w:color w:val="auto"/>
        </w:rPr>
      </w:pPr>
      <w:r>
        <w:rPr>
          <w:rFonts w:ascii="Arial" w:cs="Arial" w:eastAsia="Arial" w:hAnsi="Arial"/>
          <w:sz w:val="22"/>
          <w:szCs w:val="22"/>
          <w:color w:val="auto"/>
        </w:rPr>
        <w:t>The People and Compensation Committee has the authority to delegate any of its responsibilities to the committee’s Chair, another People and Compensation Committee member, or a subcommittee of People and Compensation Committee members, unless prohibited by law, regulation or any Nasdaq listing standard.</w:t>
      </w:r>
    </w:p>
    <w:p>
      <w:pPr>
        <w:spacing w:after="0" w:line="277" w:lineRule="exact"/>
        <w:rPr>
          <w:sz w:val="20"/>
          <w:szCs w:val="20"/>
          <w:color w:val="auto"/>
        </w:rPr>
      </w:pPr>
    </w:p>
    <w:p>
      <w:pPr>
        <w:ind w:right="80"/>
        <w:spacing w:after="0" w:line="288" w:lineRule="auto"/>
        <w:rPr>
          <w:sz w:val="20"/>
          <w:szCs w:val="20"/>
          <w:color w:val="auto"/>
        </w:rPr>
      </w:pPr>
      <w:r>
        <w:rPr>
          <w:rFonts w:ascii="Arial" w:cs="Arial" w:eastAsia="Arial" w:hAnsi="Arial"/>
          <w:sz w:val="24"/>
          <w:szCs w:val="24"/>
          <w:b w:val="1"/>
          <w:bCs w:val="1"/>
          <w:color w:val="582C83"/>
        </w:rPr>
        <w:t>THE PEOPLE AND COMPENSATION COMMITTEE’S USE OF AN INDEPENDENT COMPENSATION CONSULTANT</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People and Compensation Committee retains an independent compensation consultant to assist in evaluating executive compensation programs and advise regarding the amount and form of executive and director compensation. It uses a consultant to provide additional assurance that our executive and director compensation programs are reasonable, competitive and consistent with our objectives. It directly engages the consultant under an engagement letter that the People and Compensation Committee reviews at least annually.</w:t>
      </w:r>
    </w:p>
    <w:p>
      <w:pPr>
        <w:spacing w:after="0" w:line="150" w:lineRule="exact"/>
        <w:rPr>
          <w:sz w:val="20"/>
          <w:szCs w:val="20"/>
          <w:color w:val="auto"/>
        </w:rPr>
      </w:pPr>
    </w:p>
    <w:p>
      <w:pPr>
        <w:ind w:right="60"/>
        <w:spacing w:after="0" w:line="262" w:lineRule="auto"/>
        <w:rPr>
          <w:sz w:val="20"/>
          <w:szCs w:val="20"/>
          <w:color w:val="auto"/>
        </w:rPr>
      </w:pPr>
      <w:r>
        <w:rPr>
          <w:rFonts w:ascii="Arial" w:cs="Arial" w:eastAsia="Arial" w:hAnsi="Arial"/>
          <w:sz w:val="21"/>
          <w:szCs w:val="21"/>
          <w:color w:val="auto"/>
        </w:rPr>
        <w:t>Since August 2019, the People and Compensation Committee has retained Semler Brossy as its independent compensation consultant. Annually, the People and Compensation Committee reviews Semler Brossy’s engagement. During 2021, Semler Brossy provided the People and Compensation Committee advice and services, including:</w:t>
      </w:r>
    </w:p>
    <w:p>
      <w:pPr>
        <w:spacing w:after="0" w:line="127" w:lineRule="exact"/>
        <w:rPr>
          <w:sz w:val="20"/>
          <w:szCs w:val="20"/>
          <w:color w:val="auto"/>
        </w:rPr>
      </w:pPr>
    </w:p>
    <w:p>
      <w:pPr>
        <w:ind w:left="220" w:right="820" w:hanging="212"/>
        <w:spacing w:after="0" w:line="259" w:lineRule="auto"/>
        <w:tabs>
          <w:tab w:leader="none" w:pos="220" w:val="left"/>
        </w:tabs>
        <w:numPr>
          <w:ilvl w:val="0"/>
          <w:numId w:val="45"/>
        </w:numPr>
        <w:rPr>
          <w:rFonts w:ascii="Arial" w:cs="Arial" w:eastAsia="Arial" w:hAnsi="Arial"/>
          <w:sz w:val="22"/>
          <w:szCs w:val="22"/>
          <w:color w:val="582C83"/>
        </w:rPr>
      </w:pPr>
      <w:r>
        <w:rPr>
          <w:rFonts w:ascii="Arial" w:cs="Arial" w:eastAsia="Arial" w:hAnsi="Arial"/>
          <w:sz w:val="22"/>
          <w:szCs w:val="22"/>
          <w:color w:val="auto"/>
        </w:rPr>
        <w:t>regularly participating in People and Compensation Committee meetings, including executive sessions that exclude management;</w:t>
      </w:r>
    </w:p>
    <w:p>
      <w:pPr>
        <w:spacing w:after="0" w:line="48" w:lineRule="exact"/>
        <w:rPr>
          <w:rFonts w:ascii="Arial" w:cs="Arial" w:eastAsia="Arial" w:hAnsi="Arial"/>
          <w:sz w:val="22"/>
          <w:szCs w:val="22"/>
          <w:color w:val="582C83"/>
        </w:rPr>
      </w:pPr>
    </w:p>
    <w:p>
      <w:pPr>
        <w:ind w:left="220" w:right="1060" w:hanging="212"/>
        <w:spacing w:after="0" w:line="259" w:lineRule="auto"/>
        <w:tabs>
          <w:tab w:leader="none" w:pos="220" w:val="left"/>
        </w:tabs>
        <w:numPr>
          <w:ilvl w:val="0"/>
          <w:numId w:val="45"/>
        </w:numPr>
        <w:rPr>
          <w:rFonts w:ascii="Arial" w:cs="Arial" w:eastAsia="Arial" w:hAnsi="Arial"/>
          <w:sz w:val="22"/>
          <w:szCs w:val="22"/>
          <w:color w:val="582C83"/>
        </w:rPr>
      </w:pPr>
      <w:r>
        <w:rPr>
          <w:rFonts w:ascii="Arial" w:cs="Arial" w:eastAsia="Arial" w:hAnsi="Arial"/>
          <w:sz w:val="22"/>
          <w:szCs w:val="22"/>
          <w:color w:val="auto"/>
        </w:rPr>
        <w:t>consulting with the People and Compensation Committee Chair and being available to consult with other committee members between meetings;</w:t>
      </w:r>
    </w:p>
    <w:p>
      <w:pPr>
        <w:spacing w:after="0" w:line="48" w:lineRule="exact"/>
        <w:rPr>
          <w:rFonts w:ascii="Arial" w:cs="Arial" w:eastAsia="Arial" w:hAnsi="Arial"/>
          <w:sz w:val="22"/>
          <w:szCs w:val="22"/>
          <w:color w:val="582C83"/>
        </w:rPr>
      </w:pPr>
    </w:p>
    <w:p>
      <w:pPr>
        <w:ind w:left="220" w:right="780" w:hanging="212"/>
        <w:spacing w:after="0" w:line="259" w:lineRule="auto"/>
        <w:tabs>
          <w:tab w:leader="none" w:pos="220" w:val="left"/>
        </w:tabs>
        <w:numPr>
          <w:ilvl w:val="0"/>
          <w:numId w:val="45"/>
        </w:numPr>
        <w:rPr>
          <w:rFonts w:ascii="Arial" w:cs="Arial" w:eastAsia="Arial" w:hAnsi="Arial"/>
          <w:sz w:val="22"/>
          <w:szCs w:val="22"/>
          <w:color w:val="582C83"/>
        </w:rPr>
      </w:pPr>
      <w:r>
        <w:rPr>
          <w:rFonts w:ascii="Arial" w:cs="Arial" w:eastAsia="Arial" w:hAnsi="Arial"/>
          <w:sz w:val="22"/>
          <w:szCs w:val="22"/>
          <w:color w:val="auto"/>
        </w:rPr>
        <w:t>advising on the composition of the Compensation Survey Peer Group and the Performance Peer Group (as described on page 84) used for benchmarking pay, incentive design and performance;</w:t>
      </w:r>
    </w:p>
    <w:p>
      <w:pPr>
        <w:spacing w:after="0" w:line="48" w:lineRule="exact"/>
        <w:rPr>
          <w:rFonts w:ascii="Arial" w:cs="Arial" w:eastAsia="Arial" w:hAnsi="Arial"/>
          <w:sz w:val="22"/>
          <w:szCs w:val="22"/>
          <w:color w:val="582C83"/>
        </w:rPr>
      </w:pPr>
    </w:p>
    <w:p>
      <w:pPr>
        <w:ind w:left="220" w:right="120" w:hanging="212"/>
        <w:spacing w:after="0" w:line="245" w:lineRule="auto"/>
        <w:tabs>
          <w:tab w:leader="none" w:pos="220" w:val="left"/>
        </w:tabs>
        <w:numPr>
          <w:ilvl w:val="0"/>
          <w:numId w:val="45"/>
        </w:numPr>
        <w:rPr>
          <w:rFonts w:ascii="Arial" w:cs="Arial" w:eastAsia="Arial" w:hAnsi="Arial"/>
          <w:sz w:val="22"/>
          <w:szCs w:val="22"/>
          <w:color w:val="582C83"/>
        </w:rPr>
      </w:pPr>
      <w:r>
        <w:rPr>
          <w:rFonts w:ascii="Arial" w:cs="Arial" w:eastAsia="Arial" w:hAnsi="Arial"/>
          <w:sz w:val="22"/>
          <w:szCs w:val="22"/>
          <w:color w:val="auto"/>
        </w:rPr>
        <w:t>providing competitive peer group compensation data for executive positions and evaluating how the compensation we pay the NEOs (as described on page 84) relates both to the Company’s performance and to how peers compensate their executives;</w:t>
      </w:r>
    </w:p>
    <w:p>
      <w:pPr>
        <w:spacing w:after="0" w:line="62" w:lineRule="exact"/>
        <w:rPr>
          <w:rFonts w:ascii="Arial" w:cs="Arial" w:eastAsia="Arial" w:hAnsi="Arial"/>
          <w:sz w:val="22"/>
          <w:szCs w:val="22"/>
          <w:color w:val="582C83"/>
        </w:rPr>
      </w:pPr>
    </w:p>
    <w:p>
      <w:pPr>
        <w:ind w:left="220" w:right="220" w:hanging="212"/>
        <w:spacing w:after="0" w:line="259" w:lineRule="auto"/>
        <w:tabs>
          <w:tab w:leader="none" w:pos="220" w:val="left"/>
        </w:tabs>
        <w:numPr>
          <w:ilvl w:val="0"/>
          <w:numId w:val="45"/>
        </w:numPr>
        <w:rPr>
          <w:rFonts w:ascii="Arial" w:cs="Arial" w:eastAsia="Arial" w:hAnsi="Arial"/>
          <w:sz w:val="22"/>
          <w:szCs w:val="22"/>
          <w:color w:val="582C83"/>
        </w:rPr>
      </w:pPr>
      <w:r>
        <w:rPr>
          <w:rFonts w:ascii="Arial" w:cs="Arial" w:eastAsia="Arial" w:hAnsi="Arial"/>
          <w:sz w:val="22"/>
          <w:szCs w:val="22"/>
          <w:color w:val="auto"/>
        </w:rPr>
        <w:t>analyzing best practices and providing advice about design of the annual and long-term incentive plans, including selecting performance metrics and ranges;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7" w:lineRule="exact"/>
        <w:rPr>
          <w:sz w:val="20"/>
          <w:szCs w:val="20"/>
          <w:color w:val="auto"/>
        </w:rPr>
      </w:pPr>
    </w:p>
    <w:p>
      <w:pPr>
        <w:ind w:left="220" w:right="600" w:hanging="212"/>
        <w:spacing w:after="0" w:line="259" w:lineRule="auto"/>
        <w:tabs>
          <w:tab w:leader="none" w:pos="220" w:val="left"/>
        </w:tabs>
        <w:numPr>
          <w:ilvl w:val="0"/>
          <w:numId w:val="46"/>
        </w:numPr>
        <w:rPr>
          <w:rFonts w:ascii="Arial" w:cs="Arial" w:eastAsia="Arial" w:hAnsi="Arial"/>
          <w:sz w:val="22"/>
          <w:szCs w:val="22"/>
          <w:color w:val="582C83"/>
        </w:rPr>
      </w:pPr>
      <w:r>
        <w:rPr>
          <w:rFonts w:ascii="Arial" w:cs="Arial" w:eastAsia="Arial" w:hAnsi="Arial"/>
          <w:sz w:val="22"/>
          <w:szCs w:val="22"/>
          <w:color w:val="auto"/>
        </w:rPr>
        <w:t>updating the People and Compensation Committee on executive compensation trends, issues and regulatory developments;</w:t>
      </w:r>
    </w:p>
    <w:p>
      <w:pPr>
        <w:spacing w:after="0" w:line="48" w:lineRule="exact"/>
        <w:rPr>
          <w:rFonts w:ascii="Arial" w:cs="Arial" w:eastAsia="Arial" w:hAnsi="Arial"/>
          <w:sz w:val="22"/>
          <w:szCs w:val="22"/>
          <w:color w:val="582C83"/>
        </w:rPr>
      </w:pPr>
    </w:p>
    <w:p>
      <w:pPr>
        <w:ind w:left="220" w:right="1300" w:hanging="212"/>
        <w:spacing w:after="0" w:line="259" w:lineRule="auto"/>
        <w:tabs>
          <w:tab w:leader="none" w:pos="220" w:val="left"/>
        </w:tabs>
        <w:numPr>
          <w:ilvl w:val="0"/>
          <w:numId w:val="46"/>
        </w:numPr>
        <w:rPr>
          <w:rFonts w:ascii="Arial" w:cs="Arial" w:eastAsia="Arial" w:hAnsi="Arial"/>
          <w:sz w:val="22"/>
          <w:szCs w:val="22"/>
          <w:color w:val="582C83"/>
        </w:rPr>
      </w:pPr>
      <w:r>
        <w:rPr>
          <w:rFonts w:ascii="Arial" w:cs="Arial" w:eastAsia="Arial" w:hAnsi="Arial"/>
          <w:sz w:val="22"/>
          <w:szCs w:val="22"/>
          <w:color w:val="auto"/>
        </w:rPr>
        <w:t>advising on our proxy statement and CD&amp;A, and supporting our efforts in shareholder outreach on the compensation program; and</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46"/>
        </w:numPr>
        <w:rPr>
          <w:rFonts w:ascii="Arial" w:cs="Arial" w:eastAsia="Arial" w:hAnsi="Arial"/>
          <w:sz w:val="22"/>
          <w:szCs w:val="22"/>
          <w:color w:val="582C83"/>
        </w:rPr>
      </w:pPr>
      <w:r>
        <w:rPr>
          <w:rFonts w:ascii="Arial" w:cs="Arial" w:eastAsia="Arial" w:hAnsi="Arial"/>
          <w:sz w:val="22"/>
          <w:szCs w:val="22"/>
          <w:color w:val="auto"/>
        </w:rPr>
        <w:t>benchmarking, assessing and recommending non-employee director compensation.</w:t>
      </w:r>
    </w:p>
    <w:p>
      <w:pPr>
        <w:spacing w:after="0" w:line="179" w:lineRule="exact"/>
        <w:rPr>
          <w:sz w:val="20"/>
          <w:szCs w:val="20"/>
          <w:color w:val="auto"/>
        </w:rPr>
      </w:pPr>
    </w:p>
    <w:p>
      <w:pPr>
        <w:ind w:right="360"/>
        <w:spacing w:after="0" w:line="245" w:lineRule="auto"/>
        <w:rPr>
          <w:sz w:val="20"/>
          <w:szCs w:val="20"/>
          <w:color w:val="auto"/>
        </w:rPr>
      </w:pPr>
      <w:r>
        <w:rPr>
          <w:rFonts w:ascii="Arial" w:cs="Arial" w:eastAsia="Arial" w:hAnsi="Arial"/>
          <w:sz w:val="22"/>
          <w:szCs w:val="22"/>
          <w:color w:val="auto"/>
        </w:rPr>
        <w:t>For the year ended December 31, 2021, Semler Brossy provided no services to Mondelēz International other than consulting services to the People and Compensation Committee regarding executive and non-employee director compensation.</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At least annually, the People and Compensation Committee reviews the current engagements and the objectivity and independence of the advice that Semler Brossy provides on executive and non-employee director compensation. The People and Compensation Committee considered the six specific independence factors adopted by the SEC and Nasdaq and determined that Semler Brossy is independent and Semler Brossy’s work did not raise any conflicts of interest.</w:t>
      </w:r>
    </w:p>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24"/>
          <w:szCs w:val="24"/>
          <w:b w:val="1"/>
          <w:bCs w:val="1"/>
          <w:color w:val="582C83"/>
        </w:rPr>
        <w:t>EXECUTIVE OFFICERS HAVE A LIMITED ROLE IN THE PEOPLE AND COMPENSATION COMMITTEE’S DETERMINATION OF EXECUTIVE COMPENSATION AND RECOMMENDATIONS TO THE BOARD REGARDING NON-EMPLOYEE DIRECTOR COMPENSATION</w:t>
      </w:r>
    </w:p>
    <w:p>
      <w:pPr>
        <w:spacing w:after="0" w:line="12" w:lineRule="exact"/>
        <w:rPr>
          <w:sz w:val="20"/>
          <w:szCs w:val="20"/>
          <w:color w:val="auto"/>
        </w:rPr>
      </w:pPr>
    </w:p>
    <w:p>
      <w:pPr>
        <w:ind w:left="220" w:right="760" w:hanging="212"/>
        <w:spacing w:after="0" w:line="254" w:lineRule="auto"/>
        <w:tabs>
          <w:tab w:leader="none" w:pos="220" w:val="left"/>
        </w:tabs>
        <w:numPr>
          <w:ilvl w:val="0"/>
          <w:numId w:val="47"/>
        </w:numPr>
        <w:rPr>
          <w:rFonts w:ascii="Arial" w:cs="Arial" w:eastAsia="Arial" w:hAnsi="Arial"/>
          <w:sz w:val="21"/>
          <w:szCs w:val="21"/>
          <w:color w:val="582C83"/>
        </w:rPr>
      </w:pPr>
      <w:r>
        <w:rPr>
          <w:rFonts w:ascii="Arial" w:cs="Arial" w:eastAsia="Arial" w:hAnsi="Arial"/>
          <w:sz w:val="21"/>
          <w:szCs w:val="21"/>
          <w:color w:val="auto"/>
        </w:rPr>
        <w:t>Each year, the CEO presents compensation recommendations for his direct reports and the other executive officers, including the NEOs. The People and Compensation Committee reviews and discusses these recommendations with the CEO but retains full discretion over the compensation of these employees.</w:t>
      </w:r>
    </w:p>
    <w:p>
      <w:pPr>
        <w:spacing w:after="0" w:line="2" w:lineRule="exact"/>
        <w:rPr>
          <w:rFonts w:ascii="Arial" w:cs="Arial" w:eastAsia="Arial" w:hAnsi="Arial"/>
          <w:sz w:val="21"/>
          <w:szCs w:val="21"/>
          <w:color w:val="582C83"/>
        </w:rPr>
      </w:pPr>
    </w:p>
    <w:p>
      <w:pPr>
        <w:ind w:left="220" w:hanging="212"/>
        <w:spacing w:after="0"/>
        <w:tabs>
          <w:tab w:leader="none" w:pos="220" w:val="left"/>
        </w:tabs>
        <w:numPr>
          <w:ilvl w:val="0"/>
          <w:numId w:val="47"/>
        </w:numPr>
        <w:rPr>
          <w:rFonts w:ascii="Arial" w:cs="Arial" w:eastAsia="Arial" w:hAnsi="Arial"/>
          <w:sz w:val="22"/>
          <w:szCs w:val="22"/>
          <w:color w:val="582C83"/>
        </w:rPr>
      </w:pPr>
      <w:r>
        <w:rPr>
          <w:rFonts w:ascii="Arial" w:cs="Arial" w:eastAsia="Arial" w:hAnsi="Arial"/>
          <w:sz w:val="22"/>
          <w:szCs w:val="22"/>
          <w:color w:val="auto"/>
        </w:rPr>
        <w:t>The CEO does not make recommendations or participate in deliberations regarding his own compensation.</w:t>
      </w:r>
    </w:p>
    <w:p>
      <w:pPr>
        <w:spacing w:after="0" w:line="98" w:lineRule="exact"/>
        <w:rPr>
          <w:rFonts w:ascii="Arial" w:cs="Arial" w:eastAsia="Arial" w:hAnsi="Arial"/>
          <w:sz w:val="22"/>
          <w:szCs w:val="22"/>
          <w:color w:val="582C83"/>
        </w:rPr>
      </w:pPr>
    </w:p>
    <w:p>
      <w:pPr>
        <w:ind w:left="220" w:right="120" w:hanging="212"/>
        <w:spacing w:after="0" w:line="259" w:lineRule="auto"/>
        <w:tabs>
          <w:tab w:leader="none" w:pos="220" w:val="left"/>
        </w:tabs>
        <w:numPr>
          <w:ilvl w:val="0"/>
          <w:numId w:val="47"/>
        </w:numPr>
        <w:rPr>
          <w:rFonts w:ascii="Arial" w:cs="Arial" w:eastAsia="Arial" w:hAnsi="Arial"/>
          <w:sz w:val="22"/>
          <w:szCs w:val="22"/>
          <w:color w:val="582C83"/>
        </w:rPr>
      </w:pPr>
      <w:r>
        <w:rPr>
          <w:rFonts w:ascii="Arial" w:cs="Arial" w:eastAsia="Arial" w:hAnsi="Arial"/>
          <w:sz w:val="22"/>
          <w:szCs w:val="22"/>
          <w:color w:val="auto"/>
        </w:rPr>
        <w:t>Executive officers do not play a role in determining or recommending the amount or form of non-employee director compensation.</w:t>
      </w:r>
    </w:p>
    <w:p>
      <w:pPr>
        <w:spacing w:after="0" w:line="129" w:lineRule="exact"/>
        <w:rPr>
          <w:sz w:val="20"/>
          <w:szCs w:val="20"/>
          <w:color w:val="auto"/>
        </w:rPr>
      </w:pPr>
    </w:p>
    <w:p>
      <w:pPr>
        <w:ind w:right="740"/>
        <w:spacing w:after="0" w:line="259" w:lineRule="auto"/>
        <w:rPr>
          <w:sz w:val="20"/>
          <w:szCs w:val="20"/>
          <w:color w:val="auto"/>
        </w:rPr>
      </w:pPr>
      <w:r>
        <w:rPr>
          <w:rFonts w:ascii="Arial" w:cs="Arial" w:eastAsia="Arial" w:hAnsi="Arial"/>
          <w:sz w:val="22"/>
          <w:szCs w:val="22"/>
          <w:color w:val="auto"/>
        </w:rPr>
        <w:t>See “How Compensation Decisions are Made” on page 84 for additional detail on roles in the decision-making process.</w:t>
      </w:r>
    </w:p>
    <w:p>
      <w:pPr>
        <w:spacing w:after="0" w:line="263" w:lineRule="exact"/>
        <w:rPr>
          <w:sz w:val="20"/>
          <w:szCs w:val="20"/>
          <w:color w:val="auto"/>
        </w:rPr>
      </w:pPr>
    </w:p>
    <w:p>
      <w:pPr>
        <w:ind w:right="740"/>
        <w:spacing w:after="0" w:line="268" w:lineRule="auto"/>
        <w:rPr>
          <w:sz w:val="20"/>
          <w:szCs w:val="20"/>
          <w:color w:val="auto"/>
        </w:rPr>
      </w:pPr>
      <w:r>
        <w:rPr>
          <w:rFonts w:ascii="Arial" w:cs="Arial" w:eastAsia="Arial" w:hAnsi="Arial"/>
          <w:sz w:val="24"/>
          <w:szCs w:val="24"/>
          <w:b w:val="1"/>
          <w:bCs w:val="1"/>
          <w:color w:val="582C83"/>
        </w:rPr>
        <w:t>THE PEOPLE AND COMPENSATION COMMITTEE’S ROLE IN MANAGEMENT SUCCESSION PLANNING AND DEVELOPMENT</w:t>
      </w:r>
    </w:p>
    <w:p>
      <w:pPr>
        <w:spacing w:after="0" w:line="1"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Succession planning for senior management positions, which facilitates continuity of leadership over the long term, is critical to our success and important at all levels within our organization. Our Board’s involvement in leadership development and succession planning is systematic, strategic and continuous. The People and Compensation Committee oversees the development and retention of senior management talent while also maintaining an appropriate succession plan for our CEO. Additionally, the Board has contingency plans for emergencies such as the death or disability of the CEO.</w:t>
      </w:r>
    </w:p>
    <w:p>
      <w:pPr>
        <w:spacing w:after="0" w:line="15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People and Compensation Committee, together with the CEO, regularly reviews senior management talent, including readiness to take on additional leadership roles and developmental opportunities needed to prepare leaders for greater responsibilities. The CEO also provides a regular review to the People and Compensation Committee of the executive leadership team. While the People and Compensation Committee has the primary responsibility to develop succession plans for the CEO position, it annually reports to the Board and decisions are made at the Board level. Potential leaders interact with Board members through formal presentations and, prior to the onset of the COVID-19 pandemic, during informal events. More broadly, the Board is updated on human capital matters for the overall workforce, including recruiting, DEI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5" w:lineRule="exact"/>
        <w:rPr>
          <w:sz w:val="20"/>
          <w:szCs w:val="20"/>
          <w:color w:val="auto"/>
        </w:rPr>
      </w:pPr>
    </w:p>
    <w:p>
      <w:pPr>
        <w:ind w:right="320"/>
        <w:spacing w:after="0" w:line="288" w:lineRule="auto"/>
        <w:rPr>
          <w:sz w:val="20"/>
          <w:szCs w:val="20"/>
          <w:color w:val="auto"/>
        </w:rPr>
      </w:pPr>
      <w:r>
        <w:rPr>
          <w:rFonts w:ascii="Arial" w:cs="Arial" w:eastAsia="Arial" w:hAnsi="Arial"/>
          <w:sz w:val="24"/>
          <w:szCs w:val="24"/>
          <w:b w:val="1"/>
          <w:bCs w:val="1"/>
          <w:color w:val="582C83"/>
        </w:rPr>
        <w:t>HOW THE PEOPLE AND COMPENSATION COMMITTEE MANAGES COMPENSATION-RELATED RISK</w:t>
      </w:r>
    </w:p>
    <w:p>
      <w:pPr>
        <w:spacing w:after="0" w:line="1"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As it does each year, in 2021 the People and Compensation Committee evaluated whether our compensation designs, policies and practices operate to discourage our executive officers and other employees from taking unnecessary or excessive risks. As described in the “Compensation Discussion and Analysis,” we design our compensation to incentivize executives and other employees to achieve the Company’s financial and strategic goals as well as individual performance goals that promote long-term shareholder returns. Our compensation design discourages our executives and other employees from taking excessive risks for short-term benefits that may harm the Company and our shareholders in the long term. The compensation program includes several risk-mitigating elements, including:</w:t>
      </w:r>
    </w:p>
    <w:p>
      <w:pPr>
        <w:spacing w:after="0" w:line="70" w:lineRule="exact"/>
        <w:rPr>
          <w:sz w:val="20"/>
          <w:szCs w:val="20"/>
          <w:color w:val="auto"/>
        </w:rPr>
      </w:pPr>
    </w:p>
    <w:p>
      <w:pPr>
        <w:ind w:left="220" w:right="12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using both short-term and long-term performance-based compensation so executives do not focus solely on short-term performance;</w:t>
      </w:r>
    </w:p>
    <w:p>
      <w:pPr>
        <w:spacing w:after="0" w:line="48" w:lineRule="exact"/>
        <w:rPr>
          <w:rFonts w:ascii="Arial" w:cs="Arial" w:eastAsia="Arial" w:hAnsi="Arial"/>
          <w:sz w:val="22"/>
          <w:szCs w:val="22"/>
          <w:color w:val="582C83"/>
        </w:rPr>
      </w:pPr>
    </w:p>
    <w:p>
      <w:pPr>
        <w:ind w:left="220" w:right="4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weighting executive compensation heavily toward long-term incentives to encourage sustainable shareholder value and accountability for long-term results;</w:t>
      </w:r>
    </w:p>
    <w:p>
      <w:pPr>
        <w:spacing w:after="0" w:line="48" w:lineRule="exact"/>
        <w:rPr>
          <w:rFonts w:ascii="Arial" w:cs="Arial" w:eastAsia="Arial" w:hAnsi="Arial"/>
          <w:sz w:val="22"/>
          <w:szCs w:val="22"/>
          <w:color w:val="582C83"/>
        </w:rPr>
      </w:pPr>
    </w:p>
    <w:p>
      <w:pPr>
        <w:ind w:left="220" w:right="54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using multiple relevant performance measures in our incentive plan designs so executives do not place undue importance on one measure, which could distort the results that we want to incent;</w:t>
      </w:r>
    </w:p>
    <w:p>
      <w:pPr>
        <w:spacing w:after="0" w:line="48" w:lineRule="exact"/>
        <w:rPr>
          <w:rFonts w:ascii="Arial" w:cs="Arial" w:eastAsia="Arial" w:hAnsi="Arial"/>
          <w:sz w:val="22"/>
          <w:szCs w:val="22"/>
          <w:color w:val="582C83"/>
        </w:rPr>
      </w:pPr>
    </w:p>
    <w:p>
      <w:pPr>
        <w:ind w:left="220" w:right="28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weighting both business performance and strategic KPIs in our AIP so non-executive employees do not have too narrow a focus;</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capping the amount of incentives that may be awarded or granted;</w:t>
      </w:r>
    </w:p>
    <w:p>
      <w:pPr>
        <w:spacing w:after="0" w:line="98" w:lineRule="exact"/>
        <w:rPr>
          <w:rFonts w:ascii="Arial" w:cs="Arial" w:eastAsia="Arial" w:hAnsi="Arial"/>
          <w:sz w:val="22"/>
          <w:szCs w:val="22"/>
          <w:color w:val="582C83"/>
        </w:rPr>
      </w:pPr>
    </w:p>
    <w:p>
      <w:pPr>
        <w:ind w:left="220" w:right="280" w:hanging="212"/>
        <w:spacing w:after="0" w:line="245"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retaining discretion to reduce incentive awards based on unforeseen or unintended consequences and clawback compensation upon certain financial restatements or significant misconduct that could damage the reputation of the Company;</w:t>
      </w:r>
    </w:p>
    <w:p>
      <w:pPr>
        <w:spacing w:after="0" w:line="62" w:lineRule="exact"/>
        <w:rPr>
          <w:rFonts w:ascii="Arial" w:cs="Arial" w:eastAsia="Arial" w:hAnsi="Arial"/>
          <w:sz w:val="22"/>
          <w:szCs w:val="22"/>
          <w:color w:val="582C83"/>
        </w:rPr>
      </w:pPr>
    </w:p>
    <w:p>
      <w:pPr>
        <w:ind w:left="220" w:right="30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requiring our top executives to hold a significant amount of their compensation in Common Stock and prohibiting them from hedging, pledging or engaging in short sales of their Common Stock;</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minimizing use of employment contracts;</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not backdating or re-pricing option grants; and</w:t>
      </w:r>
    </w:p>
    <w:p>
      <w:pPr>
        <w:spacing w:after="0" w:line="98" w:lineRule="exact"/>
        <w:rPr>
          <w:rFonts w:ascii="Arial" w:cs="Arial" w:eastAsia="Arial" w:hAnsi="Arial"/>
          <w:sz w:val="22"/>
          <w:szCs w:val="22"/>
          <w:color w:val="582C83"/>
        </w:rPr>
      </w:pPr>
    </w:p>
    <w:p>
      <w:pPr>
        <w:ind w:left="220" w:right="60" w:hanging="212"/>
        <w:spacing w:after="0" w:line="259" w:lineRule="auto"/>
        <w:tabs>
          <w:tab w:leader="none" w:pos="220" w:val="left"/>
        </w:tabs>
        <w:numPr>
          <w:ilvl w:val="0"/>
          <w:numId w:val="48"/>
        </w:numPr>
        <w:rPr>
          <w:rFonts w:ascii="Arial" w:cs="Arial" w:eastAsia="Arial" w:hAnsi="Arial"/>
          <w:sz w:val="22"/>
          <w:szCs w:val="22"/>
          <w:color w:val="582C83"/>
        </w:rPr>
      </w:pPr>
      <w:r>
        <w:rPr>
          <w:rFonts w:ascii="Arial" w:cs="Arial" w:eastAsia="Arial" w:hAnsi="Arial"/>
          <w:sz w:val="22"/>
          <w:szCs w:val="22"/>
          <w:color w:val="auto"/>
        </w:rPr>
        <w:t>not paying severance benefits on change in control (“CIC”) events unless the affected executive is first involuntarily terminated without cause or terminates due to good reason.</w:t>
      </w:r>
    </w:p>
    <w:p>
      <w:pPr>
        <w:spacing w:after="0" w:line="129"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In addition, the Audit Committee oversees our ethics and compliance programs that educate executives and other employees on appropriate behavior and the consequences of inappropriate actions. These programs not only drive compliance and integrity but also encourage employees with knowledge of potential wrongdoing to report concerns by providing multiple reporting avenues while protecting reporting employees against retaliation.</w:t>
      </w:r>
    </w:p>
    <w:p>
      <w:pPr>
        <w:spacing w:after="0" w:line="149"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auto"/>
        </w:rPr>
        <w:t>In light of these analyses, the People and Compensation Committee believes that our compensation programs and processes do not encourage excessive risk taking nor do they create risks that are reasonably likely to have a material adverse effect on the Company.</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Semler Brossy also reviewed the People and Compensation Committee’s risk analysis and agreed with the People and Compensation Committee’s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5" w:lineRule="exact"/>
        <w:rPr>
          <w:sz w:val="20"/>
          <w:szCs w:val="20"/>
          <w:color w:val="auto"/>
        </w:rPr>
      </w:pPr>
    </w:p>
    <w:p>
      <w:pPr>
        <w:ind w:right="20"/>
        <w:spacing w:after="0" w:line="288" w:lineRule="auto"/>
        <w:rPr>
          <w:sz w:val="20"/>
          <w:szCs w:val="20"/>
          <w:color w:val="auto"/>
        </w:rPr>
      </w:pPr>
      <w:r>
        <w:rPr>
          <w:rFonts w:ascii="Arial" w:cs="Arial" w:eastAsia="Arial" w:hAnsi="Arial"/>
          <w:sz w:val="24"/>
          <w:szCs w:val="24"/>
          <w:b w:val="1"/>
          <w:bCs w:val="1"/>
          <w:color w:val="582C83"/>
        </w:rPr>
        <w:t>GOVERNANCE FRAMEWORK AROUND THE USE OF EARNINGS PER SHARE IN OUR INCENTIVE PROGRAMS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People and Compensation Committee believes it is appropriate to base executive compensation on performance metrics that align with our external reporting framework and the means by which shareholders and other stakeholders measure our performance. Accordingly, the Earning Per Share (“EPS”) metric we use in our long-term incentive program, like our external targets, accounts for our capital allocation plans for the year, including expected share repurchases. The People and Compensation Committee recognizes there are differing views among investors as to whether share repurchases should be factored into EPS targets in executive compensation programs but believes our robust governance and compensation practices mitigate the risk that an executive would act imprudently. Specifically,</w:t>
      </w:r>
    </w:p>
    <w:p>
      <w:pPr>
        <w:spacing w:after="0" w:line="70" w:lineRule="exact"/>
        <w:rPr>
          <w:sz w:val="20"/>
          <w:szCs w:val="20"/>
          <w:color w:val="auto"/>
        </w:rPr>
      </w:pPr>
    </w:p>
    <w:p>
      <w:pPr>
        <w:ind w:left="220" w:right="60" w:hanging="212"/>
        <w:spacing w:after="0" w:line="259" w:lineRule="auto"/>
        <w:tabs>
          <w:tab w:leader="none" w:pos="220" w:val="left"/>
        </w:tabs>
        <w:numPr>
          <w:ilvl w:val="0"/>
          <w:numId w:val="49"/>
        </w:numPr>
        <w:rPr>
          <w:rFonts w:ascii="Arial" w:cs="Arial" w:eastAsia="Arial" w:hAnsi="Arial"/>
          <w:sz w:val="22"/>
          <w:szCs w:val="22"/>
          <w:color w:val="582C83"/>
        </w:rPr>
      </w:pPr>
      <w:r>
        <w:rPr>
          <w:rFonts w:ascii="Arial" w:cs="Arial" w:eastAsia="Arial" w:hAnsi="Arial"/>
          <w:sz w:val="22"/>
          <w:szCs w:val="22"/>
          <w:color w:val="auto"/>
        </w:rPr>
        <w:t>the People and Compensation Committee establishes the performance metrics and targets for both the annual and long-term incentive programs;</w:t>
      </w:r>
    </w:p>
    <w:p>
      <w:pPr>
        <w:spacing w:after="0" w:line="48" w:lineRule="exact"/>
        <w:rPr>
          <w:rFonts w:ascii="Arial" w:cs="Arial" w:eastAsia="Arial" w:hAnsi="Arial"/>
          <w:sz w:val="22"/>
          <w:szCs w:val="22"/>
          <w:color w:val="582C83"/>
        </w:rPr>
      </w:pPr>
    </w:p>
    <w:p>
      <w:pPr>
        <w:ind w:left="220" w:right="40" w:hanging="212"/>
        <w:spacing w:after="0" w:line="245" w:lineRule="auto"/>
        <w:tabs>
          <w:tab w:leader="none" w:pos="220" w:val="left"/>
        </w:tabs>
        <w:numPr>
          <w:ilvl w:val="0"/>
          <w:numId w:val="49"/>
        </w:numPr>
        <w:rPr>
          <w:rFonts w:ascii="Arial" w:cs="Arial" w:eastAsia="Arial" w:hAnsi="Arial"/>
          <w:sz w:val="22"/>
          <w:szCs w:val="22"/>
          <w:color w:val="582C83"/>
        </w:rPr>
      </w:pPr>
      <w:r>
        <w:rPr>
          <w:rFonts w:ascii="Arial" w:cs="Arial" w:eastAsia="Arial" w:hAnsi="Arial"/>
          <w:sz w:val="22"/>
          <w:szCs w:val="22"/>
          <w:color w:val="auto"/>
        </w:rPr>
        <w:t>the Board oversees our capital allocation process and reviews a budget each year for capital deployment, including share repurchases, with the goal of balancing investment in growth and returning cash to shareholders (as demonstrated through our historical investments in capital expenditures and research and development); and</w:t>
      </w:r>
    </w:p>
    <w:p>
      <w:pPr>
        <w:spacing w:after="0" w:line="62" w:lineRule="exact"/>
        <w:rPr>
          <w:rFonts w:ascii="Arial" w:cs="Arial" w:eastAsia="Arial" w:hAnsi="Arial"/>
          <w:sz w:val="22"/>
          <w:szCs w:val="22"/>
          <w:color w:val="582C83"/>
        </w:rPr>
      </w:pPr>
    </w:p>
    <w:p>
      <w:pPr>
        <w:ind w:left="220" w:right="160" w:hanging="212"/>
        <w:spacing w:after="0"/>
        <w:tabs>
          <w:tab w:leader="none" w:pos="220" w:val="left"/>
        </w:tabs>
        <w:numPr>
          <w:ilvl w:val="0"/>
          <w:numId w:val="49"/>
        </w:numPr>
        <w:rPr>
          <w:rFonts w:ascii="Arial" w:cs="Arial" w:eastAsia="Arial" w:hAnsi="Arial"/>
          <w:sz w:val="22"/>
          <w:szCs w:val="22"/>
          <w:color w:val="582C83"/>
        </w:rPr>
      </w:pPr>
      <w:r>
        <w:rPr>
          <w:rFonts w:ascii="Arial" w:cs="Arial" w:eastAsia="Arial" w:hAnsi="Arial"/>
          <w:sz w:val="22"/>
          <w:szCs w:val="22"/>
          <w:color w:val="auto"/>
        </w:rPr>
        <w:t>the People and Compensation Committee designs the long-term incentive program with a mix of performance metrics such that even if executives were able to deploy an excessive amount of cash towards share repurchases to maximize EPS, there would be offsetting impact on other performance metrics, with no clear visibility towards increasing payouts. Additionally, EPS is not the most heavily weighted metric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37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68655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00" w:right="1320"/>
        <w:spacing w:after="0" w:line="289" w:lineRule="auto"/>
        <w:rPr>
          <w:sz w:val="20"/>
          <w:szCs w:val="20"/>
          <w:color w:val="auto"/>
        </w:rPr>
      </w:pPr>
      <w:r>
        <w:rPr>
          <w:rFonts w:ascii="Arial" w:cs="Arial" w:eastAsia="Arial" w:hAnsi="Arial"/>
          <w:sz w:val="47"/>
          <w:szCs w:val="47"/>
          <w:b w:val="1"/>
          <w:bCs w:val="1"/>
          <w:color w:val="582C83"/>
        </w:rPr>
        <w:t>OUR DISTINCTIVE APPROACH TO ENVIRONMENTAL AND SOCIAL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right="460"/>
        <w:spacing w:after="0"/>
        <w:rPr>
          <w:sz w:val="20"/>
          <w:szCs w:val="20"/>
          <w:color w:val="auto"/>
        </w:rPr>
      </w:pPr>
      <w:r>
        <w:rPr>
          <w:rFonts w:ascii="Arial" w:cs="Arial" w:eastAsia="Arial" w:hAnsi="Arial"/>
          <w:sz w:val="22"/>
          <w:szCs w:val="22"/>
          <w:color w:val="auto"/>
        </w:rPr>
        <w:t>Mondelēz International has a clear and distinctive approach to environmental and social issues aligned to our business strategy. Our approach is informed by our understanding of the issues that are significant to our business and to the communities we touch, and in turn by the priorities we have set for ourselves along our value chain.</w:t>
      </w:r>
    </w:p>
    <w:p>
      <w:pPr>
        <w:spacing w:after="0" w:line="149" w:lineRule="exact"/>
        <w:rPr>
          <w:sz w:val="20"/>
          <w:szCs w:val="20"/>
          <w:color w:val="auto"/>
        </w:rPr>
      </w:pPr>
    </w:p>
    <w:p>
      <w:pPr>
        <w:ind w:left="360" w:right="420"/>
        <w:spacing w:after="0" w:line="236" w:lineRule="auto"/>
        <w:rPr>
          <w:sz w:val="20"/>
          <w:szCs w:val="20"/>
          <w:color w:val="auto"/>
        </w:rPr>
      </w:pPr>
      <w:r>
        <w:rPr>
          <w:rFonts w:ascii="Arial" w:cs="Arial" w:eastAsia="Arial" w:hAnsi="Arial"/>
          <w:sz w:val="22"/>
          <w:szCs w:val="22"/>
          <w:color w:val="auto"/>
        </w:rPr>
        <w:t>Snacking Made Right is the lens through which we outline our environmental and social priorities to deliver on our mission of leading the future of snacking by offering the right snack, for the right moment, made the right way. We prioritize where we can have greater impact, focus on long-term more sustainable outcomes and take a collaborative approach. We have set public goals to achieve meaningful progress and drive positive, lasting change. And we work together in collaboration with partners, external advisors, regulators and stakeholders as we focus on increasing our long-term positive impact and supporting the needs of the planet, our consumers, our colleagues and our stakeholders.</w:t>
      </w:r>
    </w:p>
    <w:p>
      <w:pPr>
        <w:spacing w:after="0" w:line="149" w:lineRule="exact"/>
        <w:rPr>
          <w:sz w:val="20"/>
          <w:szCs w:val="20"/>
          <w:color w:val="auto"/>
        </w:rPr>
      </w:pPr>
    </w:p>
    <w:p>
      <w:pPr>
        <w:ind w:left="360" w:right="380"/>
        <w:spacing w:after="0" w:line="238" w:lineRule="auto"/>
        <w:rPr>
          <w:sz w:val="20"/>
          <w:szCs w:val="20"/>
          <w:color w:val="auto"/>
        </w:rPr>
      </w:pPr>
      <w:r>
        <w:rPr>
          <w:rFonts w:ascii="Arial" w:cs="Arial" w:eastAsia="Arial" w:hAnsi="Arial"/>
          <w:sz w:val="22"/>
          <w:szCs w:val="22"/>
          <w:color w:val="auto"/>
        </w:rPr>
        <w:t>We focus where we can make a bigger difference and deliver greater long-term positive impact including reducing our impact on the environment through manufacturing and raw material sourcing, as well as by promoting the safety and Well-being of our employees, partners and consumers while working to improve the lives and respecting the rights of people across our value chain. We use our scale to promote positive impacts on those who help produce and those who consume our products.</w:t>
      </w:r>
    </w:p>
    <w:p>
      <w:pPr>
        <w:spacing w:after="0" w:line="150" w:lineRule="exact"/>
        <w:rPr>
          <w:sz w:val="20"/>
          <w:szCs w:val="20"/>
          <w:color w:val="auto"/>
        </w:rPr>
      </w:pPr>
    </w:p>
    <w:p>
      <w:pPr>
        <w:ind w:left="360" w:right="820"/>
        <w:spacing w:after="0" w:line="259" w:lineRule="auto"/>
        <w:rPr>
          <w:sz w:val="20"/>
          <w:szCs w:val="20"/>
          <w:color w:val="auto"/>
        </w:rPr>
      </w:pPr>
      <w:r>
        <w:rPr>
          <w:rFonts w:ascii="Arial" w:cs="Arial" w:eastAsia="Arial" w:hAnsi="Arial"/>
          <w:sz w:val="22"/>
          <w:szCs w:val="22"/>
          <w:color w:val="auto"/>
        </w:rPr>
        <w:t>We have identified four social and environmental issues that are significant to building a more sustainable snacking company and have a clear focus of action for each one.</w:t>
      </w:r>
    </w:p>
    <w:p>
      <w:pPr>
        <w:spacing w:after="0" w:line="129" w:lineRule="exact"/>
        <w:rPr>
          <w:sz w:val="20"/>
          <w:szCs w:val="20"/>
          <w:color w:val="auto"/>
        </w:rPr>
      </w:pPr>
    </w:p>
    <w:p>
      <w:pPr>
        <w:ind w:left="720" w:hanging="361"/>
        <w:spacing w:after="0"/>
        <w:tabs>
          <w:tab w:leader="none" w:pos="720" w:val="left"/>
        </w:tabs>
        <w:numPr>
          <w:ilvl w:val="0"/>
          <w:numId w:val="50"/>
        </w:numPr>
        <w:rPr>
          <w:rFonts w:ascii="Arial" w:cs="Arial" w:eastAsia="Arial" w:hAnsi="Arial"/>
          <w:sz w:val="22"/>
          <w:szCs w:val="22"/>
          <w:b w:val="1"/>
          <w:bCs w:val="1"/>
          <w:color w:val="582C83"/>
        </w:rPr>
      </w:pPr>
      <w:r>
        <w:rPr>
          <w:rFonts w:ascii="Arial" w:cs="Arial" w:eastAsia="Arial" w:hAnsi="Arial"/>
          <w:sz w:val="22"/>
          <w:szCs w:val="22"/>
          <w:color w:val="auto"/>
        </w:rPr>
        <w:t>Safety - Promote the safety of our people and products.</w:t>
      </w:r>
    </w:p>
    <w:p>
      <w:pPr>
        <w:spacing w:after="0" w:line="98" w:lineRule="exact"/>
        <w:rPr>
          <w:rFonts w:ascii="Arial" w:cs="Arial" w:eastAsia="Arial" w:hAnsi="Arial"/>
          <w:sz w:val="22"/>
          <w:szCs w:val="22"/>
          <w:b w:val="1"/>
          <w:bCs w:val="1"/>
          <w:color w:val="582C83"/>
        </w:rPr>
      </w:pPr>
    </w:p>
    <w:p>
      <w:pPr>
        <w:ind w:left="720" w:right="660" w:hanging="361"/>
        <w:spacing w:after="0" w:line="245" w:lineRule="auto"/>
        <w:tabs>
          <w:tab w:leader="none" w:pos="720" w:val="left"/>
        </w:tabs>
        <w:numPr>
          <w:ilvl w:val="0"/>
          <w:numId w:val="50"/>
        </w:numPr>
        <w:rPr>
          <w:rFonts w:ascii="Arial" w:cs="Arial" w:eastAsia="Arial" w:hAnsi="Arial"/>
          <w:sz w:val="22"/>
          <w:szCs w:val="22"/>
          <w:b w:val="1"/>
          <w:bCs w:val="1"/>
          <w:color w:val="582C83"/>
        </w:rPr>
      </w:pPr>
      <w:r>
        <w:rPr>
          <w:rFonts w:ascii="Arial" w:cs="Arial" w:eastAsia="Arial" w:hAnsi="Arial"/>
          <w:sz w:val="22"/>
          <w:szCs w:val="22"/>
          <w:color w:val="auto"/>
        </w:rPr>
        <w:t>Supply security - Focus on key agricultural commodities and social challenges in the supply chain, including human rights and more sustainable agriculture, through our signature programs for cocoa and wheat.</w:t>
      </w:r>
    </w:p>
    <w:p>
      <w:pPr>
        <w:spacing w:after="0" w:line="62" w:lineRule="exact"/>
        <w:rPr>
          <w:rFonts w:ascii="Arial" w:cs="Arial" w:eastAsia="Arial" w:hAnsi="Arial"/>
          <w:sz w:val="22"/>
          <w:szCs w:val="22"/>
          <w:b w:val="1"/>
          <w:bCs w:val="1"/>
          <w:color w:val="582C83"/>
        </w:rPr>
      </w:pPr>
    </w:p>
    <w:p>
      <w:pPr>
        <w:ind w:left="720" w:right="1200" w:hanging="361"/>
        <w:spacing w:after="0" w:line="283" w:lineRule="auto"/>
        <w:tabs>
          <w:tab w:leader="none" w:pos="720" w:val="left"/>
        </w:tabs>
        <w:numPr>
          <w:ilvl w:val="0"/>
          <w:numId w:val="50"/>
        </w:numPr>
        <w:rPr>
          <w:rFonts w:ascii="Arial" w:cs="Arial" w:eastAsia="Arial" w:hAnsi="Arial"/>
          <w:sz w:val="21"/>
          <w:szCs w:val="21"/>
          <w:b w:val="1"/>
          <w:bCs w:val="1"/>
          <w:color w:val="582C83"/>
        </w:rPr>
      </w:pPr>
      <w:r>
        <w:rPr>
          <w:rFonts w:ascii="Arial" w:cs="Arial" w:eastAsia="Arial" w:hAnsi="Arial"/>
          <w:sz w:val="21"/>
          <w:szCs w:val="21"/>
          <w:color w:val="auto"/>
        </w:rPr>
        <w:t>Environmental footprint - Decrease environmental impact across our operations, supply chain and communities – including primary ingredient sourcing, product packaging and manufacturing.</w:t>
      </w:r>
    </w:p>
    <w:p>
      <w:pPr>
        <w:spacing w:after="0" w:line="24" w:lineRule="exact"/>
        <w:rPr>
          <w:rFonts w:ascii="Arial" w:cs="Arial" w:eastAsia="Arial" w:hAnsi="Arial"/>
          <w:sz w:val="21"/>
          <w:szCs w:val="21"/>
          <w:b w:val="1"/>
          <w:bCs w:val="1"/>
          <w:color w:val="582C83"/>
        </w:rPr>
      </w:pPr>
    </w:p>
    <w:p>
      <w:pPr>
        <w:ind w:left="720" w:right="1320" w:hanging="361"/>
        <w:spacing w:after="0" w:line="259" w:lineRule="auto"/>
        <w:tabs>
          <w:tab w:leader="none" w:pos="720" w:val="left"/>
        </w:tabs>
        <w:numPr>
          <w:ilvl w:val="0"/>
          <w:numId w:val="50"/>
        </w:numPr>
        <w:rPr>
          <w:rFonts w:ascii="Arial" w:cs="Arial" w:eastAsia="Arial" w:hAnsi="Arial"/>
          <w:sz w:val="22"/>
          <w:szCs w:val="22"/>
          <w:b w:val="1"/>
          <w:bCs w:val="1"/>
          <w:color w:val="582C83"/>
        </w:rPr>
      </w:pPr>
      <w:r>
        <w:rPr>
          <w:rFonts w:ascii="Arial" w:cs="Arial" w:eastAsia="Arial" w:hAnsi="Arial"/>
          <w:sz w:val="22"/>
          <w:szCs w:val="22"/>
          <w:color w:val="auto"/>
        </w:rPr>
        <w:t>Consumer Well-being - Promote health and Well-being through portfolio enhancements, on-pack messaging and community partnerships.</w:t>
      </w:r>
    </w:p>
    <w:p>
      <w:pPr>
        <w:spacing w:after="0" w:line="129" w:lineRule="exact"/>
        <w:rPr>
          <w:sz w:val="20"/>
          <w:szCs w:val="20"/>
          <w:color w:val="auto"/>
        </w:rPr>
      </w:pPr>
    </w:p>
    <w:p>
      <w:pPr>
        <w:ind w:left="360" w:right="600"/>
        <w:spacing w:after="0" w:line="238" w:lineRule="auto"/>
        <w:rPr>
          <w:sz w:val="20"/>
          <w:szCs w:val="20"/>
          <w:color w:val="auto"/>
        </w:rPr>
      </w:pPr>
      <w:r>
        <w:rPr>
          <w:rFonts w:ascii="Arial" w:cs="Arial" w:eastAsia="Arial" w:hAnsi="Arial"/>
          <w:sz w:val="22"/>
          <w:szCs w:val="22"/>
          <w:color w:val="auto"/>
        </w:rPr>
        <w:t>Our strategy and goals in addressing these key focus areas is central to supporting our growth around the world and underpinned by promoting a culture of safety, quality, inclusivity and equity. This strategy includes more sustainable sourcing of key ingredients, reducing our environmental footprint, promoting the rights of people across our value chain, and evolving our portfolio to offer a broad range of high-quality snacks addressing consumer needs while encouraging consumers to snack mindfully.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332105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1560" w:type="dxa"/>
            <w:vAlign w:val="bottom"/>
            <w:shd w:val="clear" w:color="auto" w:fill="DDD1E5"/>
          </w:tcPr>
          <w:p>
            <w:pPr>
              <w:ind w:left="320"/>
              <w:spacing w:after="0"/>
              <w:rPr>
                <w:sz w:val="20"/>
                <w:szCs w:val="20"/>
                <w:color w:val="auto"/>
              </w:rPr>
            </w:pPr>
            <w:r>
              <w:rPr>
                <w:rFonts w:ascii="Arial" w:cs="Arial" w:eastAsia="Arial" w:hAnsi="Arial"/>
                <w:sz w:val="18"/>
                <w:szCs w:val="18"/>
                <w:b w:val="1"/>
                <w:bCs w:val="1"/>
                <w:color w:val="auto"/>
              </w:rPr>
              <w:t>Ingredients</w:t>
            </w:r>
          </w:p>
        </w:tc>
        <w:tc>
          <w:tcPr>
            <w:tcW w:w="100" w:type="dxa"/>
            <w:vAlign w:val="bottom"/>
          </w:tcPr>
          <w:p>
            <w:pPr>
              <w:spacing w:after="0"/>
              <w:rPr>
                <w:sz w:val="23"/>
                <w:szCs w:val="23"/>
                <w:color w:val="auto"/>
              </w:rPr>
            </w:pPr>
          </w:p>
        </w:tc>
        <w:tc>
          <w:tcPr>
            <w:tcW w:w="1560" w:type="dxa"/>
            <w:vAlign w:val="bottom"/>
            <w:shd w:val="clear" w:color="auto" w:fill="DDD1E5"/>
          </w:tcPr>
          <w:p>
            <w:pPr>
              <w:ind w:left="460"/>
              <w:spacing w:after="0"/>
              <w:rPr>
                <w:sz w:val="20"/>
                <w:szCs w:val="20"/>
                <w:color w:val="auto"/>
              </w:rPr>
            </w:pPr>
            <w:r>
              <w:rPr>
                <w:rFonts w:ascii="Arial" w:cs="Arial" w:eastAsia="Arial" w:hAnsi="Arial"/>
                <w:sz w:val="18"/>
                <w:szCs w:val="18"/>
                <w:b w:val="1"/>
                <w:bCs w:val="1"/>
                <w:color w:val="auto"/>
              </w:rPr>
              <w:t>Climate</w:t>
            </w:r>
          </w:p>
        </w:tc>
        <w:tc>
          <w:tcPr>
            <w:tcW w:w="100" w:type="dxa"/>
            <w:vAlign w:val="bottom"/>
          </w:tcPr>
          <w:p>
            <w:pPr>
              <w:spacing w:after="0"/>
              <w:rPr>
                <w:sz w:val="23"/>
                <w:szCs w:val="23"/>
                <w:color w:val="auto"/>
              </w:rPr>
            </w:pPr>
          </w:p>
        </w:tc>
        <w:tc>
          <w:tcPr>
            <w:tcW w:w="1340" w:type="dxa"/>
            <w:vAlign w:val="bottom"/>
            <w:shd w:val="clear" w:color="auto" w:fill="DDD1E5"/>
          </w:tcPr>
          <w:p>
            <w:pPr>
              <w:ind w:left="240"/>
              <w:spacing w:after="0"/>
              <w:rPr>
                <w:sz w:val="20"/>
                <w:szCs w:val="20"/>
                <w:color w:val="auto"/>
              </w:rPr>
            </w:pPr>
            <w:r>
              <w:rPr>
                <w:rFonts w:ascii="Arial" w:cs="Arial" w:eastAsia="Arial" w:hAnsi="Arial"/>
                <w:sz w:val="18"/>
                <w:szCs w:val="18"/>
                <w:b w:val="1"/>
                <w:bCs w:val="1"/>
                <w:color w:val="auto"/>
              </w:rPr>
              <w:t>Packaging</w:t>
            </w:r>
          </w:p>
        </w:tc>
        <w:tc>
          <w:tcPr>
            <w:tcW w:w="120" w:type="dxa"/>
            <w:vAlign w:val="bottom"/>
          </w:tcPr>
          <w:p>
            <w:pPr>
              <w:spacing w:after="0"/>
              <w:rPr>
                <w:sz w:val="23"/>
                <w:szCs w:val="23"/>
                <w:color w:val="auto"/>
              </w:rPr>
            </w:pPr>
          </w:p>
        </w:tc>
        <w:tc>
          <w:tcPr>
            <w:tcW w:w="1560" w:type="dxa"/>
            <w:vAlign w:val="bottom"/>
            <w:shd w:val="clear" w:color="auto" w:fill="DDD1E5"/>
          </w:tcPr>
          <w:p>
            <w:pPr>
              <w:ind w:left="220"/>
              <w:spacing w:after="0"/>
              <w:rPr>
                <w:sz w:val="20"/>
                <w:szCs w:val="20"/>
                <w:color w:val="auto"/>
              </w:rPr>
            </w:pPr>
            <w:r>
              <w:rPr>
                <w:rFonts w:ascii="Arial" w:cs="Arial" w:eastAsia="Arial" w:hAnsi="Arial"/>
                <w:sz w:val="18"/>
                <w:szCs w:val="18"/>
                <w:b w:val="1"/>
                <w:bCs w:val="1"/>
                <w:color w:val="auto"/>
              </w:rPr>
              <w:t>Social Impact</w:t>
            </w:r>
          </w:p>
        </w:tc>
        <w:tc>
          <w:tcPr>
            <w:tcW w:w="100" w:type="dxa"/>
            <w:vAlign w:val="bottom"/>
          </w:tcPr>
          <w:p>
            <w:pPr>
              <w:spacing w:after="0"/>
              <w:rPr>
                <w:sz w:val="23"/>
                <w:szCs w:val="23"/>
                <w:color w:val="auto"/>
              </w:rPr>
            </w:pPr>
          </w:p>
        </w:tc>
        <w:tc>
          <w:tcPr>
            <w:tcW w:w="146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Diversity, Equity</w:t>
            </w:r>
          </w:p>
        </w:tc>
        <w:tc>
          <w:tcPr>
            <w:tcW w:w="100" w:type="dxa"/>
            <w:vAlign w:val="bottom"/>
          </w:tcPr>
          <w:p>
            <w:pPr>
              <w:spacing w:after="0"/>
              <w:rPr>
                <w:sz w:val="23"/>
                <w:szCs w:val="23"/>
                <w:color w:val="auto"/>
              </w:rPr>
            </w:pPr>
          </w:p>
        </w:tc>
        <w:tc>
          <w:tcPr>
            <w:tcW w:w="1680" w:type="dxa"/>
            <w:vAlign w:val="bottom"/>
            <w:shd w:val="clear" w:color="auto" w:fill="DDD1E5"/>
          </w:tcPr>
          <w:p>
            <w:pPr>
              <w:ind w:left="380"/>
              <w:spacing w:after="0"/>
              <w:rPr>
                <w:sz w:val="20"/>
                <w:szCs w:val="20"/>
                <w:color w:val="auto"/>
              </w:rPr>
            </w:pPr>
            <w:r>
              <w:rPr>
                <w:rFonts w:ascii="Arial" w:cs="Arial" w:eastAsia="Arial" w:hAnsi="Arial"/>
                <w:sz w:val="18"/>
                <w:szCs w:val="18"/>
                <w:b w:val="1"/>
                <w:bCs w:val="1"/>
                <w:color w:val="auto"/>
              </w:rPr>
              <w:t>Consumer</w:t>
            </w:r>
          </w:p>
        </w:tc>
        <w:tc>
          <w:tcPr>
            <w:tcW w:w="100" w:type="dxa"/>
            <w:vAlign w:val="bottom"/>
          </w:tcPr>
          <w:p>
            <w:pPr>
              <w:spacing w:after="0"/>
              <w:rPr>
                <w:sz w:val="23"/>
                <w:szCs w:val="23"/>
                <w:color w:val="auto"/>
              </w:rPr>
            </w:pPr>
          </w:p>
        </w:tc>
        <w:tc>
          <w:tcPr>
            <w:tcW w:w="1460" w:type="dxa"/>
            <w:vAlign w:val="bottom"/>
            <w:shd w:val="clear" w:color="auto" w:fill="DDD1E5"/>
          </w:tcPr>
          <w:p>
            <w:pPr>
              <w:ind w:left="300"/>
              <w:spacing w:after="0"/>
              <w:rPr>
                <w:sz w:val="20"/>
                <w:szCs w:val="20"/>
                <w:color w:val="auto"/>
              </w:rPr>
            </w:pPr>
            <w:r>
              <w:rPr>
                <w:rFonts w:ascii="Arial" w:cs="Arial" w:eastAsia="Arial" w:hAnsi="Arial"/>
                <w:sz w:val="18"/>
                <w:szCs w:val="18"/>
                <w:b w:val="1"/>
                <w:bCs w:val="1"/>
                <w:color w:val="auto"/>
              </w:rPr>
              <w:t>Employee</w:t>
            </w:r>
          </w:p>
        </w:tc>
      </w:tr>
      <w:tr>
        <w:trPr>
          <w:trHeight w:val="241"/>
        </w:trPr>
        <w:tc>
          <w:tcPr>
            <w:tcW w:w="1560" w:type="dxa"/>
            <w:vAlign w:val="bottom"/>
            <w:shd w:val="clear" w:color="auto" w:fill="DDD1E5"/>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shd w:val="clear" w:color="auto" w:fill="DDD1E5"/>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shd w:val="clear" w:color="auto" w:fill="DDD1E5"/>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shd w:val="clear" w:color="auto" w:fill="DDD1E5"/>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&amp; Inclusion</w:t>
            </w:r>
          </w:p>
        </w:tc>
        <w:tc>
          <w:tcPr>
            <w:tcW w:w="100" w:type="dxa"/>
            <w:vAlign w:val="bottom"/>
          </w:tcPr>
          <w:p>
            <w:pPr>
              <w:spacing w:after="0"/>
              <w:rPr>
                <w:sz w:val="20"/>
                <w:szCs w:val="20"/>
                <w:color w:val="auto"/>
              </w:rPr>
            </w:pPr>
          </w:p>
        </w:tc>
        <w:tc>
          <w:tcPr>
            <w:tcW w:w="1680" w:type="dxa"/>
            <w:vAlign w:val="bottom"/>
            <w:shd w:val="clear" w:color="auto" w:fill="DDD1E5"/>
          </w:tcPr>
          <w:p>
            <w:pPr>
              <w:ind w:left="380"/>
              <w:spacing w:after="0"/>
              <w:rPr>
                <w:sz w:val="20"/>
                <w:szCs w:val="20"/>
                <w:color w:val="auto"/>
              </w:rPr>
            </w:pPr>
            <w:r>
              <w:rPr>
                <w:rFonts w:ascii="Arial" w:cs="Arial" w:eastAsia="Arial" w:hAnsi="Arial"/>
                <w:sz w:val="18"/>
                <w:szCs w:val="18"/>
                <w:b w:val="1"/>
                <w:bCs w:val="1"/>
                <w:color w:val="auto"/>
              </w:rPr>
              <w:t>Well-Being</w:t>
            </w:r>
          </w:p>
        </w:tc>
        <w:tc>
          <w:tcPr>
            <w:tcW w:w="100" w:type="dxa"/>
            <w:vAlign w:val="bottom"/>
          </w:tcPr>
          <w:p>
            <w:pPr>
              <w:spacing w:after="0"/>
              <w:rPr>
                <w:sz w:val="20"/>
                <w:szCs w:val="20"/>
                <w:color w:val="auto"/>
              </w:rPr>
            </w:pPr>
          </w:p>
        </w:tc>
        <w:tc>
          <w:tcPr>
            <w:tcW w:w="1460" w:type="dxa"/>
            <w:vAlign w:val="bottom"/>
            <w:shd w:val="clear" w:color="auto" w:fill="DDD1E5"/>
          </w:tcPr>
          <w:p>
            <w:pPr>
              <w:ind w:left="280"/>
              <w:spacing w:after="0"/>
              <w:rPr>
                <w:sz w:val="20"/>
                <w:szCs w:val="20"/>
                <w:color w:val="auto"/>
              </w:rPr>
            </w:pPr>
            <w:r>
              <w:rPr>
                <w:rFonts w:ascii="Arial" w:cs="Arial" w:eastAsia="Arial" w:hAnsi="Arial"/>
                <w:sz w:val="18"/>
                <w:szCs w:val="18"/>
                <w:b w:val="1"/>
                <w:bCs w:val="1"/>
                <w:color w:val="auto"/>
              </w:rPr>
              <w:t>Well-Being</w:t>
            </w:r>
          </w:p>
        </w:tc>
      </w:tr>
      <w:tr>
        <w:trPr>
          <w:trHeight w:val="166"/>
        </w:trPr>
        <w:tc>
          <w:tcPr>
            <w:tcW w:w="1560" w:type="dxa"/>
            <w:vAlign w:val="bottom"/>
            <w:shd w:val="clear" w:color="auto" w:fill="DDD1E5"/>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shd w:val="clear" w:color="auto" w:fill="DDD1E5"/>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shd w:val="clear" w:color="auto" w:fill="DDD1E5"/>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shd w:val="clear" w:color="auto" w:fill="DDD1E5"/>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shd w:val="clear" w:color="auto" w:fill="DDD1E5"/>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shd w:val="clear" w:color="auto" w:fill="DDD1E5"/>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shd w:val="clear" w:color="auto" w:fill="DDD1E5"/>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51435</wp:posOffset>
            </wp:positionV>
            <wp:extent cx="480060" cy="265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0060" cy="26543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51435</wp:posOffset>
            </wp:positionV>
            <wp:extent cx="480060" cy="265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0060" cy="2654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51435</wp:posOffset>
            </wp:positionV>
            <wp:extent cx="480060" cy="265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0060" cy="26543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51435</wp:posOffset>
            </wp:positionV>
            <wp:extent cx="480060" cy="265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0060" cy="26543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51435</wp:posOffset>
            </wp:positionV>
            <wp:extent cx="480060" cy="265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0060" cy="2654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40" w:type="dxa"/>
            <w:vAlign w:val="bottom"/>
          </w:tcPr>
          <w:p>
            <w:pPr>
              <w:jc w:val="center"/>
              <w:spacing w:after="0"/>
              <w:rPr>
                <w:sz w:val="20"/>
                <w:szCs w:val="20"/>
                <w:color w:val="auto"/>
              </w:rPr>
            </w:pPr>
            <w:r>
              <w:rPr>
                <w:rFonts w:ascii="Arial" w:cs="Arial" w:eastAsia="Arial" w:hAnsi="Arial"/>
                <w:sz w:val="18"/>
                <w:szCs w:val="18"/>
                <w:color w:val="auto"/>
                <w:w w:val="97"/>
              </w:rPr>
              <w:t>Signature sourcing</w:t>
            </w:r>
          </w:p>
        </w:tc>
        <w:tc>
          <w:tcPr>
            <w:tcW w:w="1620" w:type="dxa"/>
            <w:vAlign w:val="bottom"/>
          </w:tcPr>
          <w:p>
            <w:pPr>
              <w:jc w:val="center"/>
              <w:spacing w:after="0"/>
              <w:rPr>
                <w:sz w:val="20"/>
                <w:szCs w:val="20"/>
                <w:color w:val="auto"/>
              </w:rPr>
            </w:pPr>
            <w:r>
              <w:rPr>
                <w:rFonts w:ascii="Arial" w:cs="Arial" w:eastAsia="Arial" w:hAnsi="Arial"/>
                <w:sz w:val="18"/>
                <w:szCs w:val="18"/>
                <w:color w:val="auto"/>
                <w:w w:val="97"/>
              </w:rPr>
              <w:t>Combat climate</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Strive for net</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Promote human</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Champion DEI</w:t>
            </w:r>
          </w:p>
        </w:tc>
        <w:tc>
          <w:tcPr>
            <w:tcW w:w="1840" w:type="dxa"/>
            <w:vAlign w:val="bottom"/>
          </w:tcPr>
          <w:p>
            <w:pPr>
              <w:jc w:val="center"/>
              <w:spacing w:after="0"/>
              <w:rPr>
                <w:sz w:val="20"/>
                <w:szCs w:val="20"/>
                <w:color w:val="auto"/>
              </w:rPr>
            </w:pPr>
            <w:r>
              <w:rPr>
                <w:rFonts w:ascii="Arial" w:cs="Arial" w:eastAsia="Arial" w:hAnsi="Arial"/>
                <w:sz w:val="18"/>
                <w:szCs w:val="18"/>
                <w:color w:val="auto"/>
                <w:w w:val="97"/>
              </w:rPr>
              <w:t>Empower</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Build a culture</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7"/>
              </w:rPr>
              <w:t>programs: Cocoa</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7"/>
              </w:rPr>
              <w:t>change through</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zero waste</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7"/>
              </w:rPr>
              <w:t>rights across our</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for our</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7"/>
              </w:rPr>
              <w:t>consumers with</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which enhances</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8"/>
              </w:rPr>
              <w:t>Life, Harmony</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science-based</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packaging</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8"/>
              </w:rPr>
              <w:t>value chain and</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colleagues,</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7"/>
              </w:rPr>
              <w:t>contemporary Well-</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5"/>
              </w:rPr>
              <w:t>safety, physical</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6"/>
              </w:rPr>
              <w:t>Wheat and</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targets, using</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through less</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6"/>
              </w:rPr>
              <w:t>enable empowered</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culture and</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7"/>
              </w:rPr>
              <w:t>being options and</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6"/>
              </w:rPr>
              <w:t>and mental Well-</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7"/>
              </w:rPr>
              <w:t>Sustainable Palm</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7"/>
              </w:rPr>
              <w:t>natural resources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and better</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6"/>
              </w:rPr>
              <w:t>communities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communities</w:t>
            </w: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7"/>
              </w:rPr>
              <w:t>choices, mindful</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8"/>
              </w:rPr>
              <w:t>being of our</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6"/>
              </w:rPr>
              <w:t>Oil building</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7"/>
              </w:rPr>
              <w:t>end-to-end more</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packaging and</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8"/>
              </w:rPr>
              <w:t>snacking habits and</w:t>
            </w: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w w:val="97"/>
              </w:rPr>
              <w:t>colleagues</w:t>
            </w: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6"/>
              </w:rPr>
              <w:t>resilient</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8"/>
              </w:rPr>
              <w:t>efficiently and</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improved</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Arial" w:cs="Arial" w:eastAsia="Arial" w:hAnsi="Arial"/>
                <w:sz w:val="18"/>
                <w:szCs w:val="18"/>
                <w:color w:val="auto"/>
                <w:w w:val="98"/>
              </w:rPr>
              <w:t>portion control</w:t>
            </w:r>
          </w:p>
        </w:tc>
        <w:tc>
          <w:tcPr>
            <w:tcW w:w="1500" w:type="dxa"/>
            <w:vAlign w:val="bottom"/>
          </w:tcPr>
          <w:p>
            <w:pPr>
              <w:spacing w:after="0"/>
              <w:rPr>
                <w:sz w:val="17"/>
                <w:szCs w:val="17"/>
                <w:color w:val="auto"/>
              </w:rPr>
            </w:pP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8"/>
              </w:rPr>
              <w:t>landscapes and</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7"/>
              </w:rPr>
              <w:t>renewably</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systems aiming</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7"/>
              </w:rPr>
              <w:t>supply chains</w:t>
            </w:r>
          </w:p>
        </w:tc>
        <w:tc>
          <w:tcPr>
            <w:tcW w:w="16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for a circular</w:t>
            </w: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1"/>
        </w:trPr>
        <w:tc>
          <w:tcPr>
            <w:tcW w:w="1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pack economy</w:t>
            </w: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
        </w:trPr>
        <w:tc>
          <w:tcPr>
            <w:tcW w:w="1640" w:type="dxa"/>
            <w:vAlign w:val="bottom"/>
            <w:tcBorders>
              <w:bottom w:val="single" w:sz="8" w:color="DDD1E5"/>
            </w:tcBorders>
          </w:tcPr>
          <w:p>
            <w:pPr>
              <w:spacing w:after="0"/>
              <w:rPr>
                <w:sz w:val="3"/>
                <w:szCs w:val="3"/>
                <w:color w:val="auto"/>
              </w:rPr>
            </w:pPr>
          </w:p>
        </w:tc>
        <w:tc>
          <w:tcPr>
            <w:tcW w:w="1620" w:type="dxa"/>
            <w:vAlign w:val="bottom"/>
            <w:tcBorders>
              <w:bottom w:val="single" w:sz="8" w:color="DDD1E5"/>
            </w:tcBorders>
          </w:tcPr>
          <w:p>
            <w:pPr>
              <w:spacing w:after="0"/>
              <w:rPr>
                <w:sz w:val="3"/>
                <w:szCs w:val="3"/>
                <w:color w:val="auto"/>
              </w:rPr>
            </w:pPr>
          </w:p>
        </w:tc>
        <w:tc>
          <w:tcPr>
            <w:tcW w:w="1440" w:type="dxa"/>
            <w:vAlign w:val="bottom"/>
            <w:tcBorders>
              <w:bottom w:val="single" w:sz="8" w:color="DDD1E5"/>
            </w:tcBorders>
          </w:tcPr>
          <w:p>
            <w:pPr>
              <w:spacing w:after="0"/>
              <w:rPr>
                <w:sz w:val="3"/>
                <w:szCs w:val="3"/>
                <w:color w:val="auto"/>
              </w:rPr>
            </w:pPr>
          </w:p>
        </w:tc>
        <w:tc>
          <w:tcPr>
            <w:tcW w:w="1760" w:type="dxa"/>
            <w:vAlign w:val="bottom"/>
            <w:tcBorders>
              <w:bottom w:val="single" w:sz="8" w:color="DDD1E5"/>
            </w:tcBorders>
          </w:tcPr>
          <w:p>
            <w:pPr>
              <w:spacing w:after="0"/>
              <w:rPr>
                <w:sz w:val="3"/>
                <w:szCs w:val="3"/>
                <w:color w:val="auto"/>
              </w:rPr>
            </w:pPr>
          </w:p>
        </w:tc>
        <w:tc>
          <w:tcPr>
            <w:tcW w:w="1440" w:type="dxa"/>
            <w:vAlign w:val="bottom"/>
            <w:tcBorders>
              <w:bottom w:val="single" w:sz="8" w:color="DDD1E5"/>
            </w:tcBorders>
          </w:tcPr>
          <w:p>
            <w:pPr>
              <w:spacing w:after="0"/>
              <w:rPr>
                <w:sz w:val="3"/>
                <w:szCs w:val="3"/>
                <w:color w:val="auto"/>
              </w:rPr>
            </w:pPr>
          </w:p>
        </w:tc>
        <w:tc>
          <w:tcPr>
            <w:tcW w:w="1840" w:type="dxa"/>
            <w:vAlign w:val="bottom"/>
            <w:tcBorders>
              <w:bottom w:val="single" w:sz="8" w:color="DDD1E5"/>
            </w:tcBorders>
          </w:tcPr>
          <w:p>
            <w:pPr>
              <w:spacing w:after="0"/>
              <w:rPr>
                <w:sz w:val="3"/>
                <w:szCs w:val="3"/>
                <w:color w:val="auto"/>
              </w:rPr>
            </w:pPr>
          </w:p>
        </w:tc>
        <w:tc>
          <w:tcPr>
            <w:tcW w:w="1500" w:type="dxa"/>
            <w:vAlign w:val="bottom"/>
            <w:tcBorders>
              <w:bottom w:val="single" w:sz="8" w:color="DDD1E5"/>
            </w:tcBorders>
          </w:tcPr>
          <w:p>
            <w:pPr>
              <w:spacing w:after="0"/>
              <w:rPr>
                <w:sz w:val="3"/>
                <w:szCs w:val="3"/>
                <w:color w:val="auto"/>
              </w:rPr>
            </w:pPr>
          </w:p>
        </w:tc>
      </w:tr>
    </w:tbl>
    <w:p>
      <w:pPr>
        <w:spacing w:after="0" w:line="105"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Board Oversight and Governance of ESG</w:t>
      </w:r>
    </w:p>
    <w:p>
      <w:pPr>
        <w:spacing w:after="0" w:line="187" w:lineRule="exact"/>
        <w:rPr>
          <w:sz w:val="20"/>
          <w:szCs w:val="20"/>
          <w:color w:val="auto"/>
        </w:rPr>
      </w:pPr>
    </w:p>
    <w:p>
      <w:pPr>
        <w:ind w:left="40" w:right="380"/>
        <w:spacing w:after="0" w:line="259" w:lineRule="auto"/>
        <w:rPr>
          <w:sz w:val="20"/>
          <w:szCs w:val="20"/>
          <w:color w:val="auto"/>
        </w:rPr>
      </w:pPr>
      <w:r>
        <w:rPr>
          <w:rFonts w:ascii="Arial" w:cs="Arial" w:eastAsia="Arial" w:hAnsi="Arial"/>
          <w:sz w:val="22"/>
          <w:szCs w:val="22"/>
          <w:color w:val="auto"/>
        </w:rPr>
        <w:t>Under the leadership of our Board, we are committed to the principle that living our values and doing business the right way can help create a future where people and planet thrive.</w:t>
      </w:r>
    </w:p>
    <w:p>
      <w:pPr>
        <w:spacing w:after="0" w:line="129" w:lineRule="exact"/>
        <w:rPr>
          <w:sz w:val="20"/>
          <w:szCs w:val="20"/>
          <w:color w:val="auto"/>
        </w:rPr>
      </w:pPr>
    </w:p>
    <w:p>
      <w:pPr>
        <w:ind w:left="40" w:right="20"/>
        <w:spacing w:after="0" w:line="235" w:lineRule="auto"/>
        <w:rPr>
          <w:sz w:val="20"/>
          <w:szCs w:val="20"/>
          <w:color w:val="auto"/>
        </w:rPr>
      </w:pPr>
      <w:r>
        <w:rPr>
          <w:rFonts w:ascii="Arial" w:cs="Arial" w:eastAsia="Arial" w:hAnsi="Arial"/>
          <w:sz w:val="22"/>
          <w:szCs w:val="22"/>
          <w:color w:val="auto"/>
        </w:rPr>
        <w:t>Our Board oversees our ESG strategy, progress, alignment with purpose, stakeholder interests and strategic risk, and reviews progress on evolving our growth culture and our diversity, equity and inclusion goals. Specific responsibilities are delegated to committees. The Governance Committee oversees our ESG framework, including critical issues, KPI performance and strategic communications; consumer Well-being, environmental and social sustainability including climate; and Board ESG education and capabilities. The People and Compensation Committee oversees our DEI priorities, including talent acquisition and development practices and pay equity tracking, as well as employee Well-being matters and ESG KPIs for incentive plans. The Audit Committee oversees our safety priorities and goals, as well as ESG-related frameworks, disclosures, controls and assurance.</w:t>
      </w:r>
    </w:p>
    <w:p>
      <w:pPr>
        <w:spacing w:after="0" w:line="151" w:lineRule="exact"/>
        <w:rPr>
          <w:sz w:val="20"/>
          <w:szCs w:val="20"/>
          <w:color w:val="auto"/>
        </w:rPr>
      </w:pPr>
    </w:p>
    <w:p>
      <w:pPr>
        <w:ind w:left="40"/>
        <w:spacing w:after="0" w:line="236" w:lineRule="auto"/>
        <w:rPr>
          <w:sz w:val="20"/>
          <w:szCs w:val="20"/>
          <w:color w:val="auto"/>
        </w:rPr>
      </w:pPr>
      <w:r>
        <w:rPr>
          <w:rFonts w:ascii="Arial" w:cs="Arial" w:eastAsia="Arial" w:hAnsi="Arial"/>
          <w:sz w:val="22"/>
          <w:szCs w:val="22"/>
          <w:color w:val="auto"/>
        </w:rPr>
        <w:t>We have a comprehensive governance structure that provides oversight of our ESG efforts, including our strategic areas of focus: climate change, more circular packaging solutions and social impact. This includes management team oversight on critical sustainability programming and strategy development, in addition to regular progress reviews. We take a disciplined approach to our sustainability initiatives and are committed to remaining transparent and proactive about our progress. We track, report on and hold people accountable for achieving our goals, and we include sustainability metrics in the annual compensation plan for executives.</w:t>
      </w:r>
    </w:p>
    <w:p>
      <w:pPr>
        <w:spacing w:after="0" w:line="155" w:lineRule="exact"/>
        <w:rPr>
          <w:sz w:val="20"/>
          <w:szCs w:val="20"/>
          <w:color w:val="auto"/>
        </w:rPr>
      </w:pPr>
    </w:p>
    <w:p>
      <w:pPr>
        <w:ind w:left="40" w:right="100"/>
        <w:spacing w:after="0" w:line="234" w:lineRule="auto"/>
        <w:rPr>
          <w:sz w:val="20"/>
          <w:szCs w:val="20"/>
          <w:color w:val="auto"/>
        </w:rPr>
      </w:pPr>
      <w:r>
        <w:rPr>
          <w:rFonts w:ascii="Arial" w:cs="Arial" w:eastAsia="Arial" w:hAnsi="Arial"/>
          <w:sz w:val="22"/>
          <w:szCs w:val="22"/>
          <w:color w:val="auto"/>
        </w:rPr>
        <w:t>As part of our commitment to promoting accountability, many of our long-term public goals and associated action plans are developed in partnership with external experts. We consider perspectives from our ongoing engagement with shareholders and other stakeholders, and actively engage with multiple ESG ratings and indices as we advance our disclosure and promote transparency. This two-way dialogue informs our ESG approach, which defines our assessment of the social and environmental issues most significant to us. Materials and processes that guide our assessment include our ERM program for identifying, measuring, monitoring and managing risks; external affairs analysis of stakeholder and regulatory issues; information about our greenhouse gas, land and water footprint; proprietary consumer insight data; and publicly available data on societal issues, including statistics and reports from authorities, non-governmental organizations and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124460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bookmarkStart w:id="61" w:name="page62"/>
    <w:bookmarkEnd w:id="61"/>
    <w:p>
      <w:pPr>
        <w:ind w:left="40"/>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Goals</w:t>
      </w:r>
    </w:p>
    <w:p>
      <w:pPr>
        <w:spacing w:after="0" w:line="187" w:lineRule="exact"/>
        <w:rPr>
          <w:sz w:val="20"/>
          <w:szCs w:val="20"/>
          <w:color w:val="auto"/>
        </w:rPr>
      </w:pPr>
    </w:p>
    <w:p>
      <w:pPr>
        <w:ind w:left="40" w:right="60"/>
        <w:spacing w:after="0" w:line="259" w:lineRule="auto"/>
        <w:rPr>
          <w:sz w:val="20"/>
          <w:szCs w:val="20"/>
          <w:color w:val="auto"/>
        </w:rPr>
      </w:pPr>
      <w:r>
        <w:rPr>
          <w:rFonts w:ascii="Arial" w:cs="Arial" w:eastAsia="Arial" w:hAnsi="Arial"/>
          <w:sz w:val="22"/>
          <w:szCs w:val="22"/>
          <w:color w:val="auto"/>
        </w:rPr>
        <w:t>We have public goals, we aim to continue to make progress in our efforts, and we are committed to being transparent and effective in sharing our progress. Some of our goals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98425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69"/>
        </w:trPr>
        <w:tc>
          <w:tcPr>
            <w:tcW w:w="1360" w:type="dxa"/>
            <w:vAlign w:val="bottom"/>
            <w:shd w:val="clear" w:color="auto" w:fill="DDD1E5"/>
          </w:tcPr>
          <w:p>
            <w:pPr>
              <w:ind w:left="220"/>
              <w:spacing w:after="0"/>
              <w:rPr>
                <w:sz w:val="20"/>
                <w:szCs w:val="20"/>
                <w:color w:val="auto"/>
              </w:rPr>
            </w:pPr>
            <w:r>
              <w:rPr>
                <w:rFonts w:ascii="Arial" w:cs="Arial" w:eastAsia="Arial" w:hAnsi="Arial"/>
                <w:sz w:val="18"/>
                <w:szCs w:val="18"/>
                <w:b w:val="1"/>
                <w:bCs w:val="1"/>
                <w:color w:val="auto"/>
              </w:rPr>
              <w:t>Ingredients</w:t>
            </w:r>
          </w:p>
        </w:tc>
        <w:tc>
          <w:tcPr>
            <w:tcW w:w="220" w:type="dxa"/>
            <w:vAlign w:val="bottom"/>
          </w:tcPr>
          <w:p>
            <w:pPr>
              <w:spacing w:after="0"/>
              <w:rPr>
                <w:sz w:val="23"/>
                <w:szCs w:val="23"/>
                <w:color w:val="auto"/>
              </w:rPr>
            </w:pPr>
          </w:p>
        </w:tc>
        <w:tc>
          <w:tcPr>
            <w:tcW w:w="1560" w:type="dxa"/>
            <w:vAlign w:val="bottom"/>
            <w:shd w:val="clear" w:color="auto" w:fill="DDD1E5"/>
          </w:tcPr>
          <w:p>
            <w:pPr>
              <w:ind w:left="460"/>
              <w:spacing w:after="0"/>
              <w:rPr>
                <w:sz w:val="20"/>
                <w:szCs w:val="20"/>
                <w:color w:val="auto"/>
              </w:rPr>
            </w:pPr>
            <w:r>
              <w:rPr>
                <w:rFonts w:ascii="Arial" w:cs="Arial" w:eastAsia="Arial" w:hAnsi="Arial"/>
                <w:sz w:val="18"/>
                <w:szCs w:val="18"/>
                <w:b w:val="1"/>
                <w:bCs w:val="1"/>
                <w:color w:val="auto"/>
              </w:rPr>
              <w:t>Climate</w:t>
            </w:r>
          </w:p>
        </w:tc>
        <w:tc>
          <w:tcPr>
            <w:tcW w:w="220" w:type="dxa"/>
            <w:vAlign w:val="bottom"/>
          </w:tcPr>
          <w:p>
            <w:pPr>
              <w:spacing w:after="0"/>
              <w:rPr>
                <w:sz w:val="23"/>
                <w:szCs w:val="23"/>
                <w:color w:val="auto"/>
              </w:rPr>
            </w:pPr>
          </w:p>
        </w:tc>
        <w:tc>
          <w:tcPr>
            <w:tcW w:w="1340" w:type="dxa"/>
            <w:vAlign w:val="bottom"/>
            <w:shd w:val="clear" w:color="auto" w:fill="DDD1E5"/>
          </w:tcPr>
          <w:p>
            <w:pPr>
              <w:ind w:left="220"/>
              <w:spacing w:after="0"/>
              <w:rPr>
                <w:sz w:val="20"/>
                <w:szCs w:val="20"/>
                <w:color w:val="auto"/>
              </w:rPr>
            </w:pPr>
            <w:r>
              <w:rPr>
                <w:rFonts w:ascii="Arial" w:cs="Arial" w:eastAsia="Arial" w:hAnsi="Arial"/>
                <w:sz w:val="18"/>
                <w:szCs w:val="18"/>
                <w:b w:val="1"/>
                <w:bCs w:val="1"/>
                <w:color w:val="auto"/>
              </w:rPr>
              <w:t>Packaging</w:t>
            </w:r>
          </w:p>
        </w:tc>
        <w:tc>
          <w:tcPr>
            <w:tcW w:w="200" w:type="dxa"/>
            <w:vAlign w:val="bottom"/>
          </w:tcPr>
          <w:p>
            <w:pPr>
              <w:spacing w:after="0"/>
              <w:rPr>
                <w:sz w:val="23"/>
                <w:szCs w:val="23"/>
                <w:color w:val="auto"/>
              </w:rPr>
            </w:pPr>
          </w:p>
        </w:tc>
        <w:tc>
          <w:tcPr>
            <w:tcW w:w="1580" w:type="dxa"/>
            <w:vAlign w:val="bottom"/>
            <w:shd w:val="clear" w:color="auto" w:fill="DDD1E5"/>
          </w:tcPr>
          <w:p>
            <w:pPr>
              <w:ind w:left="540"/>
              <w:spacing w:after="0"/>
              <w:rPr>
                <w:sz w:val="20"/>
                <w:szCs w:val="20"/>
                <w:color w:val="auto"/>
              </w:rPr>
            </w:pPr>
            <w:r>
              <w:rPr>
                <w:rFonts w:ascii="Arial" w:cs="Arial" w:eastAsia="Arial" w:hAnsi="Arial"/>
                <w:sz w:val="18"/>
                <w:szCs w:val="18"/>
                <w:b w:val="1"/>
                <w:bCs w:val="1"/>
                <w:color w:val="auto"/>
              </w:rPr>
              <w:t>Social</w:t>
            </w:r>
          </w:p>
        </w:tc>
        <w:tc>
          <w:tcPr>
            <w:tcW w:w="220" w:type="dxa"/>
            <w:vAlign w:val="bottom"/>
          </w:tcPr>
          <w:p>
            <w:pPr>
              <w:spacing w:after="0"/>
              <w:rPr>
                <w:sz w:val="23"/>
                <w:szCs w:val="23"/>
                <w:color w:val="auto"/>
              </w:rPr>
            </w:pPr>
          </w:p>
        </w:tc>
        <w:tc>
          <w:tcPr>
            <w:tcW w:w="144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Diversity, Equity</w:t>
            </w:r>
          </w:p>
        </w:tc>
        <w:tc>
          <w:tcPr>
            <w:tcW w:w="220" w:type="dxa"/>
            <w:vAlign w:val="bottom"/>
          </w:tcPr>
          <w:p>
            <w:pPr>
              <w:spacing w:after="0"/>
              <w:rPr>
                <w:sz w:val="23"/>
                <w:szCs w:val="23"/>
                <w:color w:val="auto"/>
              </w:rPr>
            </w:pPr>
          </w:p>
        </w:tc>
        <w:tc>
          <w:tcPr>
            <w:tcW w:w="1320" w:type="dxa"/>
            <w:vAlign w:val="bottom"/>
            <w:shd w:val="clear" w:color="auto" w:fill="DDD1E5"/>
          </w:tcPr>
          <w:p>
            <w:pPr>
              <w:ind w:left="220"/>
              <w:spacing w:after="0"/>
              <w:rPr>
                <w:sz w:val="20"/>
                <w:szCs w:val="20"/>
                <w:color w:val="auto"/>
              </w:rPr>
            </w:pPr>
            <w:r>
              <w:rPr>
                <w:rFonts w:ascii="Arial" w:cs="Arial" w:eastAsia="Arial" w:hAnsi="Arial"/>
                <w:sz w:val="18"/>
                <w:szCs w:val="18"/>
                <w:b w:val="1"/>
                <w:bCs w:val="1"/>
                <w:color w:val="auto"/>
              </w:rPr>
              <w:t>Consumer</w:t>
            </w:r>
          </w:p>
        </w:tc>
        <w:tc>
          <w:tcPr>
            <w:tcW w:w="220" w:type="dxa"/>
            <w:vAlign w:val="bottom"/>
          </w:tcPr>
          <w:p>
            <w:pPr>
              <w:spacing w:after="0"/>
              <w:rPr>
                <w:sz w:val="23"/>
                <w:szCs w:val="23"/>
                <w:color w:val="auto"/>
              </w:rPr>
            </w:pPr>
          </w:p>
        </w:tc>
        <w:tc>
          <w:tcPr>
            <w:tcW w:w="134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Employee</w:t>
            </w:r>
          </w:p>
        </w:tc>
      </w:tr>
      <w:tr>
        <w:trPr>
          <w:trHeight w:val="241"/>
        </w:trPr>
        <w:tc>
          <w:tcPr>
            <w:tcW w:w="1360" w:type="dxa"/>
            <w:vAlign w:val="bottom"/>
            <w:shd w:val="clear" w:color="auto" w:fill="DDD1E5"/>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shd w:val="clear" w:color="auto" w:fill="DDD1E5"/>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shd w:val="clear" w:color="auto" w:fill="DDD1E5"/>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shd w:val="clear" w:color="auto" w:fill="DDD1E5"/>
          </w:tcPr>
          <w:p>
            <w:pPr>
              <w:ind w:left="500"/>
              <w:spacing w:after="0"/>
              <w:rPr>
                <w:sz w:val="20"/>
                <w:szCs w:val="20"/>
                <w:color w:val="auto"/>
              </w:rPr>
            </w:pPr>
            <w:r>
              <w:rPr>
                <w:rFonts w:ascii="Arial" w:cs="Arial" w:eastAsia="Arial" w:hAnsi="Arial"/>
                <w:sz w:val="18"/>
                <w:szCs w:val="18"/>
                <w:b w:val="1"/>
                <w:bCs w:val="1"/>
                <w:color w:val="auto"/>
              </w:rPr>
              <w:t>Impact</w:t>
            </w:r>
          </w:p>
        </w:tc>
        <w:tc>
          <w:tcPr>
            <w:tcW w:w="220" w:type="dxa"/>
            <w:vAlign w:val="bottom"/>
          </w:tcPr>
          <w:p>
            <w:pPr>
              <w:spacing w:after="0"/>
              <w:rPr>
                <w:sz w:val="20"/>
                <w:szCs w:val="20"/>
                <w:color w:val="auto"/>
              </w:rPr>
            </w:pPr>
          </w:p>
        </w:tc>
        <w:tc>
          <w:tcPr>
            <w:tcW w:w="144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&amp; Inclusion</w:t>
            </w:r>
          </w:p>
        </w:tc>
        <w:tc>
          <w:tcPr>
            <w:tcW w:w="220" w:type="dxa"/>
            <w:vAlign w:val="bottom"/>
          </w:tcPr>
          <w:p>
            <w:pPr>
              <w:spacing w:after="0"/>
              <w:rPr>
                <w:sz w:val="20"/>
                <w:szCs w:val="20"/>
                <w:color w:val="auto"/>
              </w:rPr>
            </w:pPr>
          </w:p>
        </w:tc>
        <w:tc>
          <w:tcPr>
            <w:tcW w:w="1320" w:type="dxa"/>
            <w:vAlign w:val="bottom"/>
            <w:shd w:val="clear" w:color="auto" w:fill="DDD1E5"/>
          </w:tcPr>
          <w:p>
            <w:pPr>
              <w:ind w:left="200"/>
              <w:spacing w:after="0"/>
              <w:rPr>
                <w:sz w:val="20"/>
                <w:szCs w:val="20"/>
                <w:color w:val="auto"/>
              </w:rPr>
            </w:pPr>
            <w:r>
              <w:rPr>
                <w:rFonts w:ascii="Arial" w:cs="Arial" w:eastAsia="Arial" w:hAnsi="Arial"/>
                <w:sz w:val="18"/>
                <w:szCs w:val="18"/>
                <w:b w:val="1"/>
                <w:bCs w:val="1"/>
                <w:color w:val="auto"/>
              </w:rPr>
              <w:t>Well-Being</w:t>
            </w:r>
          </w:p>
        </w:tc>
        <w:tc>
          <w:tcPr>
            <w:tcW w:w="220" w:type="dxa"/>
            <w:vAlign w:val="bottom"/>
          </w:tcPr>
          <w:p>
            <w:pPr>
              <w:spacing w:after="0"/>
              <w:rPr>
                <w:sz w:val="20"/>
                <w:szCs w:val="20"/>
                <w:color w:val="auto"/>
              </w:rPr>
            </w:pPr>
          </w:p>
        </w:tc>
        <w:tc>
          <w:tcPr>
            <w:tcW w:w="1340" w:type="dxa"/>
            <w:vAlign w:val="bottom"/>
            <w:shd w:val="clear" w:color="auto" w:fill="DDD1E5"/>
          </w:tcPr>
          <w:p>
            <w:pPr>
              <w:jc w:val="center"/>
              <w:spacing w:after="0"/>
              <w:rPr>
                <w:sz w:val="20"/>
                <w:szCs w:val="20"/>
                <w:color w:val="auto"/>
              </w:rPr>
            </w:pPr>
            <w:r>
              <w:rPr>
                <w:rFonts w:ascii="Arial" w:cs="Arial" w:eastAsia="Arial" w:hAnsi="Arial"/>
                <w:sz w:val="18"/>
                <w:szCs w:val="18"/>
                <w:b w:val="1"/>
                <w:bCs w:val="1"/>
                <w:color w:val="auto"/>
                <w:w w:val="96"/>
              </w:rPr>
              <w:t>Well-Being</w:t>
            </w:r>
          </w:p>
        </w:tc>
      </w:tr>
      <w:tr>
        <w:trPr>
          <w:trHeight w:val="165"/>
        </w:trPr>
        <w:tc>
          <w:tcPr>
            <w:tcW w:w="1360" w:type="dxa"/>
            <w:vAlign w:val="bottom"/>
            <w:shd w:val="clear" w:color="auto" w:fill="DDD1E5"/>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shd w:val="clear" w:color="auto" w:fill="DDD1E5"/>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shd w:val="clear" w:color="auto" w:fill="DDD1E5"/>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shd w:val="clear" w:color="auto" w:fill="DDD1E5"/>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shd w:val="clear" w:color="auto" w:fill="DDD1E5"/>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shd w:val="clear" w:color="auto" w:fill="DDD1E5"/>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shd w:val="clear" w:color="auto" w:fill="DDD1E5"/>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51435</wp:posOffset>
            </wp:positionV>
            <wp:extent cx="480060" cy="2660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0060" cy="26606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51435</wp:posOffset>
            </wp:positionV>
            <wp:extent cx="480060" cy="2660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0060" cy="26606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51435</wp:posOffset>
            </wp:positionV>
            <wp:extent cx="480060" cy="2660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0060" cy="26606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51435</wp:posOffset>
            </wp:positionV>
            <wp:extent cx="480060" cy="2660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0060" cy="26606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51435</wp:posOffset>
            </wp:positionV>
            <wp:extent cx="480060" cy="2660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0060" cy="266065"/>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380" w:type="dxa"/>
            <w:vAlign w:val="bottom"/>
          </w:tcPr>
          <w:p>
            <w:pPr>
              <w:jc w:val="center"/>
              <w:ind w:right="92"/>
              <w:spacing w:after="0"/>
              <w:rPr>
                <w:sz w:val="20"/>
                <w:szCs w:val="20"/>
                <w:color w:val="auto"/>
              </w:rPr>
            </w:pPr>
            <w:r>
              <w:rPr>
                <w:rFonts w:ascii="Arial" w:cs="Arial" w:eastAsia="Arial" w:hAnsi="Arial"/>
                <w:sz w:val="18"/>
                <w:szCs w:val="18"/>
                <w:color w:val="auto"/>
                <w:w w:val="98"/>
              </w:rPr>
              <w:t>By 2025, 100%</w:t>
            </w:r>
          </w:p>
        </w:tc>
        <w:tc>
          <w:tcPr>
            <w:tcW w:w="1800" w:type="dxa"/>
            <w:vAlign w:val="bottom"/>
          </w:tcPr>
          <w:p>
            <w:pPr>
              <w:jc w:val="center"/>
              <w:spacing w:after="0"/>
              <w:rPr>
                <w:sz w:val="20"/>
                <w:szCs w:val="20"/>
                <w:color w:val="auto"/>
              </w:rPr>
            </w:pPr>
            <w:r>
              <w:rPr>
                <w:rFonts w:ascii="Arial" w:cs="Arial" w:eastAsia="Arial" w:hAnsi="Arial"/>
                <w:sz w:val="18"/>
                <w:szCs w:val="18"/>
                <w:color w:val="auto"/>
                <w:w w:val="97"/>
              </w:rPr>
              <w:t>By 2025, reduce</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By 2025, 100%</w:t>
            </w:r>
          </w:p>
        </w:tc>
        <w:tc>
          <w:tcPr>
            <w:tcW w:w="1660" w:type="dxa"/>
            <w:vAlign w:val="bottom"/>
          </w:tcPr>
          <w:p>
            <w:pPr>
              <w:jc w:val="center"/>
              <w:ind w:left="72"/>
              <w:spacing w:after="0"/>
              <w:rPr>
                <w:sz w:val="20"/>
                <w:szCs w:val="20"/>
                <w:color w:val="auto"/>
              </w:rPr>
            </w:pPr>
            <w:r>
              <w:rPr>
                <w:rFonts w:ascii="Arial" w:cs="Arial" w:eastAsia="Arial" w:hAnsi="Arial"/>
                <w:sz w:val="18"/>
                <w:szCs w:val="18"/>
                <w:color w:val="auto"/>
                <w:w w:val="97"/>
              </w:rPr>
              <w:t>By 2025, Child</w:t>
            </w:r>
          </w:p>
        </w:tc>
        <w:tc>
          <w:tcPr>
            <w:tcW w:w="0" w:type="dxa"/>
            <w:vAlign w:val="bottom"/>
          </w:tcPr>
          <w:p>
            <w:pPr>
              <w:spacing w:after="0"/>
              <w:rPr>
                <w:sz w:val="1"/>
                <w:szCs w:val="1"/>
                <w:color w:val="auto"/>
              </w:rPr>
            </w:pPr>
          </w:p>
        </w:tc>
      </w:tr>
      <w:tr>
        <w:trPr>
          <w:trHeight w:val="203"/>
        </w:trPr>
        <w:tc>
          <w:tcPr>
            <w:tcW w:w="13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of the cocoa</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7"/>
              </w:rPr>
              <w:t>end-to-end CO2e</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7"/>
              </w:rPr>
              <w:t>of packaging</w:t>
            </w:r>
          </w:p>
        </w:tc>
        <w:tc>
          <w:tcPr>
            <w:tcW w:w="16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Labor Monitoring &amp;</w:t>
            </w:r>
          </w:p>
        </w:tc>
        <w:tc>
          <w:tcPr>
            <w:tcW w:w="0" w:type="dxa"/>
            <w:vAlign w:val="bottom"/>
          </w:tcPr>
          <w:p>
            <w:pPr>
              <w:spacing w:after="0"/>
              <w:rPr>
                <w:sz w:val="1"/>
                <w:szCs w:val="1"/>
                <w:color w:val="auto"/>
              </w:rPr>
            </w:pPr>
          </w:p>
        </w:tc>
      </w:tr>
      <w:tr>
        <w:trPr>
          <w:trHeight w:val="203"/>
        </w:trPr>
        <w:tc>
          <w:tcPr>
            <w:tcW w:w="13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volume for our</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7"/>
              </w:rPr>
              <w:t>emissions by 10%,</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8"/>
              </w:rPr>
              <w:t>designed to be</w:t>
            </w:r>
          </w:p>
        </w:tc>
        <w:tc>
          <w:tcPr>
            <w:tcW w:w="16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6"/>
              </w:rPr>
              <w:t>Remediation</w:t>
            </w:r>
          </w:p>
        </w:tc>
        <w:tc>
          <w:tcPr>
            <w:tcW w:w="0" w:type="dxa"/>
            <w:vAlign w:val="bottom"/>
          </w:tcPr>
          <w:p>
            <w:pPr>
              <w:spacing w:after="0"/>
              <w:rPr>
                <w:sz w:val="1"/>
                <w:szCs w:val="1"/>
                <w:color w:val="auto"/>
              </w:rPr>
            </w:pPr>
          </w:p>
        </w:tc>
      </w:tr>
      <w:tr>
        <w:trPr>
          <w:trHeight w:val="203"/>
        </w:trPr>
        <w:tc>
          <w:tcPr>
            <w:tcW w:w="13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8"/>
              </w:rPr>
              <w:t>chocolate</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6"/>
              </w:rPr>
              <w:t>reduce absolute</w:t>
            </w:r>
          </w:p>
        </w:tc>
        <w:tc>
          <w:tcPr>
            <w:tcW w:w="1520" w:type="dxa"/>
            <w:vAlign w:val="bottom"/>
          </w:tcPr>
          <w:p>
            <w:pPr>
              <w:jc w:val="center"/>
              <w:spacing w:after="0" w:line="202" w:lineRule="exact"/>
              <w:rPr>
                <w:sz w:val="20"/>
                <w:szCs w:val="20"/>
                <w:color w:val="auto"/>
              </w:rPr>
            </w:pPr>
            <w:r>
              <w:rPr>
                <w:rFonts w:ascii="Arial" w:cs="Arial" w:eastAsia="Arial" w:hAnsi="Arial"/>
                <w:sz w:val="18"/>
                <w:szCs w:val="18"/>
                <w:color w:val="auto"/>
                <w:w w:val="98"/>
              </w:rPr>
              <w:t>recyclable</w:t>
            </w:r>
          </w:p>
        </w:tc>
        <w:tc>
          <w:tcPr>
            <w:tcW w:w="16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6"/>
              </w:rPr>
              <w:t>Systems cover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6"/>
              </w:rPr>
              <w:t>brands sourced</w:t>
            </w:r>
          </w:p>
        </w:tc>
        <w:tc>
          <w:tcPr>
            <w:tcW w:w="1800" w:type="dxa"/>
            <w:vAlign w:val="bottom"/>
          </w:tcPr>
          <w:p>
            <w:pPr>
              <w:jc w:val="center"/>
              <w:spacing w:after="0" w:line="202" w:lineRule="exact"/>
              <w:rPr>
                <w:sz w:val="20"/>
                <w:szCs w:val="20"/>
                <w:color w:val="auto"/>
              </w:rPr>
            </w:pPr>
            <w:r>
              <w:rPr>
                <w:rFonts w:ascii="Arial" w:cs="Arial" w:eastAsia="Arial" w:hAnsi="Arial"/>
                <w:sz w:val="18"/>
                <w:szCs w:val="18"/>
                <w:color w:val="auto"/>
                <w:w w:val="97"/>
              </w:rPr>
              <w:t>water usage in</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7"/>
              </w:rPr>
              <w:t>By 2025, 5%</w:t>
            </w:r>
          </w:p>
        </w:tc>
        <w:tc>
          <w:tcPr>
            <w:tcW w:w="16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100% of Cocoa</w:t>
            </w: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8"/>
              </w:rPr>
              <w:t>through Cocoa</w:t>
            </w: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priority sites by</w:t>
            </w:r>
          </w:p>
        </w:tc>
        <w:tc>
          <w:tcPr>
            <w:tcW w:w="1520" w:type="dxa"/>
            <w:vAlign w:val="bottom"/>
            <w:vMerge w:val="continue"/>
          </w:tcPr>
          <w:p>
            <w:pPr>
              <w:spacing w:after="0"/>
              <w:rPr>
                <w:sz w:val="9"/>
                <w:szCs w:val="9"/>
                <w:color w:val="auto"/>
              </w:rPr>
            </w:pPr>
          </w:p>
        </w:tc>
        <w:tc>
          <w:tcPr>
            <w:tcW w:w="1660" w:type="dxa"/>
            <w:vAlign w:val="bottom"/>
            <w:vMerge w:val="restart"/>
          </w:tcPr>
          <w:p>
            <w:pPr>
              <w:jc w:val="center"/>
              <w:ind w:left="72"/>
              <w:spacing w:after="0" w:line="202" w:lineRule="exact"/>
              <w:rPr>
                <w:sz w:val="20"/>
                <w:szCs w:val="20"/>
                <w:color w:val="auto"/>
              </w:rPr>
            </w:pPr>
            <w:r>
              <w:rPr>
                <w:rFonts w:ascii="Arial" w:cs="Arial" w:eastAsia="Arial" w:hAnsi="Arial"/>
                <w:sz w:val="18"/>
                <w:szCs w:val="18"/>
                <w:color w:val="auto"/>
                <w:w w:val="97"/>
              </w:rPr>
              <w:t>Life communities in</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reduction in</w:t>
            </w: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6"/>
              </w:rPr>
              <w:t>Life</w:t>
            </w: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10%, and reduce</w:t>
            </w:r>
          </w:p>
        </w:tc>
        <w:tc>
          <w:tcPr>
            <w:tcW w:w="1520" w:type="dxa"/>
            <w:vAlign w:val="bottom"/>
            <w:vMerge w:val="continue"/>
          </w:tcPr>
          <w:p>
            <w:pPr>
              <w:spacing w:after="0"/>
              <w:rPr>
                <w:sz w:val="9"/>
                <w:szCs w:val="9"/>
                <w:color w:val="auto"/>
              </w:rPr>
            </w:pPr>
          </w:p>
        </w:tc>
        <w:tc>
          <w:tcPr>
            <w:tcW w:w="1660" w:type="dxa"/>
            <w:vAlign w:val="bottom"/>
            <w:vMerge w:val="restart"/>
          </w:tcPr>
          <w:p>
            <w:pPr>
              <w:jc w:val="center"/>
              <w:ind w:left="72"/>
              <w:spacing w:after="0" w:line="202" w:lineRule="exact"/>
              <w:rPr>
                <w:sz w:val="20"/>
                <w:szCs w:val="20"/>
                <w:color w:val="auto"/>
              </w:rPr>
            </w:pPr>
            <w:r>
              <w:rPr>
                <w:rFonts w:ascii="Arial" w:cs="Arial" w:eastAsia="Arial" w:hAnsi="Arial"/>
                <w:sz w:val="18"/>
                <w:szCs w:val="18"/>
                <w:color w:val="auto"/>
                <w:w w:val="97"/>
              </w:rPr>
              <w:t>West Africa</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virgin plastic,</w:t>
            </w: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food waste in</w:t>
            </w:r>
          </w:p>
        </w:tc>
        <w:tc>
          <w:tcPr>
            <w:tcW w:w="152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8"/>
              </w:rPr>
              <w:t>By 2022, 100%</w:t>
            </w: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and 25%</w:t>
            </w:r>
          </w:p>
        </w:tc>
        <w:tc>
          <w:tcPr>
            <w:tcW w:w="1660" w:type="dxa"/>
            <w:vAlign w:val="bottom"/>
            <w:vMerge w:val="restart"/>
          </w:tcPr>
          <w:p>
            <w:pPr>
              <w:jc w:val="center"/>
              <w:ind w:left="72"/>
              <w:spacing w:after="0" w:line="202" w:lineRule="exact"/>
              <w:rPr>
                <w:sz w:val="20"/>
                <w:szCs w:val="20"/>
                <w:color w:val="auto"/>
              </w:rPr>
            </w:pPr>
            <w:r>
              <w:rPr>
                <w:rFonts w:ascii="Arial" w:cs="Arial" w:eastAsia="Arial" w:hAnsi="Arial"/>
                <w:sz w:val="18"/>
                <w:szCs w:val="18"/>
                <w:color w:val="auto"/>
                <w:w w:val="97"/>
              </w:rPr>
              <w:t>Invest in innovative</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internal</w:t>
            </w:r>
          </w:p>
        </w:tc>
        <w:tc>
          <w:tcPr>
            <w:tcW w:w="15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7"/>
              </w:rPr>
              <w:t>wheat volume</w:t>
            </w: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reduction in</w:t>
            </w:r>
          </w:p>
        </w:tc>
        <w:tc>
          <w:tcPr>
            <w:tcW w:w="1660" w:type="dxa"/>
            <w:vAlign w:val="bottom"/>
            <w:vMerge w:val="restart"/>
          </w:tcPr>
          <w:p>
            <w:pPr>
              <w:jc w:val="center"/>
              <w:ind w:left="92"/>
              <w:spacing w:after="0" w:line="202" w:lineRule="exact"/>
              <w:rPr>
                <w:sz w:val="20"/>
                <w:szCs w:val="20"/>
                <w:color w:val="auto"/>
              </w:rPr>
            </w:pPr>
            <w:r>
              <w:rPr>
                <w:rFonts w:ascii="Arial" w:cs="Arial" w:eastAsia="Arial" w:hAnsi="Arial"/>
                <w:sz w:val="18"/>
                <w:szCs w:val="18"/>
                <w:color w:val="auto"/>
                <w:w w:val="97"/>
              </w:rPr>
              <w:t>Sustainable</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manufacturing by</w:t>
            </w:r>
          </w:p>
        </w:tc>
        <w:tc>
          <w:tcPr>
            <w:tcW w:w="15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7"/>
              </w:rPr>
              <w:t>needed for</w:t>
            </w: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7"/>
              </w:rPr>
              <w:t>virgin rigid</w:t>
            </w:r>
          </w:p>
        </w:tc>
        <w:tc>
          <w:tcPr>
            <w:tcW w:w="1660" w:type="dxa"/>
            <w:vAlign w:val="bottom"/>
            <w:vMerge w:val="restart"/>
          </w:tcPr>
          <w:p>
            <w:pPr>
              <w:jc w:val="center"/>
              <w:ind w:left="92"/>
              <w:spacing w:after="0" w:line="202" w:lineRule="exact"/>
              <w:rPr>
                <w:sz w:val="20"/>
                <w:szCs w:val="20"/>
                <w:color w:val="auto"/>
              </w:rPr>
            </w:pPr>
            <w:r>
              <w:rPr>
                <w:rFonts w:ascii="Arial" w:cs="Arial" w:eastAsia="Arial" w:hAnsi="Arial"/>
                <w:sz w:val="18"/>
                <w:szCs w:val="18"/>
                <w:color w:val="auto"/>
                <w:w w:val="97"/>
              </w:rPr>
              <w:t>Futures ventures</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8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15%, over 2018</w:t>
            </w:r>
          </w:p>
        </w:tc>
        <w:tc>
          <w:tcPr>
            <w:tcW w:w="15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80" w:type="dxa"/>
            <w:vAlign w:val="bottom"/>
            <w:vMerge w:val="restart"/>
          </w:tcPr>
          <w:p>
            <w:pPr>
              <w:jc w:val="center"/>
              <w:ind w:right="92"/>
              <w:spacing w:after="0" w:line="202" w:lineRule="exact"/>
              <w:rPr>
                <w:sz w:val="20"/>
                <w:szCs w:val="20"/>
                <w:color w:val="auto"/>
              </w:rPr>
            </w:pPr>
            <w:r>
              <w:rPr>
                <w:rFonts w:ascii="Arial" w:cs="Arial" w:eastAsia="Arial" w:hAnsi="Arial"/>
                <w:sz w:val="18"/>
                <w:szCs w:val="18"/>
                <w:color w:val="auto"/>
                <w:w w:val="96"/>
              </w:rPr>
              <w:t>Europe</w:t>
            </w:r>
          </w:p>
        </w:tc>
        <w:tc>
          <w:tcPr>
            <w:tcW w:w="1800" w:type="dxa"/>
            <w:vAlign w:val="bottom"/>
            <w:vMerge w:val="continue"/>
          </w:tcPr>
          <w:p>
            <w:pPr>
              <w:spacing w:after="0"/>
              <w:rPr>
                <w:sz w:val="8"/>
                <w:szCs w:val="8"/>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7"/>
              </w:rPr>
              <w:t>plastic, over</w:t>
            </w:r>
          </w:p>
        </w:tc>
        <w:tc>
          <w:tcPr>
            <w:tcW w:w="1660" w:type="dxa"/>
            <w:vAlign w:val="bottom"/>
            <w:vMerge w:val="restart"/>
          </w:tcPr>
          <w:p>
            <w:pPr>
              <w:jc w:val="center"/>
              <w:ind w:left="72"/>
              <w:spacing w:after="0" w:line="202" w:lineRule="exact"/>
              <w:rPr>
                <w:sz w:val="20"/>
                <w:szCs w:val="20"/>
                <w:color w:val="auto"/>
              </w:rPr>
            </w:pPr>
            <w:r>
              <w:rPr>
                <w:rFonts w:ascii="Arial" w:cs="Arial" w:eastAsia="Arial" w:hAnsi="Arial"/>
                <w:sz w:val="18"/>
                <w:szCs w:val="18"/>
                <w:color w:val="auto"/>
                <w:w w:val="98"/>
              </w:rPr>
              <w:t>and funds</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7"/>
              </w:rPr>
              <w:t>base</w:t>
            </w:r>
          </w:p>
        </w:tc>
        <w:tc>
          <w:tcPr>
            <w:tcW w:w="152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380" w:type="dxa"/>
            <w:vAlign w:val="bottom"/>
            <w:vMerge w:val="restart"/>
          </w:tcPr>
          <w:p>
            <w:pPr>
              <w:jc w:val="center"/>
              <w:ind w:right="72"/>
              <w:spacing w:after="0" w:line="202" w:lineRule="exact"/>
              <w:rPr>
                <w:sz w:val="20"/>
                <w:szCs w:val="20"/>
                <w:color w:val="auto"/>
              </w:rPr>
            </w:pPr>
            <w:r>
              <w:rPr>
                <w:rFonts w:ascii="Arial" w:cs="Arial" w:eastAsia="Arial" w:hAnsi="Arial"/>
                <w:sz w:val="18"/>
                <w:szCs w:val="18"/>
                <w:color w:val="auto"/>
                <w:w w:val="97"/>
              </w:rPr>
              <w:t>business unit</w:t>
            </w:r>
          </w:p>
        </w:tc>
        <w:tc>
          <w:tcPr>
            <w:tcW w:w="1800" w:type="dxa"/>
            <w:vAlign w:val="bottom"/>
            <w:vMerge w:val="continue"/>
          </w:tcPr>
          <w:p>
            <w:pPr>
              <w:spacing w:after="0"/>
              <w:rPr>
                <w:sz w:val="10"/>
                <w:szCs w:val="10"/>
                <w:color w:val="auto"/>
              </w:rPr>
            </w:pPr>
          </w:p>
        </w:tc>
        <w:tc>
          <w:tcPr>
            <w:tcW w:w="15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7"/>
              </w:rPr>
              <w:t>2020 base</w:t>
            </w: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vMerge w:val="continue"/>
          </w:tcPr>
          <w:p>
            <w:pPr>
              <w:spacing w:after="0"/>
              <w:rPr>
                <w:sz w:val="6"/>
                <w:szCs w:val="6"/>
                <w:color w:val="auto"/>
              </w:rPr>
            </w:pPr>
          </w:p>
        </w:tc>
        <w:tc>
          <w:tcPr>
            <w:tcW w:w="18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6"/>
              </w:rPr>
              <w:t>biscuits</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production</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grown under</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8"/>
              </w:rPr>
              <w:t>Harmony</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380" w:type="dxa"/>
            <w:vAlign w:val="bottom"/>
          </w:tcPr>
          <w:p>
            <w:pPr>
              <w:jc w:val="center"/>
              <w:ind w:right="92"/>
              <w:spacing w:after="0"/>
              <w:rPr>
                <w:sz w:val="20"/>
                <w:szCs w:val="20"/>
                <w:color w:val="auto"/>
              </w:rPr>
            </w:pPr>
            <w:r>
              <w:rPr>
                <w:rFonts w:ascii="Arial" w:cs="Arial" w:eastAsia="Arial" w:hAnsi="Arial"/>
                <w:sz w:val="18"/>
                <w:szCs w:val="18"/>
                <w:color w:val="auto"/>
                <w:w w:val="99"/>
              </w:rPr>
              <w:t>charter</w:t>
            </w:r>
          </w:p>
        </w:tc>
        <w:tc>
          <w:tcPr>
            <w:tcW w:w="1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24765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By 2024, double</w:t>
      </w:r>
    </w:p>
    <w:p>
      <w:pPr>
        <w:spacing w:after="0" w:line="35" w:lineRule="exact"/>
        <w:rPr>
          <w:sz w:val="20"/>
          <w:szCs w:val="20"/>
          <w:color w:val="auto"/>
        </w:rPr>
      </w:pPr>
    </w:p>
    <w:p>
      <w:pPr>
        <w:ind w:left="-20" w:firstLine="77"/>
        <w:spacing w:after="0" w:line="284" w:lineRule="auto"/>
        <w:tabs>
          <w:tab w:leader="none" w:pos="2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of women in leadership roles, over 2018 base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 2024, double</w:t>
      </w:r>
    </w:p>
    <w:p>
      <w:pPr>
        <w:spacing w:after="0" w:line="35" w:lineRule="exact"/>
        <w:rPr>
          <w:sz w:val="20"/>
          <w:szCs w:val="20"/>
          <w:color w:val="auto"/>
        </w:rPr>
      </w:pPr>
    </w:p>
    <w:p>
      <w:pPr>
        <w:ind w:left="-20" w:firstLine="141"/>
        <w:spacing w:after="0" w:line="264" w:lineRule="auto"/>
        <w:tabs>
          <w:tab w:leader="none" w:pos="3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U.S. Black representation in</w:t>
      </w:r>
    </w:p>
    <w:p>
      <w:pPr>
        <w:ind w:left="100"/>
        <w:spacing w:after="0" w:line="234" w:lineRule="auto"/>
        <w:rPr>
          <w:rFonts w:ascii="Arial" w:cs="Arial" w:eastAsia="Arial" w:hAnsi="Arial"/>
          <w:sz w:val="16"/>
          <w:szCs w:val="16"/>
          <w:color w:val="auto"/>
        </w:rPr>
      </w:pPr>
      <w:r>
        <w:rPr>
          <w:rFonts w:ascii="Arial" w:cs="Arial" w:eastAsia="Arial" w:hAnsi="Arial"/>
          <w:sz w:val="18"/>
          <w:szCs w:val="18"/>
          <w:color w:val="auto"/>
        </w:rPr>
        <w:t>management,</w:t>
      </w:r>
    </w:p>
    <w:p>
      <w:pPr>
        <w:ind w:left="20"/>
        <w:spacing w:after="0"/>
        <w:rPr>
          <w:rFonts w:ascii="Arial" w:cs="Arial" w:eastAsia="Arial" w:hAnsi="Arial"/>
          <w:sz w:val="16"/>
          <w:szCs w:val="16"/>
          <w:color w:val="auto"/>
        </w:rPr>
      </w:pPr>
      <w:r>
        <w:rPr>
          <w:rFonts w:ascii="Arial" w:cs="Arial" w:eastAsia="Arial" w:hAnsi="Arial"/>
          <w:sz w:val="18"/>
          <w:szCs w:val="18"/>
          <w:color w:val="auto"/>
        </w:rPr>
        <w:t>over 2020 base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center"/>
              <w:ind w:right="92"/>
              <w:spacing w:after="0"/>
              <w:rPr>
                <w:sz w:val="20"/>
                <w:szCs w:val="20"/>
                <w:color w:val="auto"/>
              </w:rPr>
            </w:pPr>
            <w:r>
              <w:rPr>
                <w:rFonts w:ascii="Arial" w:cs="Arial" w:eastAsia="Arial" w:hAnsi="Arial"/>
                <w:sz w:val="18"/>
                <w:szCs w:val="18"/>
                <w:color w:val="auto"/>
                <w:w w:val="96"/>
              </w:rPr>
              <w:t>By 2025, 20%</w:t>
            </w: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96"/>
              </w:rPr>
              <w:t>Continued focus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snacks net</w:t>
            </w: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8"/>
              </w:rPr>
              <w:t>to reduce</w:t>
            </w:r>
          </w:p>
        </w:tc>
        <w:tc>
          <w:tcPr>
            <w:tcW w:w="0" w:type="dxa"/>
            <w:vAlign w:val="bottom"/>
          </w:tcPr>
          <w:p>
            <w:pPr>
              <w:spacing w:after="0"/>
              <w:rPr>
                <w:sz w:val="1"/>
                <w:szCs w:val="1"/>
                <w:color w:val="auto"/>
              </w:rPr>
            </w:pPr>
          </w:p>
        </w:tc>
      </w:tr>
      <w:tr>
        <w:trPr>
          <w:trHeight w:val="203"/>
        </w:trPr>
        <w:tc>
          <w:tcPr>
            <w:tcW w:w="13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8"/>
              </w:rPr>
              <w:t>revenue from</w:t>
            </w: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6"/>
              </w:rPr>
              <w:t>severity 1 safety</w:t>
            </w:r>
          </w:p>
        </w:tc>
        <w:tc>
          <w:tcPr>
            <w:tcW w:w="0" w:type="dxa"/>
            <w:vAlign w:val="bottom"/>
          </w:tcPr>
          <w:p>
            <w:pPr>
              <w:spacing w:after="0"/>
              <w:rPr>
                <w:sz w:val="1"/>
                <w:szCs w:val="1"/>
                <w:color w:val="auto"/>
              </w:rPr>
            </w:pPr>
          </w:p>
        </w:tc>
      </w:tr>
      <w:tr>
        <w:trPr>
          <w:trHeight w:val="203"/>
        </w:trPr>
        <w:tc>
          <w:tcPr>
            <w:tcW w:w="13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8"/>
              </w:rPr>
              <w:t>portion control</w:t>
            </w:r>
          </w:p>
        </w:tc>
        <w:tc>
          <w:tcPr>
            <w:tcW w:w="14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incidents to zero</w:t>
            </w:r>
          </w:p>
        </w:tc>
        <w:tc>
          <w:tcPr>
            <w:tcW w:w="0" w:type="dxa"/>
            <w:vAlign w:val="bottom"/>
          </w:tcPr>
          <w:p>
            <w:pPr>
              <w:spacing w:after="0"/>
              <w:rPr>
                <w:sz w:val="1"/>
                <w:szCs w:val="1"/>
                <w:color w:val="auto"/>
              </w:rPr>
            </w:pPr>
          </w:p>
        </w:tc>
      </w:tr>
      <w:tr>
        <w:trPr>
          <w:trHeight w:val="231"/>
        </w:trPr>
        <w:tc>
          <w:tcPr>
            <w:tcW w:w="1300" w:type="dxa"/>
            <w:vAlign w:val="bottom"/>
          </w:tcPr>
          <w:p>
            <w:pPr>
              <w:jc w:val="center"/>
              <w:ind w:right="92"/>
              <w:spacing w:after="0"/>
              <w:rPr>
                <w:sz w:val="20"/>
                <w:szCs w:val="20"/>
                <w:color w:val="auto"/>
              </w:rPr>
            </w:pPr>
            <w:r>
              <w:rPr>
                <w:rFonts w:ascii="Arial" w:cs="Arial" w:eastAsia="Arial" w:hAnsi="Arial"/>
                <w:sz w:val="18"/>
                <w:szCs w:val="18"/>
                <w:color w:val="auto"/>
                <w:w w:val="99"/>
              </w:rPr>
              <w:t>snacks</w:t>
            </w:r>
          </w:p>
        </w:tc>
        <w:tc>
          <w:tcPr>
            <w:tcW w:w="1460" w:type="dxa"/>
            <w:vAlign w:val="bottom"/>
            <w:vMerge w:val="restart"/>
          </w:tcPr>
          <w:p>
            <w:pPr>
              <w:jc w:val="center"/>
              <w:ind w:left="72"/>
              <w:spacing w:after="0"/>
              <w:rPr>
                <w:sz w:val="20"/>
                <w:szCs w:val="20"/>
                <w:color w:val="auto"/>
              </w:rPr>
            </w:pPr>
            <w:r>
              <w:rPr>
                <w:rFonts w:ascii="Arial" w:cs="Arial" w:eastAsia="Arial" w:hAnsi="Arial"/>
                <w:sz w:val="18"/>
                <w:szCs w:val="18"/>
                <w:color w:val="auto"/>
                <w:w w:val="98"/>
              </w:rPr>
              <w:t>By 2022,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7"/>
              </w:rPr>
              <w:t>continue to</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7"/>
              </w:rPr>
              <w:t>advance mental</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7"/>
              </w:rPr>
              <w:t>and physical</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6"/>
              </w:rPr>
              <w:t>Well-being</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7"/>
              </w:rPr>
              <w:t>(100% of</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6"/>
              </w:rPr>
              <w:t>colleagues have</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7"/>
              </w:rPr>
              <w:t>access to</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7"/>
              </w:rPr>
              <w:t>Employee</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60" w:type="dxa"/>
            <w:vAlign w:val="bottom"/>
          </w:tcPr>
          <w:p>
            <w:pPr>
              <w:jc w:val="center"/>
              <w:ind w:left="72"/>
              <w:spacing w:after="0" w:line="202" w:lineRule="exact"/>
              <w:rPr>
                <w:sz w:val="20"/>
                <w:szCs w:val="20"/>
                <w:color w:val="auto"/>
              </w:rPr>
            </w:pPr>
            <w:r>
              <w:rPr>
                <w:rFonts w:ascii="Arial" w:cs="Arial" w:eastAsia="Arial" w:hAnsi="Arial"/>
                <w:sz w:val="18"/>
                <w:szCs w:val="18"/>
                <w:color w:val="auto"/>
                <w:w w:val="98"/>
              </w:rPr>
              <w:t>Assistance</w:t>
            </w: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1460" w:type="dxa"/>
            <w:vAlign w:val="bottom"/>
          </w:tcPr>
          <w:p>
            <w:pPr>
              <w:jc w:val="center"/>
              <w:ind w:left="72"/>
              <w:spacing w:after="0"/>
              <w:rPr>
                <w:sz w:val="20"/>
                <w:szCs w:val="20"/>
                <w:color w:val="auto"/>
              </w:rPr>
            </w:pPr>
            <w:r>
              <w:rPr>
                <w:rFonts w:ascii="Arial" w:cs="Arial" w:eastAsia="Arial" w:hAnsi="Arial"/>
                <w:sz w:val="18"/>
                <w:szCs w:val="18"/>
                <w:color w:val="auto"/>
                <w:w w:val="97"/>
              </w:rPr>
              <w:t>Programs)</w:t>
            </w:r>
          </w:p>
        </w:tc>
        <w:tc>
          <w:tcPr>
            <w:tcW w:w="0" w:type="dxa"/>
            <w:vAlign w:val="bottom"/>
          </w:tcPr>
          <w:p>
            <w:pPr>
              <w:spacing w:after="0"/>
              <w:rPr>
                <w:sz w:val="1"/>
                <w:szCs w:val="1"/>
                <w:color w:val="auto"/>
              </w:rPr>
            </w:pPr>
          </w:p>
        </w:tc>
      </w:tr>
    </w:tbl>
    <w:p>
      <w:pPr>
        <w:spacing w:after="0" w:line="576" w:lineRule="exact"/>
        <w:rPr>
          <w:sz w:val="20"/>
          <w:szCs w:val="20"/>
          <w:color w:val="auto"/>
        </w:rPr>
      </w:pPr>
    </w:p>
    <w:p>
      <w:pPr>
        <w:sectPr>
          <w:pgSz w:w="11900" w:h="16838" w:orient="portrait"/>
          <w:cols w:equalWidth="0" w:num="3">
            <w:col w:w="6480" w:space="340"/>
            <w:col w:w="1280" w:space="400"/>
            <w:col w:w="2780"/>
          </w:cols>
          <w:pgMar w:left="280" w:top="130" w:right="339" w:bottom="1440" w:gutter="0" w:footer="0" w:header="0"/>
          <w:type w:val="continuous"/>
        </w:sectPr>
      </w:pPr>
    </w:p>
    <w:p>
      <w:pPr>
        <w:spacing w:after="0"/>
        <w:rPr>
          <w:sz w:val="20"/>
          <w:szCs w:val="20"/>
          <w:color w:val="auto"/>
        </w:rPr>
      </w:pPr>
      <w:r>
        <w:rPr>
          <w:sz w:val="1"/>
          <w:szCs w:val="1"/>
          <w:color w:val="auto"/>
        </w:rPr>
        <w:drawing>
          <wp:inline distT="0" distB="0" distL="0" distR="0">
            <wp:extent cx="171450" cy="17145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United Nations Sustainable Development Goals</w:t>
      </w:r>
    </w:p>
    <w:p>
      <w:pPr>
        <w:spacing w:after="0" w:line="187" w:lineRule="exact"/>
        <w:rPr>
          <w:sz w:val="20"/>
          <w:szCs w:val="20"/>
          <w:color w:val="auto"/>
        </w:rPr>
      </w:pPr>
    </w:p>
    <w:p>
      <w:pPr>
        <w:ind w:left="40" w:right="160"/>
        <w:spacing w:after="0"/>
        <w:rPr>
          <w:sz w:val="20"/>
          <w:szCs w:val="20"/>
          <w:color w:val="auto"/>
        </w:rPr>
      </w:pPr>
      <w:r>
        <w:rPr>
          <w:rFonts w:ascii="Arial" w:cs="Arial" w:eastAsia="Arial" w:hAnsi="Arial"/>
          <w:sz w:val="22"/>
          <w:szCs w:val="22"/>
          <w:color w:val="auto"/>
        </w:rPr>
        <w:t>Our goals are aligned to our business ambition to lead the future of snacking at Mondelēz International. Several of our ESG goals and the work that we are doing to advance ESG positively impact the U.N. Sustainable Development Goals (“SDG”) and we focus on those SDGs where we can make a bigger impact or where our signature programming, like Cocoa Life, has a direct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111760</wp:posOffset>
            </wp:positionV>
            <wp:extent cx="7132320" cy="1706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2C83"/>
        </w:rPr>
        <w:t>2022 PROXY STATEMENT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200660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-107315</wp:posOffset>
            </wp:positionV>
            <wp:extent cx="985520" cy="2400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80"/>
          </w:cols>
          <w:pgMar w:left="280" w:top="130" w:right="3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FFF"/>
        </w:rPr>
      </w:pPr>
      <w:hyperlink w:anchor="page12">
        <w:r>
          <w:rPr>
            <w:rFonts w:ascii="Arial" w:cs="Arial" w:eastAsia="Arial" w:hAnsi="Arial"/>
            <w:sz w:val="14"/>
            <w:szCs w:val="14"/>
            <w:u w:val="single" w:color="auto"/>
            <w:color w:val="000F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Environmental and Social Achievements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Some of our 2021 environmental and social achievements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402"/>
        </w:trPr>
        <w:tc>
          <w:tcPr>
            <w:tcW w:w="2420" w:type="dxa"/>
            <w:vAlign w:val="bottom"/>
            <w:tcBorders>
              <w:top w:val="single" w:sz="8" w:color="582C83"/>
            </w:tcBorders>
          </w:tcPr>
          <w:p>
            <w:pPr>
              <w:jc w:val="center"/>
              <w:spacing w:after="0"/>
              <w:rPr>
                <w:sz w:val="20"/>
                <w:szCs w:val="20"/>
                <w:color w:val="auto"/>
              </w:rPr>
            </w:pPr>
            <w:r>
              <w:rPr>
                <w:rFonts w:ascii="Arial" w:cs="Arial" w:eastAsia="Arial" w:hAnsi="Arial"/>
                <w:sz w:val="32"/>
                <w:szCs w:val="32"/>
                <w:b w:val="1"/>
                <w:bCs w:val="1"/>
                <w:color w:val="582C83"/>
              </w:rPr>
              <w:t>SUSTAINABLE</w:t>
            </w:r>
          </w:p>
        </w:tc>
        <w:tc>
          <w:tcPr>
            <w:tcW w:w="2200" w:type="dxa"/>
            <w:vAlign w:val="bottom"/>
            <w:tcBorders>
              <w:top w:val="single" w:sz="8" w:color="582C83"/>
            </w:tcBorders>
          </w:tcPr>
          <w:p>
            <w:pPr>
              <w:jc w:val="center"/>
              <w:spacing w:after="0"/>
              <w:rPr>
                <w:sz w:val="20"/>
                <w:szCs w:val="20"/>
                <w:color w:val="auto"/>
              </w:rPr>
            </w:pPr>
            <w:r>
              <w:rPr>
                <w:rFonts w:ascii="Arial" w:cs="Arial" w:eastAsia="Arial" w:hAnsi="Arial"/>
                <w:sz w:val="32"/>
                <w:szCs w:val="32"/>
                <w:b w:val="1"/>
                <w:bCs w:val="1"/>
                <w:color w:val="582C83"/>
              </w:rPr>
              <w:t>PACKAGING</w:t>
            </w:r>
          </w:p>
        </w:tc>
        <w:tc>
          <w:tcPr>
            <w:tcW w:w="3020" w:type="dxa"/>
            <w:vAlign w:val="bottom"/>
            <w:tcBorders>
              <w:top w:val="single" w:sz="8" w:color="582C83"/>
            </w:tcBorders>
          </w:tcPr>
          <w:p>
            <w:pPr>
              <w:jc w:val="center"/>
              <w:spacing w:after="0"/>
              <w:rPr>
                <w:sz w:val="20"/>
                <w:szCs w:val="20"/>
                <w:color w:val="auto"/>
              </w:rPr>
            </w:pPr>
            <w:r>
              <w:rPr>
                <w:rFonts w:ascii="Arial" w:cs="Arial" w:eastAsia="Arial" w:hAnsi="Arial"/>
                <w:sz w:val="32"/>
                <w:szCs w:val="32"/>
                <w:b w:val="1"/>
                <w:bCs w:val="1"/>
                <w:color w:val="582C83"/>
              </w:rPr>
              <w:t>ENVIRONMENTAL</w:t>
            </w:r>
          </w:p>
        </w:tc>
        <w:tc>
          <w:tcPr>
            <w:tcW w:w="3600" w:type="dxa"/>
            <w:vAlign w:val="bottom"/>
            <w:tcBorders>
              <w:top w:val="single" w:sz="8" w:color="582C83"/>
            </w:tcBorders>
          </w:tcPr>
          <w:p>
            <w:pPr>
              <w:jc w:val="center"/>
              <w:spacing w:after="0"/>
              <w:rPr>
                <w:sz w:val="20"/>
                <w:szCs w:val="20"/>
                <w:color w:val="auto"/>
              </w:rPr>
            </w:pPr>
            <w:r>
              <w:rPr>
                <w:rFonts w:ascii="Arial" w:cs="Arial" w:eastAsia="Arial" w:hAnsi="Arial"/>
                <w:sz w:val="32"/>
                <w:szCs w:val="32"/>
                <w:b w:val="1"/>
                <w:bCs w:val="1"/>
                <w:color w:val="582C83"/>
              </w:rPr>
              <w:t>ACCELERATED</w:t>
            </w:r>
          </w:p>
        </w:tc>
        <w:tc>
          <w:tcPr>
            <w:tcW w:w="0" w:type="dxa"/>
            <w:vAlign w:val="bottom"/>
          </w:tcPr>
          <w:p>
            <w:pPr>
              <w:spacing w:after="0"/>
              <w:rPr>
                <w:sz w:val="1"/>
                <w:szCs w:val="1"/>
                <w:color w:val="auto"/>
              </w:rPr>
            </w:pPr>
          </w:p>
        </w:tc>
      </w:tr>
      <w:tr>
        <w:trPr>
          <w:trHeight w:val="378"/>
        </w:trPr>
        <w:tc>
          <w:tcPr>
            <w:tcW w:w="2420" w:type="dxa"/>
            <w:vAlign w:val="bottom"/>
          </w:tcPr>
          <w:p>
            <w:pPr>
              <w:jc w:val="center"/>
              <w:spacing w:after="0"/>
              <w:rPr>
                <w:sz w:val="20"/>
                <w:szCs w:val="20"/>
                <w:color w:val="auto"/>
              </w:rPr>
            </w:pPr>
            <w:r>
              <w:rPr>
                <w:rFonts w:ascii="Arial" w:cs="Arial" w:eastAsia="Arial" w:hAnsi="Arial"/>
                <w:sz w:val="32"/>
                <w:szCs w:val="32"/>
                <w:b w:val="1"/>
                <w:bCs w:val="1"/>
                <w:color w:val="582C83"/>
              </w:rPr>
              <w:t>INGREDIENTS</w:t>
            </w:r>
          </w:p>
        </w:tc>
        <w:tc>
          <w:tcPr>
            <w:tcW w:w="2200" w:type="dxa"/>
            <w:vAlign w:val="bottom"/>
          </w:tcPr>
          <w:p>
            <w:pPr>
              <w:jc w:val="center"/>
              <w:spacing w:after="0"/>
              <w:rPr>
                <w:sz w:val="20"/>
                <w:szCs w:val="20"/>
                <w:color w:val="auto"/>
              </w:rPr>
            </w:pPr>
            <w:r>
              <w:rPr>
                <w:rFonts w:ascii="Arial" w:cs="Arial" w:eastAsia="Arial" w:hAnsi="Arial"/>
                <w:sz w:val="32"/>
                <w:szCs w:val="32"/>
                <w:b w:val="1"/>
                <w:bCs w:val="1"/>
                <w:color w:val="582C83"/>
                <w:w w:val="99"/>
              </w:rPr>
              <w:t>INNOVATION</w:t>
            </w:r>
          </w:p>
        </w:tc>
        <w:tc>
          <w:tcPr>
            <w:tcW w:w="3020" w:type="dxa"/>
            <w:vAlign w:val="bottom"/>
          </w:tcPr>
          <w:p>
            <w:pPr>
              <w:jc w:val="center"/>
              <w:spacing w:after="0"/>
              <w:rPr>
                <w:sz w:val="20"/>
                <w:szCs w:val="20"/>
                <w:color w:val="auto"/>
              </w:rPr>
            </w:pPr>
            <w:r>
              <w:rPr>
                <w:rFonts w:ascii="Arial" w:cs="Arial" w:eastAsia="Arial" w:hAnsi="Arial"/>
                <w:sz w:val="32"/>
                <w:szCs w:val="32"/>
                <w:b w:val="1"/>
                <w:bCs w:val="1"/>
                <w:color w:val="582C83"/>
                <w:w w:val="99"/>
              </w:rPr>
              <w:t>IMPACT</w:t>
            </w:r>
          </w:p>
        </w:tc>
        <w:tc>
          <w:tcPr>
            <w:tcW w:w="3600" w:type="dxa"/>
            <w:vAlign w:val="bottom"/>
          </w:tcPr>
          <w:p>
            <w:pPr>
              <w:jc w:val="center"/>
              <w:spacing w:after="0"/>
              <w:rPr>
                <w:sz w:val="20"/>
                <w:szCs w:val="20"/>
                <w:color w:val="auto"/>
              </w:rPr>
            </w:pPr>
            <w:r>
              <w:rPr>
                <w:rFonts w:ascii="Arial" w:cs="Arial" w:eastAsia="Arial" w:hAnsi="Arial"/>
                <w:sz w:val="32"/>
                <w:szCs w:val="32"/>
                <w:b w:val="1"/>
                <w:bCs w:val="1"/>
                <w:color w:val="582C83"/>
              </w:rPr>
              <w:t>PROGRESS</w:t>
            </w:r>
          </w:p>
        </w:tc>
        <w:tc>
          <w:tcPr>
            <w:tcW w:w="0" w:type="dxa"/>
            <w:vAlign w:val="bottom"/>
          </w:tcPr>
          <w:p>
            <w:pPr>
              <w:spacing w:after="0"/>
              <w:rPr>
                <w:sz w:val="1"/>
                <w:szCs w:val="1"/>
                <w:color w:val="auto"/>
              </w:rPr>
            </w:pPr>
          </w:p>
        </w:tc>
      </w:tr>
      <w:tr>
        <w:trPr>
          <w:trHeight w:val="378"/>
        </w:trPr>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32"/>
                <w:szCs w:val="32"/>
                <w:b w:val="1"/>
                <w:bCs w:val="1"/>
                <w:color w:val="582C83"/>
              </w:rPr>
              <w:t>THROUGH IMPACT</w:t>
            </w:r>
          </w:p>
        </w:tc>
        <w:tc>
          <w:tcPr>
            <w:tcW w:w="0" w:type="dxa"/>
            <w:vAlign w:val="bottom"/>
          </w:tcPr>
          <w:p>
            <w:pPr>
              <w:spacing w:after="0"/>
              <w:rPr>
                <w:sz w:val="1"/>
                <w:szCs w:val="1"/>
                <w:color w:val="auto"/>
              </w:rPr>
            </w:pPr>
          </w:p>
        </w:tc>
      </w:tr>
      <w:tr>
        <w:trPr>
          <w:trHeight w:val="447"/>
        </w:trPr>
        <w:tc>
          <w:tcPr>
            <w:tcW w:w="2420" w:type="dxa"/>
            <w:vAlign w:val="bottom"/>
          </w:tcPr>
          <w:p>
            <w:pPr>
              <w:jc w:val="center"/>
              <w:spacing w:after="0"/>
              <w:rPr>
                <w:sz w:val="20"/>
                <w:szCs w:val="20"/>
                <w:color w:val="auto"/>
              </w:rPr>
            </w:pPr>
            <w:r>
              <w:rPr>
                <w:rFonts w:ascii="Arial" w:cs="Arial" w:eastAsia="Arial" w:hAnsi="Arial"/>
                <w:sz w:val="32"/>
                <w:szCs w:val="32"/>
                <w:b w:val="1"/>
                <w:bCs w:val="1"/>
                <w:color w:val="582C83"/>
                <w:w w:val="99"/>
              </w:rPr>
              <w:t>75%</w:t>
            </w:r>
          </w:p>
        </w:tc>
        <w:tc>
          <w:tcPr>
            <w:tcW w:w="2200" w:type="dxa"/>
            <w:vAlign w:val="bottom"/>
          </w:tcPr>
          <w:p>
            <w:pPr>
              <w:jc w:val="center"/>
              <w:spacing w:after="0"/>
              <w:rPr>
                <w:sz w:val="20"/>
                <w:szCs w:val="20"/>
                <w:color w:val="auto"/>
              </w:rPr>
            </w:pPr>
            <w:r>
              <w:rPr>
                <w:rFonts w:ascii="Arial" w:cs="Arial" w:eastAsia="Arial" w:hAnsi="Arial"/>
                <w:sz w:val="32"/>
                <w:szCs w:val="32"/>
                <w:b w:val="1"/>
                <w:bCs w:val="1"/>
                <w:color w:val="582C83"/>
                <w:w w:val="99"/>
              </w:rPr>
              <w:t>95%</w:t>
            </w:r>
          </w:p>
        </w:tc>
        <w:tc>
          <w:tcPr>
            <w:tcW w:w="30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32"/>
                <w:szCs w:val="32"/>
                <w:b w:val="1"/>
                <w:bCs w:val="1"/>
                <w:color w:val="582C83"/>
              </w:rPr>
              <w:t>INVESTMENTS</w:t>
            </w:r>
          </w:p>
        </w:tc>
        <w:tc>
          <w:tcPr>
            <w:tcW w:w="0" w:type="dxa"/>
            <w:vAlign w:val="bottom"/>
          </w:tcPr>
          <w:p>
            <w:pPr>
              <w:spacing w:after="0"/>
              <w:rPr>
                <w:sz w:val="1"/>
                <w:szCs w:val="1"/>
                <w:color w:val="auto"/>
              </w:rPr>
            </w:pPr>
          </w:p>
        </w:tc>
      </w:tr>
      <w:tr>
        <w:trPr>
          <w:trHeight w:val="272"/>
        </w:trPr>
        <w:tc>
          <w:tcPr>
            <w:tcW w:w="2420" w:type="dxa"/>
            <w:vAlign w:val="bottom"/>
          </w:tcPr>
          <w:p>
            <w:pPr>
              <w:jc w:val="center"/>
              <w:spacing w:after="0"/>
              <w:rPr>
                <w:sz w:val="20"/>
                <w:szCs w:val="20"/>
                <w:color w:val="auto"/>
              </w:rPr>
            </w:pPr>
            <w:r>
              <w:rPr>
                <w:rFonts w:ascii="Arial" w:cs="Arial" w:eastAsia="Arial" w:hAnsi="Arial"/>
                <w:sz w:val="22"/>
                <w:szCs w:val="22"/>
                <w:color w:val="auto"/>
                <w:w w:val="97"/>
              </w:rPr>
              <w:t>Cocoa volume for</w:t>
            </w:r>
          </w:p>
        </w:tc>
        <w:tc>
          <w:tcPr>
            <w:tcW w:w="2200" w:type="dxa"/>
            <w:vAlign w:val="bottom"/>
          </w:tcPr>
          <w:p>
            <w:pPr>
              <w:jc w:val="center"/>
              <w:spacing w:after="0"/>
              <w:rPr>
                <w:sz w:val="20"/>
                <w:szCs w:val="20"/>
                <w:color w:val="auto"/>
              </w:rPr>
            </w:pPr>
            <w:r>
              <w:rPr>
                <w:rFonts w:ascii="Arial" w:cs="Arial" w:eastAsia="Arial" w:hAnsi="Arial"/>
                <w:sz w:val="22"/>
                <w:szCs w:val="22"/>
                <w:color w:val="auto"/>
                <w:w w:val="98"/>
              </w:rPr>
              <w:t>Packaging designed</w:t>
            </w:r>
          </w:p>
        </w:tc>
        <w:tc>
          <w:tcPr>
            <w:tcW w:w="3020" w:type="dxa"/>
            <w:vAlign w:val="bottom"/>
          </w:tcPr>
          <w:p>
            <w:pPr>
              <w:jc w:val="center"/>
              <w:spacing w:after="0"/>
              <w:rPr>
                <w:sz w:val="20"/>
                <w:szCs w:val="20"/>
                <w:color w:val="auto"/>
              </w:rPr>
            </w:pPr>
            <w:r>
              <w:rPr>
                <w:rFonts w:ascii="Arial" w:cs="Arial" w:eastAsia="Arial" w:hAnsi="Arial"/>
                <w:sz w:val="22"/>
                <w:szCs w:val="22"/>
                <w:color w:val="auto"/>
                <w:w w:val="98"/>
              </w:rPr>
              <w:t>Announced goal of net zero</w:t>
            </w:r>
          </w:p>
        </w:tc>
        <w:tc>
          <w:tcPr>
            <w:tcW w:w="3600" w:type="dxa"/>
            <w:vAlign w:val="bottom"/>
          </w:tcPr>
          <w:p>
            <w:pPr>
              <w:jc w:val="center"/>
              <w:spacing w:after="0"/>
              <w:rPr>
                <w:sz w:val="20"/>
                <w:szCs w:val="20"/>
                <w:color w:val="auto"/>
              </w:rPr>
            </w:pPr>
            <w:r>
              <w:rPr>
                <w:rFonts w:ascii="Arial" w:cs="Arial" w:eastAsia="Arial" w:hAnsi="Arial"/>
                <w:sz w:val="22"/>
                <w:szCs w:val="22"/>
                <w:color w:val="auto"/>
                <w:w w:val="98"/>
              </w:rPr>
              <w:t>Launched Impact Investing Platform</w:t>
            </w: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7"/>
              </w:rPr>
              <w:t>chocolate brands</w:t>
            </w:r>
          </w:p>
        </w:tc>
        <w:tc>
          <w:tcPr>
            <w:tcW w:w="2200" w:type="dxa"/>
            <w:vAlign w:val="bottom"/>
          </w:tcPr>
          <w:p>
            <w:pPr>
              <w:jc w:val="center"/>
              <w:spacing w:after="0" w:line="243" w:lineRule="exact"/>
              <w:rPr>
                <w:sz w:val="20"/>
                <w:szCs w:val="20"/>
                <w:color w:val="auto"/>
              </w:rPr>
            </w:pPr>
            <w:r>
              <w:rPr>
                <w:rFonts w:ascii="Arial" w:cs="Arial" w:eastAsia="Arial" w:hAnsi="Arial"/>
                <w:sz w:val="22"/>
                <w:szCs w:val="22"/>
                <w:color w:val="auto"/>
                <w:w w:val="98"/>
              </w:rPr>
              <w:t>to be recyclable</w:t>
            </w: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7"/>
              </w:rPr>
              <w:t>greenhouse gas emissions</w:t>
            </w:r>
          </w:p>
        </w:tc>
        <w:tc>
          <w:tcPr>
            <w:tcW w:w="3600" w:type="dxa"/>
            <w:vAlign w:val="bottom"/>
          </w:tcPr>
          <w:p>
            <w:pPr>
              <w:jc w:val="center"/>
              <w:spacing w:after="0" w:line="243" w:lineRule="exact"/>
              <w:rPr>
                <w:sz w:val="20"/>
                <w:szCs w:val="20"/>
                <w:color w:val="auto"/>
              </w:rPr>
            </w:pPr>
            <w:r>
              <w:rPr>
                <w:rFonts w:ascii="Arial" w:cs="Arial" w:eastAsia="Arial" w:hAnsi="Arial"/>
                <w:sz w:val="22"/>
                <w:szCs w:val="22"/>
                <w:color w:val="auto"/>
                <w:w w:val="98"/>
              </w:rPr>
              <w:t>Sustainable Futures</w:t>
            </w: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7"/>
              </w:rPr>
              <w:t>sourced through Cocoa</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7"/>
              </w:rPr>
              <w:t>across Scopes 1, 2 and 3 by</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rPr>
              <w:t>Life</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7"/>
              </w:rPr>
              <w:t>2050; will establish near-term</w:t>
            </w:r>
          </w:p>
        </w:tc>
        <w:tc>
          <w:tcPr>
            <w:tcW w:w="3600" w:type="dxa"/>
            <w:vAlign w:val="bottom"/>
          </w:tcPr>
          <w:p>
            <w:pPr>
              <w:jc w:val="center"/>
              <w:spacing w:after="0" w:line="243" w:lineRule="exact"/>
              <w:rPr>
                <w:sz w:val="20"/>
                <w:szCs w:val="20"/>
                <w:color w:val="auto"/>
              </w:rPr>
            </w:pPr>
            <w:r>
              <w:rPr>
                <w:rFonts w:ascii="Arial" w:cs="Arial" w:eastAsia="Arial" w:hAnsi="Arial"/>
                <w:sz w:val="22"/>
                <w:szCs w:val="22"/>
                <w:color w:val="auto"/>
                <w:w w:val="97"/>
              </w:rPr>
              <w:t>Invested in Circulate Capital’s</w:t>
            </w:r>
          </w:p>
        </w:tc>
        <w:tc>
          <w:tcPr>
            <w:tcW w:w="0" w:type="dxa"/>
            <w:vAlign w:val="bottom"/>
          </w:tcPr>
          <w:p>
            <w:pPr>
              <w:spacing w:after="0"/>
              <w:rPr>
                <w:sz w:val="1"/>
                <w:szCs w:val="1"/>
                <w:color w:val="auto"/>
              </w:rPr>
            </w:pPr>
          </w:p>
        </w:tc>
      </w:tr>
      <w:tr>
        <w:trPr>
          <w:trHeight w:val="243"/>
        </w:trPr>
        <w:tc>
          <w:tcPr>
            <w:tcW w:w="2420" w:type="dxa"/>
            <w:vAlign w:val="bottom"/>
            <w:vMerge w:val="restart"/>
          </w:tcPr>
          <w:p>
            <w:pPr>
              <w:jc w:val="center"/>
              <w:spacing w:after="0"/>
              <w:rPr>
                <w:sz w:val="20"/>
                <w:szCs w:val="20"/>
                <w:color w:val="auto"/>
              </w:rPr>
            </w:pPr>
            <w:r>
              <w:rPr>
                <w:rFonts w:ascii="Arial" w:cs="Arial" w:eastAsia="Arial" w:hAnsi="Arial"/>
                <w:sz w:val="32"/>
                <w:szCs w:val="32"/>
                <w:b w:val="1"/>
                <w:bCs w:val="1"/>
                <w:color w:val="582C83"/>
                <w:w w:val="99"/>
              </w:rPr>
              <w:t>91%</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7"/>
              </w:rPr>
              <w:t>emissions-reduction goals in</w:t>
            </w:r>
          </w:p>
        </w:tc>
        <w:tc>
          <w:tcPr>
            <w:tcW w:w="3600" w:type="dxa"/>
            <w:vAlign w:val="bottom"/>
          </w:tcPr>
          <w:p>
            <w:pPr>
              <w:jc w:val="center"/>
              <w:spacing w:after="0" w:line="243" w:lineRule="exact"/>
              <w:rPr>
                <w:sz w:val="20"/>
                <w:szCs w:val="20"/>
                <w:color w:val="auto"/>
              </w:rPr>
            </w:pPr>
            <w:r>
              <w:rPr>
                <w:rFonts w:ascii="Arial" w:cs="Arial" w:eastAsia="Arial" w:hAnsi="Arial"/>
                <w:sz w:val="22"/>
                <w:szCs w:val="22"/>
                <w:color w:val="auto"/>
                <w:w w:val="98"/>
              </w:rPr>
              <w:t>Ocean Fund to advance plastic</w:t>
            </w: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8"/>
              </w:rPr>
              <w:t>the next two years, in line</w:t>
            </w:r>
          </w:p>
        </w:tc>
        <w:tc>
          <w:tcPr>
            <w:tcW w:w="3600" w:type="dxa"/>
            <w:vAlign w:val="bottom"/>
          </w:tcPr>
          <w:p>
            <w:pPr>
              <w:jc w:val="center"/>
              <w:spacing w:after="0" w:line="243" w:lineRule="exact"/>
              <w:rPr>
                <w:sz w:val="20"/>
                <w:szCs w:val="20"/>
                <w:color w:val="auto"/>
              </w:rPr>
            </w:pPr>
            <w:r>
              <w:rPr>
                <w:rFonts w:ascii="Arial" w:cs="Arial" w:eastAsia="Arial" w:hAnsi="Arial"/>
                <w:sz w:val="22"/>
                <w:szCs w:val="22"/>
                <w:color w:val="auto"/>
                <w:w w:val="98"/>
              </w:rPr>
              <w:t>waste collection and recycling</w:t>
            </w:r>
          </w:p>
        </w:tc>
        <w:tc>
          <w:tcPr>
            <w:tcW w:w="0" w:type="dxa"/>
            <w:vAlign w:val="bottom"/>
          </w:tcPr>
          <w:p>
            <w:pPr>
              <w:spacing w:after="0"/>
              <w:rPr>
                <w:sz w:val="1"/>
                <w:szCs w:val="1"/>
                <w:color w:val="auto"/>
              </w:rPr>
            </w:pPr>
          </w:p>
        </w:tc>
      </w:tr>
      <w:tr>
        <w:trPr>
          <w:trHeight w:val="229"/>
        </w:trPr>
        <w:tc>
          <w:tcPr>
            <w:tcW w:w="242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3020" w:type="dxa"/>
            <w:vAlign w:val="bottom"/>
          </w:tcPr>
          <w:p>
            <w:pPr>
              <w:jc w:val="center"/>
              <w:spacing w:after="0" w:line="229" w:lineRule="exact"/>
              <w:rPr>
                <w:sz w:val="20"/>
                <w:szCs w:val="20"/>
                <w:color w:val="auto"/>
              </w:rPr>
            </w:pPr>
            <w:r>
              <w:rPr>
                <w:rFonts w:ascii="Arial" w:cs="Arial" w:eastAsia="Arial" w:hAnsi="Arial"/>
                <w:sz w:val="22"/>
                <w:szCs w:val="22"/>
                <w:color w:val="auto"/>
                <w:w w:val="97"/>
              </w:rPr>
              <w:t>with the Science Based</w:t>
            </w:r>
          </w:p>
        </w:tc>
        <w:tc>
          <w:tcPr>
            <w:tcW w:w="3600" w:type="dxa"/>
            <w:vAlign w:val="bottom"/>
          </w:tcPr>
          <w:p>
            <w:pPr>
              <w:jc w:val="center"/>
              <w:spacing w:after="0" w:line="229" w:lineRule="exact"/>
              <w:rPr>
                <w:sz w:val="20"/>
                <w:szCs w:val="20"/>
                <w:color w:val="auto"/>
              </w:rPr>
            </w:pPr>
            <w:r>
              <w:rPr>
                <w:rFonts w:ascii="Arial" w:cs="Arial" w:eastAsia="Arial" w:hAnsi="Arial"/>
                <w:sz w:val="22"/>
                <w:szCs w:val="22"/>
                <w:color w:val="auto"/>
                <w:w w:val="98"/>
              </w:rPr>
              <w:t>efforts</w:t>
            </w: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8"/>
              </w:rPr>
              <w:t>Wheat volume needed</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6"/>
              </w:rPr>
              <w:t>Targets Initiative (SBTi)</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8"/>
              </w:rPr>
              <w:t>for Europe business</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8"/>
              </w:rPr>
              <w:t>“Business Ambition for</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8"/>
              </w:rPr>
              <w:t>unit biscuits production</w:t>
            </w:r>
          </w:p>
        </w:tc>
        <w:tc>
          <w:tcPr>
            <w:tcW w:w="2200" w:type="dxa"/>
            <w:vAlign w:val="bottom"/>
          </w:tcPr>
          <w:p>
            <w:pPr>
              <w:spacing w:after="0"/>
              <w:rPr>
                <w:sz w:val="21"/>
                <w:szCs w:val="21"/>
                <w:color w:val="auto"/>
              </w:rPr>
            </w:pPr>
          </w:p>
        </w:tc>
        <w:tc>
          <w:tcPr>
            <w:tcW w:w="3020" w:type="dxa"/>
            <w:vAlign w:val="bottom"/>
          </w:tcPr>
          <w:p>
            <w:pPr>
              <w:jc w:val="center"/>
              <w:spacing w:after="0" w:line="243" w:lineRule="exact"/>
              <w:rPr>
                <w:sz w:val="20"/>
                <w:szCs w:val="20"/>
                <w:color w:val="auto"/>
              </w:rPr>
            </w:pPr>
            <w:r>
              <w:rPr>
                <w:rFonts w:ascii="Arial" w:cs="Arial" w:eastAsia="Arial" w:hAnsi="Arial"/>
                <w:sz w:val="22"/>
                <w:szCs w:val="22"/>
                <w:color w:val="auto"/>
                <w:w w:val="99"/>
              </w:rPr>
              <w:t>1.5°C Pledge”</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jc w:val="center"/>
              <w:spacing w:after="0" w:line="243" w:lineRule="exact"/>
              <w:rPr>
                <w:sz w:val="20"/>
                <w:szCs w:val="20"/>
                <w:color w:val="auto"/>
              </w:rPr>
            </w:pPr>
            <w:r>
              <w:rPr>
                <w:rFonts w:ascii="Arial" w:cs="Arial" w:eastAsia="Arial" w:hAnsi="Arial"/>
                <w:sz w:val="22"/>
                <w:szCs w:val="22"/>
                <w:color w:val="auto"/>
                <w:w w:val="98"/>
              </w:rPr>
              <w:t>grown under Harmony</w:t>
            </w:r>
          </w:p>
        </w:tc>
        <w:tc>
          <w:tcPr>
            <w:tcW w:w="2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420" w:type="dxa"/>
            <w:vAlign w:val="bottom"/>
          </w:tcPr>
          <w:p>
            <w:pPr>
              <w:jc w:val="center"/>
              <w:spacing w:after="0"/>
              <w:rPr>
                <w:sz w:val="20"/>
                <w:szCs w:val="20"/>
                <w:color w:val="auto"/>
              </w:rPr>
            </w:pPr>
            <w:r>
              <w:rPr>
                <w:rFonts w:ascii="Arial" w:cs="Arial" w:eastAsia="Arial" w:hAnsi="Arial"/>
                <w:sz w:val="22"/>
                <w:szCs w:val="22"/>
                <w:color w:val="auto"/>
                <w:w w:val="99"/>
              </w:rPr>
              <w:t>charter</w:t>
            </w:r>
          </w:p>
        </w:tc>
        <w:tc>
          <w:tcPr>
            <w:tcW w:w="2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420" w:type="dxa"/>
            <w:vAlign w:val="bottom"/>
            <w:tcBorders>
              <w:bottom w:val="single" w:sz="8" w:color="582C83"/>
            </w:tcBorders>
          </w:tcPr>
          <w:p>
            <w:pPr>
              <w:spacing w:after="0"/>
              <w:rPr>
                <w:sz w:val="7"/>
                <w:szCs w:val="7"/>
                <w:color w:val="auto"/>
              </w:rPr>
            </w:pPr>
          </w:p>
        </w:tc>
        <w:tc>
          <w:tcPr>
            <w:tcW w:w="2200" w:type="dxa"/>
            <w:vAlign w:val="bottom"/>
            <w:tcBorders>
              <w:bottom w:val="single" w:sz="8" w:color="582C83"/>
            </w:tcBorders>
          </w:tcPr>
          <w:p>
            <w:pPr>
              <w:spacing w:after="0"/>
              <w:rPr>
                <w:sz w:val="7"/>
                <w:szCs w:val="7"/>
                <w:color w:val="auto"/>
              </w:rPr>
            </w:pPr>
          </w:p>
        </w:tc>
        <w:tc>
          <w:tcPr>
            <w:tcW w:w="3020" w:type="dxa"/>
            <w:vAlign w:val="bottom"/>
            <w:tcBorders>
              <w:bottom w:val="single" w:sz="8" w:color="582C83"/>
            </w:tcBorders>
          </w:tcPr>
          <w:p>
            <w:pPr>
              <w:spacing w:after="0"/>
              <w:rPr>
                <w:sz w:val="7"/>
                <w:szCs w:val="7"/>
                <w:color w:val="auto"/>
              </w:rPr>
            </w:pPr>
          </w:p>
        </w:tc>
        <w:tc>
          <w:tcPr>
            <w:tcW w:w="3600" w:type="dxa"/>
            <w:vAlign w:val="bottom"/>
            <w:tcBorders>
              <w:bottom w:val="single" w:sz="8" w:color="582C8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ESG Reporting</w:t>
      </w:r>
    </w:p>
    <w:p>
      <w:pPr>
        <w:spacing w:after="0" w:line="227"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 xml:space="preserve">Every year we report our progress against our public goals. We expect to publish our next update in May 2022 as part of our 2021 </w:t>
      </w:r>
      <w:r>
        <w:rPr>
          <w:rFonts w:ascii="Arial" w:cs="Arial" w:eastAsia="Arial" w:hAnsi="Arial"/>
          <w:sz w:val="22"/>
          <w:szCs w:val="22"/>
          <w:i w:val="1"/>
          <w:iCs w:val="1"/>
          <w:color w:val="auto"/>
        </w:rPr>
        <w:t>Snacking Made Right</w:t>
      </w:r>
      <w:r>
        <w:rPr>
          <w:rFonts w:ascii="Arial" w:cs="Arial" w:eastAsia="Arial" w:hAnsi="Arial"/>
          <w:sz w:val="22"/>
          <w:szCs w:val="22"/>
          <w:color w:val="auto"/>
        </w:rPr>
        <w:t xml:space="preserve"> report, which will be available on our website, </w:t>
      </w:r>
      <w:r>
        <w:rPr>
          <w:rFonts w:ascii="Arial" w:cs="Arial" w:eastAsia="Arial" w:hAnsi="Arial"/>
          <w:sz w:val="22"/>
          <w:szCs w:val="22"/>
          <w:i w:val="1"/>
          <w:iCs w:val="1"/>
          <w:color w:val="582C83"/>
        </w:rPr>
        <w:t>www.mondelezinternational.com</w:t>
      </w:r>
      <w:r>
        <w:rPr>
          <w:rFonts w:ascii="Arial" w:cs="Arial" w:eastAsia="Arial" w:hAnsi="Arial"/>
          <w:sz w:val="22"/>
          <w:szCs w:val="22"/>
          <w:color w:val="000000"/>
        </w:rPr>
        <w:t>. The report will demonstrate the impact of our activities, progress against our public</w:t>
      </w:r>
      <w:r>
        <w:rPr>
          <w:rFonts w:ascii="Arial" w:cs="Arial" w:eastAsia="Arial" w:hAnsi="Arial"/>
          <w:sz w:val="22"/>
          <w:szCs w:val="22"/>
          <w:i w:val="1"/>
          <w:iCs w:val="1"/>
          <w:color w:val="582C83"/>
        </w:rPr>
        <w:t xml:space="preserve"> </w:t>
      </w:r>
      <w:r>
        <w:rPr>
          <w:rFonts w:ascii="Arial" w:cs="Arial" w:eastAsia="Arial" w:hAnsi="Arial"/>
          <w:sz w:val="22"/>
          <w:szCs w:val="22"/>
          <w:color w:val="000000"/>
        </w:rPr>
        <w:t>goals and the alignment of our Snacking Made Right strategies with the U.N. Sustainable Development Goals. We are also tracking adoption of standards such as those published by the Sustainability Accounting Standards Board (“SASB”) and the Task Force on Climate-related Financial Disclosures (“TCFD”), and we disclose alignment indexes to SASB and TCFD on our website. Our 2021 report will detail alignment between those standards and our current disclosures, and we will continue to consider shareholder feedback as we align our sustainability reporting with evolving standards. We monitor investor voting policies and continue to evolve our practices and disclosures. We disclose our consolidated EEO-1 statement of the race and gender of US-based employees, as well as our Board diversity data.</w:t>
      </w:r>
    </w:p>
    <w:p>
      <w:pPr>
        <w:spacing w:after="0" w:line="308"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About Our ESG Goals</w:t>
      </w:r>
    </w:p>
    <w:p>
      <w:pPr>
        <w:spacing w:after="0" w:line="227"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Reported performance against our quantitative ESG goals covers the period from January 1, 2021 to December 31, 2021, and includes manufacturing facilities under our direct and indirect control, and excludes acquisitions since 2018, unless stated otherwise. Where quantitative goals are linked to revenue, coverage is for all Mondelēz International revenue (excluding acquisitions since 2018) except Venezuela, for which results are excluded from our consolidated financial statements. Where quantitative goals are linked to operations, coverage is for all operations under the control of our integrated supply chain function (excluding acquisitions since 2018); data for external manufacturing includes estimations. Our 2015 acquisition of Enjoy Life Foods is included only in our reporting for our packaging innovation goal.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right="2120"/>
        <w:spacing w:after="0" w:line="289" w:lineRule="auto"/>
        <w:rPr>
          <w:sz w:val="20"/>
          <w:szCs w:val="20"/>
          <w:color w:val="auto"/>
        </w:rPr>
      </w:pPr>
      <w:r>
        <w:rPr>
          <w:rFonts w:ascii="Arial" w:cs="Arial" w:eastAsia="Arial" w:hAnsi="Arial"/>
          <w:sz w:val="47"/>
          <w:szCs w:val="47"/>
          <w:b w:val="1"/>
          <w:bCs w:val="1"/>
          <w:color w:val="582C83"/>
        </w:rPr>
        <w:t>COMPENSATION OF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Review of Non-Employee Director Compensation</w:t>
      </w:r>
    </w:p>
    <w:p>
      <w:pPr>
        <w:spacing w:after="0" w:line="227" w:lineRule="exact"/>
        <w:rPr>
          <w:sz w:val="20"/>
          <w:szCs w:val="20"/>
          <w:color w:val="auto"/>
        </w:rPr>
      </w:pPr>
    </w:p>
    <w:p>
      <w:pPr>
        <w:ind w:left="360" w:right="600"/>
        <w:spacing w:after="0"/>
        <w:rPr>
          <w:sz w:val="20"/>
          <w:szCs w:val="20"/>
          <w:color w:val="auto"/>
        </w:rPr>
      </w:pPr>
      <w:r>
        <w:rPr>
          <w:rFonts w:ascii="Arial" w:cs="Arial" w:eastAsia="Arial" w:hAnsi="Arial"/>
          <w:sz w:val="22"/>
          <w:szCs w:val="22"/>
          <w:color w:val="auto"/>
        </w:rPr>
        <w:t>The People and Compensation Committee reviews non-employee director compensation to confirm that the compensation we offer is market competitive without being excessive. To support the People and Compensation Committee’s review, in May 2021, at the People and Compensation Committee’s request, Semler Brossy:</w:t>
      </w:r>
    </w:p>
    <w:p>
      <w:pPr>
        <w:spacing w:after="0" w:line="68" w:lineRule="exact"/>
        <w:rPr>
          <w:sz w:val="20"/>
          <w:szCs w:val="20"/>
          <w:color w:val="auto"/>
        </w:rPr>
      </w:pPr>
    </w:p>
    <w:p>
      <w:pPr>
        <w:ind w:left="580" w:right="460" w:hanging="221"/>
        <w:spacing w:after="0" w:line="259" w:lineRule="auto"/>
        <w:tabs>
          <w:tab w:leader="none" w:pos="580" w:val="left"/>
        </w:tabs>
        <w:numPr>
          <w:ilvl w:val="0"/>
          <w:numId w:val="53"/>
        </w:numPr>
        <w:rPr>
          <w:rFonts w:ascii="Arial" w:cs="Arial" w:eastAsia="Arial" w:hAnsi="Arial"/>
          <w:sz w:val="22"/>
          <w:szCs w:val="22"/>
          <w:color w:val="582C83"/>
        </w:rPr>
      </w:pPr>
      <w:r>
        <w:rPr>
          <w:rFonts w:ascii="Arial" w:cs="Arial" w:eastAsia="Arial" w:hAnsi="Arial"/>
          <w:sz w:val="22"/>
          <w:szCs w:val="22"/>
          <w:color w:val="auto"/>
        </w:rPr>
        <w:t>benchmarked our non-employee director compensation against our Compensation Survey Peer Group and other Fortune 100 companies;</w:t>
      </w:r>
    </w:p>
    <w:p>
      <w:pPr>
        <w:spacing w:after="0" w:line="48" w:lineRule="exact"/>
        <w:rPr>
          <w:rFonts w:ascii="Arial" w:cs="Arial" w:eastAsia="Arial" w:hAnsi="Arial"/>
          <w:sz w:val="22"/>
          <w:szCs w:val="22"/>
          <w:color w:val="582C83"/>
        </w:rPr>
      </w:pPr>
    </w:p>
    <w:p>
      <w:pPr>
        <w:ind w:left="580" w:hanging="221"/>
        <w:spacing w:after="0"/>
        <w:tabs>
          <w:tab w:leader="none" w:pos="580" w:val="left"/>
        </w:tabs>
        <w:numPr>
          <w:ilvl w:val="0"/>
          <w:numId w:val="53"/>
        </w:numPr>
        <w:rPr>
          <w:rFonts w:ascii="Arial" w:cs="Arial" w:eastAsia="Arial" w:hAnsi="Arial"/>
          <w:sz w:val="22"/>
          <w:szCs w:val="22"/>
          <w:color w:val="582C83"/>
        </w:rPr>
      </w:pPr>
      <w:r>
        <w:rPr>
          <w:rFonts w:ascii="Arial" w:cs="Arial" w:eastAsia="Arial" w:hAnsi="Arial"/>
          <w:sz w:val="22"/>
          <w:szCs w:val="22"/>
          <w:color w:val="auto"/>
        </w:rPr>
        <w:t>assessed the form and amount of our non-employee director compensation; and</w:t>
      </w:r>
    </w:p>
    <w:p>
      <w:pPr>
        <w:spacing w:after="0" w:line="98" w:lineRule="exact"/>
        <w:rPr>
          <w:rFonts w:ascii="Arial" w:cs="Arial" w:eastAsia="Arial" w:hAnsi="Arial"/>
          <w:sz w:val="22"/>
          <w:szCs w:val="22"/>
          <w:color w:val="582C83"/>
        </w:rPr>
      </w:pPr>
    </w:p>
    <w:p>
      <w:pPr>
        <w:ind w:left="580" w:right="660" w:hanging="221"/>
        <w:spacing w:after="0" w:line="259" w:lineRule="auto"/>
        <w:tabs>
          <w:tab w:leader="none" w:pos="580" w:val="left"/>
        </w:tabs>
        <w:numPr>
          <w:ilvl w:val="0"/>
          <w:numId w:val="53"/>
        </w:numPr>
        <w:rPr>
          <w:rFonts w:ascii="Arial" w:cs="Arial" w:eastAsia="Arial" w:hAnsi="Arial"/>
          <w:sz w:val="22"/>
          <w:szCs w:val="22"/>
          <w:color w:val="582C83"/>
        </w:rPr>
      </w:pPr>
      <w:r>
        <w:rPr>
          <w:rFonts w:ascii="Arial" w:cs="Arial" w:eastAsia="Arial" w:hAnsi="Arial"/>
          <w:sz w:val="22"/>
          <w:szCs w:val="22"/>
          <w:color w:val="auto"/>
        </w:rPr>
        <w:t>provided the People and Compensation Committee with this data and an independent assessment of the appropriateness and competitiveness of our non-employee director compensation.</w:t>
      </w:r>
    </w:p>
    <w:p>
      <w:pPr>
        <w:spacing w:after="0" w:line="129" w:lineRule="exact"/>
        <w:rPr>
          <w:sz w:val="20"/>
          <w:szCs w:val="20"/>
          <w:color w:val="auto"/>
        </w:rPr>
      </w:pPr>
    </w:p>
    <w:p>
      <w:pPr>
        <w:ind w:left="360" w:right="420"/>
        <w:spacing w:after="0" w:line="255" w:lineRule="auto"/>
        <w:rPr>
          <w:sz w:val="20"/>
          <w:szCs w:val="20"/>
          <w:color w:val="auto"/>
        </w:rPr>
      </w:pPr>
      <w:r>
        <w:rPr>
          <w:rFonts w:ascii="Arial" w:cs="Arial" w:eastAsia="Arial" w:hAnsi="Arial"/>
          <w:sz w:val="21"/>
          <w:szCs w:val="21"/>
          <w:color w:val="auto"/>
        </w:rPr>
        <w:t>Using Semler Brossy’s assessment, the People and Compensation Committee recommended, and the Board approved, an increase in the annual equity retainer of $15,000 to $190,000 annually. This resulting average total pay of $307,000 approximates market median and the pay mix of 38% cash and 62% equity is aligned with market. The Board made no other changes to the non-employee director compensation program in 2021.</w:t>
      </w:r>
    </w:p>
    <w:p>
      <w:pPr>
        <w:spacing w:after="0" w:line="294"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Summary of 2021 Compensation Elements</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265"/>
        </w:trPr>
        <w:tc>
          <w:tcPr>
            <w:tcW w:w="8420" w:type="dxa"/>
            <w:vAlign w:val="bottom"/>
            <w:tcBorders>
              <w:bottom w:val="single" w:sz="8" w:color="582C83"/>
            </w:tcBorders>
          </w:tcPr>
          <w:p>
            <w:pPr>
              <w:ind w:left="60"/>
              <w:spacing w:after="0"/>
              <w:rPr>
                <w:sz w:val="20"/>
                <w:szCs w:val="20"/>
                <w:color w:val="auto"/>
              </w:rPr>
            </w:pPr>
            <w:r>
              <w:rPr>
                <w:rFonts w:ascii="Arial" w:cs="Arial" w:eastAsia="Arial" w:hAnsi="Arial"/>
                <w:sz w:val="18"/>
                <w:szCs w:val="18"/>
                <w:b w:val="1"/>
                <w:bCs w:val="1"/>
                <w:color w:val="auto"/>
              </w:rPr>
              <w:t>Annual Compensation Elements</w:t>
            </w:r>
          </w:p>
        </w:tc>
        <w:tc>
          <w:tcPr>
            <w:tcW w:w="21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Amount ($)</w:t>
            </w:r>
          </w:p>
        </w:tc>
        <w:tc>
          <w:tcPr>
            <w:tcW w:w="20" w:type="dxa"/>
            <w:vAlign w:val="bottom"/>
            <w:tcBorders>
              <w:bottom w:val="single" w:sz="8" w:color="582C83"/>
            </w:tcBorders>
          </w:tcPr>
          <w:p>
            <w:pPr>
              <w:spacing w:after="0"/>
              <w:rPr>
                <w:sz w:val="23"/>
                <w:szCs w:val="23"/>
                <w:color w:val="auto"/>
              </w:rPr>
            </w:pPr>
          </w:p>
        </w:tc>
      </w:tr>
      <w:tr>
        <w:trPr>
          <w:trHeight w:val="323"/>
        </w:trPr>
        <w:tc>
          <w:tcPr>
            <w:tcW w:w="84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Annual Cash Retainer</w:t>
            </w:r>
          </w:p>
        </w:tc>
        <w:tc>
          <w:tcPr>
            <w:tcW w:w="21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110,000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8420" w:type="dxa"/>
            <w:vAlign w:val="bottom"/>
            <w:tcBorders>
              <w:top w:val="single" w:sz="8" w:color="582C83"/>
            </w:tcBorders>
          </w:tcPr>
          <w:p>
            <w:pPr>
              <w:ind w:left="60"/>
              <w:spacing w:after="0"/>
              <w:rPr>
                <w:sz w:val="20"/>
                <w:szCs w:val="20"/>
                <w:color w:val="auto"/>
              </w:rPr>
            </w:pPr>
            <w:r>
              <w:rPr>
                <w:rFonts w:ascii="Arial" w:cs="Arial" w:eastAsia="Arial" w:hAnsi="Arial"/>
                <w:sz w:val="18"/>
                <w:szCs w:val="18"/>
                <w:color w:val="auto"/>
              </w:rPr>
              <w:t>Value of Annual Equity Retainer</w:t>
            </w:r>
          </w:p>
        </w:tc>
        <w:tc>
          <w:tcPr>
            <w:tcW w:w="21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190,000</w:t>
            </w:r>
          </w:p>
        </w:tc>
        <w:tc>
          <w:tcPr>
            <w:tcW w:w="20" w:type="dxa"/>
            <w:vAlign w:val="bottom"/>
            <w:tcBorders>
              <w:top w:val="single" w:sz="8" w:color="582C83"/>
            </w:tcBorders>
          </w:tcPr>
          <w:p>
            <w:pPr>
              <w:spacing w:after="0"/>
              <w:rPr>
                <w:sz w:val="23"/>
                <w:szCs w:val="23"/>
                <w:color w:val="auto"/>
              </w:rPr>
            </w:pPr>
          </w:p>
        </w:tc>
      </w:tr>
      <w:tr>
        <w:trPr>
          <w:trHeight w:val="46"/>
        </w:trPr>
        <w:tc>
          <w:tcPr>
            <w:tcW w:w="8420" w:type="dxa"/>
            <w:vAlign w:val="bottom"/>
            <w:tcBorders>
              <w:bottom w:val="single" w:sz="8" w:color="582C83"/>
            </w:tcBorders>
          </w:tcPr>
          <w:p>
            <w:pPr>
              <w:spacing w:after="0"/>
              <w:rPr>
                <w:sz w:val="3"/>
                <w:szCs w:val="3"/>
                <w:color w:val="auto"/>
              </w:rPr>
            </w:pPr>
          </w:p>
        </w:tc>
        <w:tc>
          <w:tcPr>
            <w:tcW w:w="2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84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Additional Cash Compensation:</w:t>
            </w:r>
          </w:p>
        </w:tc>
        <w:tc>
          <w:tcPr>
            <w:tcW w:w="2100" w:type="dxa"/>
            <w:vAlign w:val="bottom"/>
            <w:tcBorders>
              <w:bottom w:val="single" w:sz="8" w:color="EBE6F0"/>
            </w:tcBorders>
            <w:shd w:val="clear" w:color="auto" w:fill="EBE6F0"/>
          </w:tcPr>
          <w:p>
            <w:pPr>
              <w:spacing w:after="0"/>
              <w:rPr>
                <w:sz w:val="24"/>
                <w:szCs w:val="24"/>
                <w:color w:val="auto"/>
              </w:rPr>
            </w:pP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8420" w:type="dxa"/>
            <w:vAlign w:val="bottom"/>
            <w:tcBorders>
              <w:top w:val="single" w:sz="8" w:color="582C83"/>
            </w:tcBorders>
          </w:tcPr>
          <w:p>
            <w:pPr>
              <w:ind w:left="140"/>
              <w:spacing w:after="0"/>
              <w:rPr>
                <w:sz w:val="20"/>
                <w:szCs w:val="20"/>
                <w:color w:val="auto"/>
              </w:rPr>
            </w:pPr>
            <w:r>
              <w:rPr>
                <w:rFonts w:ascii="Arial" w:cs="Arial" w:eastAsia="Arial" w:hAnsi="Arial"/>
                <w:sz w:val="18"/>
                <w:szCs w:val="18"/>
                <w:color w:val="auto"/>
              </w:rPr>
              <w:t>Lead Director Retainer</w:t>
            </w:r>
          </w:p>
        </w:tc>
        <w:tc>
          <w:tcPr>
            <w:tcW w:w="21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Borders>
              <w:top w:val="single" w:sz="8" w:color="582C83"/>
            </w:tcBorders>
          </w:tcPr>
          <w:p>
            <w:pPr>
              <w:spacing w:after="0"/>
              <w:rPr>
                <w:sz w:val="23"/>
                <w:szCs w:val="23"/>
                <w:color w:val="auto"/>
              </w:rPr>
            </w:pPr>
          </w:p>
        </w:tc>
      </w:tr>
      <w:tr>
        <w:trPr>
          <w:trHeight w:val="46"/>
        </w:trPr>
        <w:tc>
          <w:tcPr>
            <w:tcW w:w="8420" w:type="dxa"/>
            <w:vAlign w:val="bottom"/>
            <w:tcBorders>
              <w:bottom w:val="single" w:sz="8" w:color="582C83"/>
            </w:tcBorders>
          </w:tcPr>
          <w:p>
            <w:pPr>
              <w:spacing w:after="0"/>
              <w:rPr>
                <w:sz w:val="3"/>
                <w:szCs w:val="3"/>
                <w:color w:val="auto"/>
              </w:rPr>
            </w:pPr>
          </w:p>
        </w:tc>
        <w:tc>
          <w:tcPr>
            <w:tcW w:w="2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8420" w:type="dxa"/>
            <w:vAlign w:val="bottom"/>
            <w:tcBorders>
              <w:bottom w:val="single" w:sz="8" w:color="EBE6F0"/>
            </w:tcBorders>
            <w:shd w:val="clear" w:color="auto" w:fill="EBE6F0"/>
          </w:tcPr>
          <w:p>
            <w:pPr>
              <w:ind w:left="160"/>
              <w:spacing w:after="0"/>
              <w:rPr>
                <w:sz w:val="20"/>
                <w:szCs w:val="20"/>
                <w:color w:val="auto"/>
              </w:rPr>
            </w:pPr>
            <w:r>
              <w:rPr>
                <w:rFonts w:ascii="Arial" w:cs="Arial" w:eastAsia="Arial" w:hAnsi="Arial"/>
                <w:sz w:val="18"/>
                <w:szCs w:val="18"/>
                <w:color w:val="auto"/>
              </w:rPr>
              <w:t>Audit Committee Chair Retainer</w:t>
            </w:r>
          </w:p>
        </w:tc>
        <w:tc>
          <w:tcPr>
            <w:tcW w:w="21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8420" w:type="dxa"/>
            <w:vAlign w:val="bottom"/>
            <w:tcBorders>
              <w:top w:val="single" w:sz="8" w:color="582C83"/>
            </w:tcBorders>
          </w:tcPr>
          <w:p>
            <w:pPr>
              <w:ind w:left="140"/>
              <w:spacing w:after="0"/>
              <w:rPr>
                <w:sz w:val="20"/>
                <w:szCs w:val="20"/>
                <w:color w:val="auto"/>
              </w:rPr>
            </w:pPr>
            <w:r>
              <w:rPr>
                <w:rFonts w:ascii="Arial" w:cs="Arial" w:eastAsia="Arial" w:hAnsi="Arial"/>
                <w:sz w:val="18"/>
                <w:szCs w:val="18"/>
                <w:color w:val="auto"/>
              </w:rPr>
              <w:t>People and Compensation Committee Chair Retainer</w:t>
            </w:r>
          </w:p>
        </w:tc>
        <w:tc>
          <w:tcPr>
            <w:tcW w:w="21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top w:val="single" w:sz="8" w:color="582C83"/>
            </w:tcBorders>
          </w:tcPr>
          <w:p>
            <w:pPr>
              <w:spacing w:after="0"/>
              <w:rPr>
                <w:sz w:val="23"/>
                <w:szCs w:val="23"/>
                <w:color w:val="auto"/>
              </w:rPr>
            </w:pPr>
          </w:p>
        </w:tc>
      </w:tr>
      <w:tr>
        <w:trPr>
          <w:trHeight w:val="45"/>
        </w:trPr>
        <w:tc>
          <w:tcPr>
            <w:tcW w:w="8420" w:type="dxa"/>
            <w:vAlign w:val="bottom"/>
            <w:tcBorders>
              <w:bottom w:val="single" w:sz="8" w:color="582C83"/>
            </w:tcBorders>
          </w:tcPr>
          <w:p>
            <w:pPr>
              <w:spacing w:after="0"/>
              <w:rPr>
                <w:sz w:val="3"/>
                <w:szCs w:val="3"/>
                <w:color w:val="auto"/>
              </w:rPr>
            </w:pPr>
          </w:p>
        </w:tc>
        <w:tc>
          <w:tcPr>
            <w:tcW w:w="21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8420" w:type="dxa"/>
            <w:vAlign w:val="bottom"/>
            <w:tcBorders>
              <w:bottom w:val="single" w:sz="8" w:color="EBE6F0"/>
            </w:tcBorders>
            <w:shd w:val="clear" w:color="auto" w:fill="EBE6F0"/>
          </w:tcPr>
          <w:p>
            <w:pPr>
              <w:ind w:left="160"/>
              <w:spacing w:after="0"/>
              <w:rPr>
                <w:sz w:val="20"/>
                <w:szCs w:val="20"/>
                <w:color w:val="auto"/>
              </w:rPr>
            </w:pPr>
            <w:r>
              <w:rPr>
                <w:rFonts w:ascii="Arial" w:cs="Arial" w:eastAsia="Arial" w:hAnsi="Arial"/>
                <w:sz w:val="18"/>
                <w:szCs w:val="18"/>
                <w:color w:val="auto"/>
              </w:rPr>
              <w:t>Governance Committee Chair Retainer</w:t>
            </w:r>
          </w:p>
        </w:tc>
        <w:tc>
          <w:tcPr>
            <w:tcW w:w="21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8420" w:type="dxa"/>
            <w:vAlign w:val="bottom"/>
            <w:tcBorders>
              <w:top w:val="single" w:sz="8" w:color="582C83"/>
            </w:tcBorders>
          </w:tcPr>
          <w:p>
            <w:pPr>
              <w:ind w:left="140"/>
              <w:spacing w:after="0"/>
              <w:rPr>
                <w:sz w:val="20"/>
                <w:szCs w:val="20"/>
                <w:color w:val="auto"/>
              </w:rPr>
            </w:pPr>
            <w:r>
              <w:rPr>
                <w:rFonts w:ascii="Arial" w:cs="Arial" w:eastAsia="Arial" w:hAnsi="Arial"/>
                <w:sz w:val="18"/>
                <w:szCs w:val="18"/>
                <w:color w:val="auto"/>
              </w:rPr>
              <w:t>Finance Committee Chair Retainer</w:t>
            </w:r>
          </w:p>
        </w:tc>
        <w:tc>
          <w:tcPr>
            <w:tcW w:w="21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Borders>
              <w:top w:val="single" w:sz="8" w:color="582C83"/>
            </w:tcBorders>
          </w:tcPr>
          <w:p>
            <w:pPr>
              <w:spacing w:after="0"/>
              <w:rPr>
                <w:sz w:val="23"/>
                <w:szCs w:val="23"/>
                <w:color w:val="auto"/>
              </w:rPr>
            </w:pPr>
          </w:p>
        </w:tc>
      </w:tr>
      <w:tr>
        <w:trPr>
          <w:trHeight w:val="45"/>
        </w:trPr>
        <w:tc>
          <w:tcPr>
            <w:tcW w:w="8420" w:type="dxa"/>
            <w:vAlign w:val="bottom"/>
            <w:tcBorders>
              <w:bottom w:val="single" w:sz="8" w:color="582C83"/>
            </w:tcBorders>
          </w:tcPr>
          <w:p>
            <w:pPr>
              <w:spacing w:after="0"/>
              <w:rPr>
                <w:sz w:val="3"/>
                <w:szCs w:val="3"/>
                <w:color w:val="auto"/>
              </w:rPr>
            </w:pPr>
          </w:p>
        </w:tc>
        <w:tc>
          <w:tcPr>
            <w:tcW w:w="21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6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We do not pay non-employee directors any meeting fees.</w:t>
      </w:r>
    </w:p>
    <w:p>
      <w:pPr>
        <w:spacing w:after="0" w:line="179" w:lineRule="exact"/>
        <w:rPr>
          <w:sz w:val="20"/>
          <w:szCs w:val="20"/>
          <w:color w:val="auto"/>
        </w:rPr>
      </w:pPr>
    </w:p>
    <w:p>
      <w:pPr>
        <w:ind w:left="360" w:right="600"/>
        <w:spacing w:after="0" w:line="259" w:lineRule="auto"/>
        <w:rPr>
          <w:sz w:val="20"/>
          <w:szCs w:val="20"/>
          <w:color w:val="auto"/>
        </w:rPr>
      </w:pPr>
      <w:r>
        <w:rPr>
          <w:rFonts w:ascii="Arial" w:cs="Arial" w:eastAsia="Arial" w:hAnsi="Arial"/>
          <w:sz w:val="22"/>
          <w:szCs w:val="22"/>
          <w:color w:val="auto"/>
        </w:rPr>
        <w:t>We also do not pay a Company employee who serves as a director any additional compensation for serving as a director. Dirk Van de Put is the only director who is also a Company employee.</w:t>
      </w:r>
    </w:p>
    <w:p>
      <w:pPr>
        <w:spacing w:after="0" w:line="288"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Plan Limits on Non-Employee Director Grants</w:t>
      </w:r>
    </w:p>
    <w:p>
      <w:pPr>
        <w:spacing w:after="0" w:line="227" w:lineRule="exact"/>
        <w:rPr>
          <w:sz w:val="20"/>
          <w:szCs w:val="20"/>
          <w:color w:val="auto"/>
        </w:rPr>
      </w:pPr>
    </w:p>
    <w:p>
      <w:pPr>
        <w:ind w:left="360" w:right="440"/>
        <w:spacing w:after="0"/>
        <w:rPr>
          <w:sz w:val="20"/>
          <w:szCs w:val="20"/>
          <w:color w:val="auto"/>
        </w:rPr>
      </w:pPr>
      <w:r>
        <w:rPr>
          <w:rFonts w:ascii="Arial" w:cs="Arial" w:eastAsia="Arial" w:hAnsi="Arial"/>
          <w:sz w:val="22"/>
          <w:szCs w:val="22"/>
          <w:color w:val="auto"/>
        </w:rPr>
        <w:t>Our shareholder-approved Amended and Restated 2005 Performance Incentive Plan (the “Equity Plan”) caps the maximum fair market value of Common Stock grants made to any non-employee director in any calendar year at $500,000. See the “2021 Non-Employee Director Compensation” and “2021 Non-Employee Director Equity Awards” tables on page 62 for specific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952"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ind w:left="340" w:right="240" w:hanging="336"/>
        <w:spacing w:after="0"/>
        <w:rPr>
          <w:sz w:val="20"/>
          <w:szCs w:val="20"/>
          <w:color w:val="auto"/>
        </w:rPr>
      </w:pPr>
      <w:r>
        <w:rPr>
          <w:sz w:val="1"/>
          <w:szCs w:val="1"/>
          <w:color w:val="auto"/>
        </w:rPr>
        <w:drawing>
          <wp:inline distT="0" distB="0" distL="0" distR="0">
            <wp:extent cx="171450" cy="17145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Cash Compensation – Board, Independent Lead Director and Committee Chair Retainers</w:t>
      </w:r>
    </w:p>
    <w:p>
      <w:pPr>
        <w:spacing w:after="0" w:line="155"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We pay our non-employee directors their cash retainers quarterly. The Mondelēz International, Inc. 2001 Compensation Plan for Non-Employee Directors allows directors to defer 25%, 50%, 75% or 100% of their cash retainers into notional unfunded accounts. These accounts are credited with gains/losses based upon the performance of investment funds that mirror certain of the investment options available under the Thrift 401(k) Plan offered to U.S. salaried employees.</w:t>
      </w:r>
    </w:p>
    <w:p>
      <w:pPr>
        <w:spacing w:after="0" w:line="150" w:lineRule="exact"/>
        <w:rPr>
          <w:sz w:val="20"/>
          <w:szCs w:val="20"/>
          <w:color w:val="auto"/>
        </w:rPr>
      </w:pPr>
    </w:p>
    <w:p>
      <w:pPr>
        <w:ind w:right="1000"/>
        <w:spacing w:after="0" w:line="245" w:lineRule="auto"/>
        <w:rPr>
          <w:sz w:val="20"/>
          <w:szCs w:val="20"/>
          <w:color w:val="auto"/>
        </w:rPr>
      </w:pPr>
      <w:r>
        <w:rPr>
          <w:rFonts w:ascii="Arial" w:cs="Arial" w:eastAsia="Arial" w:hAnsi="Arial"/>
          <w:sz w:val="22"/>
          <w:szCs w:val="22"/>
          <w:color w:val="auto"/>
        </w:rPr>
        <w:t>If the Board appoints a new non-employee director during the year (i.e., other than at the Annual Meeting of Shareholders), we pay that director prorated compensation for the balance of the year. We prorate cash compensation based on the number of days remaining in the calendar year.</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Equity Compensation – Annual Equity Grant</w:t>
      </w:r>
    </w:p>
    <w:p>
      <w:pPr>
        <w:spacing w:after="0" w:line="227"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We make annual equity grants to our non-employee directors following the Annual Meeting of Shareholders. In order to align directors’ interests with shareholders during the directors’ service, grants are in the form of vested deferred stock units. We settle these deferred stock units by distributing actual shares six months after the director ends his or her service as a director. When we pay a dividend on our Common Stock, we accrue the value of the dividends that we would have paid on the shares underlying the deferred stock units. Six months after the director ends his or her service as a director, we issue shares to the director equal to the accumulated accrued value of the dividends.</w:t>
      </w:r>
    </w:p>
    <w:p>
      <w:pPr>
        <w:spacing w:after="0" w:line="144" w:lineRule="exact"/>
        <w:rPr>
          <w:sz w:val="20"/>
          <w:szCs w:val="20"/>
          <w:color w:val="auto"/>
        </w:rPr>
      </w:pPr>
    </w:p>
    <w:p>
      <w:pPr>
        <w:ind w:right="800"/>
        <w:spacing w:after="0" w:line="245" w:lineRule="auto"/>
        <w:rPr>
          <w:sz w:val="20"/>
          <w:szCs w:val="20"/>
          <w:color w:val="auto"/>
        </w:rPr>
      </w:pPr>
      <w:r>
        <w:rPr>
          <w:rFonts w:ascii="Arial" w:cs="Arial" w:eastAsia="Arial" w:hAnsi="Arial"/>
          <w:sz w:val="22"/>
          <w:szCs w:val="22"/>
          <w:color w:val="auto"/>
        </w:rPr>
        <w:t>If the Board appoints a new non-employee director during the year (i.e., other than at the Annual Meeting of Shareholders), we prorate the annual equity grant value based on the number of months until the next Annual Meeting of Shareholders divided by twelve months.</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Director Stock Ownership Guidelines</w:t>
      </w:r>
    </w:p>
    <w:p>
      <w:pPr>
        <w:spacing w:after="0" w:line="227" w:lineRule="exact"/>
        <w:rPr>
          <w:sz w:val="20"/>
          <w:szCs w:val="20"/>
          <w:color w:val="auto"/>
        </w:rPr>
      </w:pPr>
    </w:p>
    <w:p>
      <w:pPr>
        <w:ind w:right="260"/>
        <w:spacing w:after="0" w:line="259" w:lineRule="auto"/>
        <w:rPr>
          <w:sz w:val="20"/>
          <w:szCs w:val="20"/>
          <w:color w:val="auto"/>
        </w:rPr>
      </w:pPr>
      <w:r>
        <w:rPr>
          <w:rFonts w:ascii="Arial" w:cs="Arial" w:eastAsia="Arial" w:hAnsi="Arial"/>
          <w:sz w:val="22"/>
          <w:szCs w:val="22"/>
          <w:color w:val="auto"/>
        </w:rPr>
        <w:t>To align our non-employee directors’ and our shareholders’ interests, we expect our non-employee directors to hold shares of our Common Stock. Our expectations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50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Key Provisions</w:t>
            </w:r>
          </w:p>
        </w:tc>
        <w:tc>
          <w:tcPr>
            <w:tcW w:w="774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Explanation of Key Provisions</w:t>
            </w:r>
          </w:p>
        </w:tc>
        <w:tc>
          <w:tcPr>
            <w:tcW w:w="20" w:type="dxa"/>
            <w:vAlign w:val="bottom"/>
            <w:tcBorders>
              <w:bottom w:val="single" w:sz="8" w:color="582C83"/>
            </w:tcBorders>
          </w:tcPr>
          <w:p>
            <w:pPr>
              <w:spacing w:after="0"/>
              <w:rPr>
                <w:sz w:val="24"/>
                <w:szCs w:val="24"/>
                <w:color w:val="auto"/>
              </w:rPr>
            </w:pPr>
          </w:p>
        </w:tc>
      </w:tr>
      <w:tr>
        <w:trPr>
          <w:trHeight w:val="345"/>
        </w:trPr>
        <w:tc>
          <w:tcPr>
            <w:tcW w:w="35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b w:val="1"/>
                <w:bCs w:val="1"/>
                <w:color w:val="auto"/>
              </w:rPr>
              <w:t>Ownership expectation</w:t>
            </w:r>
          </w:p>
        </w:tc>
        <w:tc>
          <w:tcPr>
            <w:tcW w:w="77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Amount equal to five times the annual Board cash retainer (i.e., $550,000).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323"/>
        </w:trPr>
        <w:tc>
          <w:tcPr>
            <w:tcW w:w="3500" w:type="dxa"/>
            <w:vAlign w:val="bottom"/>
          </w:tcPr>
          <w:p>
            <w:pPr>
              <w:ind w:left="80"/>
              <w:spacing w:after="0"/>
              <w:rPr>
                <w:sz w:val="20"/>
                <w:szCs w:val="20"/>
                <w:color w:val="auto"/>
              </w:rPr>
            </w:pPr>
            <w:r>
              <w:rPr>
                <w:rFonts w:ascii="Arial" w:cs="Arial" w:eastAsia="Arial" w:hAnsi="Arial"/>
                <w:sz w:val="22"/>
                <w:szCs w:val="22"/>
                <w:b w:val="1"/>
                <w:bCs w:val="1"/>
                <w:color w:val="auto"/>
              </w:rPr>
              <w:t>Time to meet expectation</w:t>
            </w:r>
          </w:p>
        </w:tc>
        <w:tc>
          <w:tcPr>
            <w:tcW w:w="7740" w:type="dxa"/>
            <w:vAlign w:val="bottom"/>
          </w:tcPr>
          <w:p>
            <w:pPr>
              <w:ind w:left="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Five years from joining the Board as a director.</w:t>
            </w:r>
          </w:p>
        </w:tc>
        <w:tc>
          <w:tcPr>
            <w:tcW w:w="20" w:type="dxa"/>
            <w:vAlign w:val="bottom"/>
          </w:tcPr>
          <w:p>
            <w:pPr>
              <w:spacing w:after="0"/>
              <w:rPr>
                <w:sz w:val="24"/>
                <w:szCs w:val="24"/>
                <w:color w:val="auto"/>
              </w:rPr>
            </w:pPr>
          </w:p>
        </w:tc>
      </w:tr>
      <w:tr>
        <w:trPr>
          <w:trHeight w:val="28"/>
        </w:trPr>
        <w:tc>
          <w:tcPr>
            <w:tcW w:w="35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350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Shares counted toward</w:t>
            </w:r>
          </w:p>
        </w:tc>
        <w:tc>
          <w:tcPr>
            <w:tcW w:w="774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Common Stock, including sole ownership, deferred stock units and accounts</w:t>
            </w:r>
          </w:p>
        </w:tc>
        <w:tc>
          <w:tcPr>
            <w:tcW w:w="20" w:type="dxa"/>
            <w:vAlign w:val="bottom"/>
            <w:shd w:val="clear" w:color="auto" w:fill="EBE6F0"/>
          </w:tcPr>
          <w:p>
            <w:pPr>
              <w:spacing w:after="0"/>
              <w:rPr>
                <w:sz w:val="24"/>
                <w:szCs w:val="24"/>
                <w:color w:val="auto"/>
              </w:rPr>
            </w:pPr>
          </w:p>
        </w:tc>
      </w:tr>
      <w:tr>
        <w:trPr>
          <w:trHeight w:val="319"/>
        </w:trPr>
        <w:tc>
          <w:tcPr>
            <w:tcW w:w="35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b w:val="1"/>
                <w:bCs w:val="1"/>
                <w:color w:val="auto"/>
              </w:rPr>
              <w:t>ownership</w:t>
            </w:r>
          </w:p>
        </w:tc>
        <w:tc>
          <w:tcPr>
            <w:tcW w:w="7740" w:type="dxa"/>
            <w:vAlign w:val="bottom"/>
            <w:tcBorders>
              <w:bottom w:val="single" w:sz="8" w:color="EBE6F0"/>
            </w:tcBorders>
            <w:shd w:val="clear" w:color="auto" w:fill="EBE6F0"/>
          </w:tcPr>
          <w:p>
            <w:pPr>
              <w:ind w:left="280"/>
              <w:spacing w:after="0"/>
              <w:rPr>
                <w:sz w:val="20"/>
                <w:szCs w:val="20"/>
                <w:color w:val="auto"/>
              </w:rPr>
            </w:pPr>
            <w:r>
              <w:rPr>
                <w:rFonts w:ascii="Arial" w:cs="Arial" w:eastAsia="Arial" w:hAnsi="Arial"/>
                <w:sz w:val="22"/>
                <w:szCs w:val="22"/>
                <w:color w:val="auto"/>
              </w:rPr>
              <w:t>over which the director has direct or indirect ownership or control.</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1"/>
        </w:trPr>
        <w:tc>
          <w:tcPr>
            <w:tcW w:w="3500" w:type="dxa"/>
            <w:vAlign w:val="bottom"/>
          </w:tcPr>
          <w:p>
            <w:pPr>
              <w:ind w:left="80"/>
              <w:spacing w:after="0"/>
              <w:rPr>
                <w:sz w:val="20"/>
                <w:szCs w:val="20"/>
                <w:color w:val="auto"/>
              </w:rPr>
            </w:pPr>
            <w:r>
              <w:rPr>
                <w:rFonts w:ascii="Arial" w:cs="Arial" w:eastAsia="Arial" w:hAnsi="Arial"/>
                <w:sz w:val="22"/>
                <w:szCs w:val="22"/>
                <w:b w:val="1"/>
                <w:bCs w:val="1"/>
                <w:color w:val="auto"/>
              </w:rPr>
              <w:t>Holding expectation</w:t>
            </w:r>
          </w:p>
        </w:tc>
        <w:tc>
          <w:tcPr>
            <w:tcW w:w="7740" w:type="dxa"/>
            <w:vAlign w:val="bottom"/>
          </w:tcPr>
          <w:p>
            <w:pPr>
              <w:ind w:left="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The Company does not release the shares underlying deferred stock units</w:t>
            </w:r>
          </w:p>
        </w:tc>
        <w:tc>
          <w:tcPr>
            <w:tcW w:w="20" w:type="dxa"/>
            <w:vAlign w:val="bottom"/>
          </w:tcPr>
          <w:p>
            <w:pPr>
              <w:spacing w:after="0"/>
              <w:rPr>
                <w:sz w:val="23"/>
                <w:szCs w:val="23"/>
                <w:color w:val="auto"/>
              </w:rPr>
            </w:pPr>
          </w:p>
        </w:tc>
      </w:tr>
      <w:tr>
        <w:trPr>
          <w:trHeight w:val="243"/>
        </w:trPr>
        <w:tc>
          <w:tcPr>
            <w:tcW w:w="3500" w:type="dxa"/>
            <w:vAlign w:val="bottom"/>
          </w:tcPr>
          <w:p>
            <w:pPr>
              <w:spacing w:after="0"/>
              <w:rPr>
                <w:sz w:val="21"/>
                <w:szCs w:val="21"/>
                <w:color w:val="auto"/>
              </w:rPr>
            </w:pPr>
          </w:p>
        </w:tc>
        <w:tc>
          <w:tcPr>
            <w:tcW w:w="7740" w:type="dxa"/>
            <w:vAlign w:val="bottom"/>
          </w:tcPr>
          <w:p>
            <w:pPr>
              <w:ind w:left="280"/>
              <w:spacing w:after="0" w:line="243" w:lineRule="exact"/>
              <w:rPr>
                <w:sz w:val="20"/>
                <w:szCs w:val="20"/>
                <w:color w:val="auto"/>
              </w:rPr>
            </w:pPr>
            <w:r>
              <w:rPr>
                <w:rFonts w:ascii="Arial" w:cs="Arial" w:eastAsia="Arial" w:hAnsi="Arial"/>
                <w:sz w:val="22"/>
                <w:szCs w:val="22"/>
                <w:color w:val="auto"/>
              </w:rPr>
              <w:t>until six months after the director ends his or her service as a director. The</w:t>
            </w:r>
          </w:p>
        </w:tc>
        <w:tc>
          <w:tcPr>
            <w:tcW w:w="20" w:type="dxa"/>
            <w:vAlign w:val="bottom"/>
          </w:tcPr>
          <w:p>
            <w:pPr>
              <w:spacing w:after="0"/>
              <w:rPr>
                <w:sz w:val="21"/>
                <w:szCs w:val="21"/>
                <w:color w:val="auto"/>
              </w:rPr>
            </w:pPr>
          </w:p>
        </w:tc>
      </w:tr>
      <w:tr>
        <w:trPr>
          <w:trHeight w:val="283"/>
        </w:trPr>
        <w:tc>
          <w:tcPr>
            <w:tcW w:w="3500" w:type="dxa"/>
            <w:vAlign w:val="bottom"/>
          </w:tcPr>
          <w:p>
            <w:pPr>
              <w:spacing w:after="0"/>
              <w:rPr>
                <w:sz w:val="24"/>
                <w:szCs w:val="24"/>
                <w:color w:val="auto"/>
              </w:rPr>
            </w:pPr>
          </w:p>
        </w:tc>
        <w:tc>
          <w:tcPr>
            <w:tcW w:w="7740" w:type="dxa"/>
            <w:vAlign w:val="bottom"/>
          </w:tcPr>
          <w:p>
            <w:pPr>
              <w:ind w:left="280"/>
              <w:spacing w:after="0"/>
              <w:rPr>
                <w:sz w:val="20"/>
                <w:szCs w:val="20"/>
                <w:color w:val="auto"/>
              </w:rPr>
            </w:pPr>
            <w:r>
              <w:rPr>
                <w:rFonts w:ascii="Arial" w:cs="Arial" w:eastAsia="Arial" w:hAnsi="Arial"/>
                <w:sz w:val="22"/>
                <w:szCs w:val="22"/>
                <w:color w:val="auto"/>
              </w:rPr>
              <w:t>Company does not require that shares be held after distribution/issuance.</w:t>
            </w:r>
          </w:p>
        </w:tc>
        <w:tc>
          <w:tcPr>
            <w:tcW w:w="20" w:type="dxa"/>
            <w:vAlign w:val="bottom"/>
          </w:tcPr>
          <w:p>
            <w:pPr>
              <w:spacing w:after="0"/>
              <w:rPr>
                <w:sz w:val="24"/>
                <w:szCs w:val="24"/>
                <w:color w:val="auto"/>
              </w:rPr>
            </w:pPr>
          </w:p>
        </w:tc>
      </w:tr>
      <w:tr>
        <w:trPr>
          <w:trHeight w:val="47"/>
        </w:trPr>
        <w:tc>
          <w:tcPr>
            <w:tcW w:w="3500" w:type="dxa"/>
            <w:vAlign w:val="bottom"/>
            <w:tcBorders>
              <w:bottom w:val="single" w:sz="8" w:color="582C83"/>
            </w:tcBorders>
          </w:tcPr>
          <w:p>
            <w:pPr>
              <w:spacing w:after="0"/>
              <w:rPr>
                <w:sz w:val="4"/>
                <w:szCs w:val="4"/>
                <w:color w:val="auto"/>
              </w:rPr>
            </w:pPr>
          </w:p>
        </w:tc>
        <w:tc>
          <w:tcPr>
            <w:tcW w:w="7740" w:type="dxa"/>
            <w:vAlign w:val="bottom"/>
            <w:tcBorders>
              <w:bottom w:val="single" w:sz="8" w:color="582C8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76" w:lineRule="exact"/>
        <w:rPr>
          <w:sz w:val="20"/>
          <w:szCs w:val="20"/>
          <w:color w:val="auto"/>
        </w:rPr>
      </w:pPr>
    </w:p>
    <w:p>
      <w:pPr>
        <w:jc w:val="both"/>
        <w:ind w:right="520"/>
        <w:spacing w:after="0" w:line="245" w:lineRule="auto"/>
        <w:rPr>
          <w:sz w:val="20"/>
          <w:szCs w:val="20"/>
          <w:color w:val="auto"/>
        </w:rPr>
      </w:pPr>
      <w:r>
        <w:rPr>
          <w:rFonts w:ascii="Arial" w:cs="Arial" w:eastAsia="Arial" w:hAnsi="Arial"/>
          <w:sz w:val="22"/>
          <w:szCs w:val="22"/>
          <w:color w:val="auto"/>
        </w:rPr>
        <w:t>If a non-employee director does not meet these ownership expectations, the Lead Director will consider the non-employee director’s particular situation and may take action as deemed appropriate. As of March 14, 2022, each director serving for at least five years met or exceeded the ownership expectation.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Company Match for Director Charitable Contributions</w:t>
      </w:r>
    </w:p>
    <w:p>
      <w:pPr>
        <w:spacing w:after="0" w:line="227" w:lineRule="exact"/>
        <w:rPr>
          <w:sz w:val="20"/>
          <w:szCs w:val="20"/>
          <w:color w:val="auto"/>
        </w:rPr>
      </w:pPr>
    </w:p>
    <w:p>
      <w:pPr>
        <w:ind w:right="660"/>
        <w:spacing w:after="0" w:line="245" w:lineRule="auto"/>
        <w:rPr>
          <w:sz w:val="20"/>
          <w:szCs w:val="20"/>
          <w:color w:val="auto"/>
        </w:rPr>
      </w:pPr>
      <w:r>
        <w:rPr>
          <w:rFonts w:ascii="Arial" w:cs="Arial" w:eastAsia="Arial" w:hAnsi="Arial"/>
          <w:sz w:val="22"/>
          <w:szCs w:val="22"/>
          <w:color w:val="auto"/>
        </w:rPr>
        <w:t>Non-employee directors are eligible to participate in the Mondelēz International Foundation (the “Foundation”) Matching Gift Program. Each year, the Foundation will generally match up to $15,000 in contributions by a non-employee director to any 501(c)(3) non-profit organization(s).</w:t>
      </w:r>
    </w:p>
    <w:p>
      <w:pPr>
        <w:spacing w:after="0" w:line="14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Non-Employee Director Compensation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Fees Earned or</w:t>
            </w:r>
          </w:p>
        </w:tc>
        <w:tc>
          <w:tcPr>
            <w:tcW w:w="1900" w:type="dxa"/>
            <w:vAlign w:val="bottom"/>
          </w:tcPr>
          <w:p>
            <w:pPr>
              <w:jc w:val="right"/>
              <w:ind w:right="32"/>
              <w:spacing w:after="0"/>
              <w:rPr>
                <w:sz w:val="20"/>
                <w:szCs w:val="20"/>
                <w:color w:val="auto"/>
              </w:rPr>
            </w:pPr>
            <w:r>
              <w:rPr>
                <w:rFonts w:ascii="Arial" w:cs="Arial" w:eastAsia="Arial" w:hAnsi="Arial"/>
                <w:sz w:val="18"/>
                <w:szCs w:val="18"/>
                <w:b w:val="1"/>
                <w:bCs w:val="1"/>
                <w:color w:val="auto"/>
              </w:rPr>
              <w:t>Stock</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720" w:type="dxa"/>
            <w:vAlign w:val="bottom"/>
          </w:tcPr>
          <w:p>
            <w:pPr>
              <w:spacing w:after="0"/>
              <w:rPr>
                <w:sz w:val="17"/>
                <w:szCs w:val="17"/>
                <w:color w:val="auto"/>
              </w:rPr>
            </w:pPr>
          </w:p>
        </w:tc>
        <w:tc>
          <w:tcPr>
            <w:tcW w:w="1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Paid in Cash</w:t>
            </w:r>
            <w:r>
              <w:rPr>
                <w:rFonts w:ascii="Arial" w:cs="Arial" w:eastAsia="Arial" w:hAnsi="Arial"/>
                <w:sz w:val="21"/>
                <w:szCs w:val="21"/>
                <w:b w:val="1"/>
                <w:bCs w:val="1"/>
                <w:color w:val="auto"/>
                <w:vertAlign w:val="superscript"/>
              </w:rPr>
              <w:t>(1)</w:t>
            </w: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Awards</w:t>
            </w:r>
            <w:r>
              <w:rPr>
                <w:rFonts w:ascii="Arial" w:cs="Arial" w:eastAsia="Arial" w:hAnsi="Arial"/>
                <w:sz w:val="21"/>
                <w:szCs w:val="21"/>
                <w:b w:val="1"/>
                <w:bCs w:val="1"/>
                <w:color w:val="auto"/>
                <w:vertAlign w:val="superscript"/>
              </w:rPr>
              <w:t>(2)</w:t>
            </w: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Compensation</w:t>
            </w:r>
            <w:r>
              <w:rPr>
                <w:rFonts w:ascii="Arial" w:cs="Arial" w:eastAsia="Arial" w:hAnsi="Arial"/>
                <w:sz w:val="21"/>
                <w:szCs w:val="21"/>
                <w:b w:val="1"/>
                <w:bCs w:val="1"/>
                <w:color w:val="auto"/>
                <w:vertAlign w:val="superscript"/>
              </w:rPr>
              <w:t>(3)</w:t>
            </w:r>
          </w:p>
        </w:tc>
        <w:tc>
          <w:tcPr>
            <w:tcW w:w="1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7"/>
                <w:szCs w:val="17"/>
                <w:color w:val="auto"/>
              </w:rPr>
            </w:pPr>
          </w:p>
        </w:tc>
      </w:tr>
      <w:tr>
        <w:trPr>
          <w:trHeight w:val="265"/>
        </w:trPr>
        <w:tc>
          <w:tcPr>
            <w:tcW w:w="372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19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582C83"/>
            </w:tcBorders>
          </w:tcPr>
          <w:p>
            <w:pPr>
              <w:spacing w:after="0"/>
              <w:rPr>
                <w:sz w:val="23"/>
                <w:szCs w:val="23"/>
                <w:color w:val="auto"/>
              </w:rPr>
            </w:pPr>
          </w:p>
        </w:tc>
      </w:tr>
      <w:tr>
        <w:trPr>
          <w:trHeight w:val="323"/>
        </w:trPr>
        <w:tc>
          <w:tcPr>
            <w:tcW w:w="37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Booth, Lewis</w:t>
            </w:r>
          </w:p>
        </w:tc>
        <w:tc>
          <w:tcPr>
            <w:tcW w:w="1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15,000</w:t>
            </w:r>
          </w:p>
        </w:tc>
        <w:tc>
          <w:tcPr>
            <w:tcW w:w="1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315,012</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37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Bunch, Charles</w:t>
            </w:r>
          </w:p>
        </w:tc>
        <w:tc>
          <w:tcPr>
            <w:tcW w:w="19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130,000</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15,000</w:t>
            </w:r>
          </w:p>
        </w:tc>
        <w:tc>
          <w:tcPr>
            <w:tcW w:w="1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335,012</w:t>
            </w:r>
          </w:p>
        </w:tc>
        <w:tc>
          <w:tcPr>
            <w:tcW w:w="20" w:type="dxa"/>
            <w:vAlign w:val="bottom"/>
            <w:tcBorders>
              <w:top w:val="single" w:sz="8" w:color="582C83"/>
            </w:tcBorders>
          </w:tcPr>
          <w:p>
            <w:pPr>
              <w:spacing w:after="0"/>
              <w:rPr>
                <w:sz w:val="23"/>
                <w:szCs w:val="23"/>
                <w:color w:val="auto"/>
              </w:rPr>
            </w:pPr>
          </w:p>
        </w:tc>
      </w:tr>
      <w:tr>
        <w:trPr>
          <w:trHeight w:val="46"/>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18"/>
        </w:trPr>
        <w:tc>
          <w:tcPr>
            <w:tcW w:w="372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Crew, Debra</w:t>
            </w:r>
            <w:r>
              <w:rPr>
                <w:rFonts w:ascii="Arial" w:cs="Arial" w:eastAsia="Arial" w:hAnsi="Arial"/>
                <w:sz w:val="21"/>
                <w:szCs w:val="21"/>
                <w:color w:val="auto"/>
                <w:vertAlign w:val="superscript"/>
              </w:rPr>
              <w:t>(4)</w:t>
            </w:r>
          </w:p>
        </w:tc>
        <w:tc>
          <w:tcPr>
            <w:tcW w:w="19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42,308</w:t>
            </w:r>
          </w:p>
        </w:tc>
        <w:tc>
          <w:tcPr>
            <w:tcW w:w="19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10,000</w:t>
            </w:r>
          </w:p>
        </w:tc>
        <w:tc>
          <w:tcPr>
            <w:tcW w:w="18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52,308</w:t>
            </w:r>
          </w:p>
        </w:tc>
        <w:tc>
          <w:tcPr>
            <w:tcW w:w="20" w:type="dxa"/>
            <w:vAlign w:val="bottom"/>
            <w:tcBorders>
              <w:bottom w:val="single" w:sz="8" w:color="582C83"/>
            </w:tcBorders>
            <w:shd w:val="clear" w:color="auto" w:fill="EBE6F0"/>
          </w:tcPr>
          <w:p>
            <w:pPr>
              <w:spacing w:after="0"/>
              <w:rPr>
                <w:sz w:val="24"/>
                <w:szCs w:val="24"/>
                <w:color w:val="auto"/>
              </w:rPr>
            </w:pPr>
          </w:p>
        </w:tc>
      </w:tr>
      <w:tr>
        <w:trPr>
          <w:trHeight w:val="272"/>
        </w:trPr>
        <w:tc>
          <w:tcPr>
            <w:tcW w:w="3720" w:type="dxa"/>
            <w:vAlign w:val="bottom"/>
          </w:tcPr>
          <w:p>
            <w:pPr>
              <w:ind w:left="80"/>
              <w:spacing w:after="0"/>
              <w:rPr>
                <w:sz w:val="20"/>
                <w:szCs w:val="20"/>
                <w:color w:val="auto"/>
              </w:rPr>
            </w:pPr>
            <w:r>
              <w:rPr>
                <w:rFonts w:ascii="Arial" w:cs="Arial" w:eastAsia="Arial" w:hAnsi="Arial"/>
                <w:sz w:val="18"/>
                <w:szCs w:val="18"/>
                <w:color w:val="auto"/>
              </w:rPr>
              <w:t>Juliber, Lois</w:t>
            </w:r>
          </w:p>
        </w:tc>
        <w:tc>
          <w:tcPr>
            <w:tcW w:w="1920" w:type="dxa"/>
            <w:vAlign w:val="bottom"/>
          </w:tcPr>
          <w:p>
            <w:pPr>
              <w:jc w:val="right"/>
              <w:spacing w:after="0"/>
              <w:rPr>
                <w:sz w:val="20"/>
                <w:szCs w:val="20"/>
                <w:color w:val="auto"/>
              </w:rPr>
            </w:pPr>
            <w:r>
              <w:rPr>
                <w:rFonts w:ascii="Arial" w:cs="Arial" w:eastAsia="Arial" w:hAnsi="Arial"/>
                <w:sz w:val="18"/>
                <w:szCs w:val="18"/>
                <w:color w:val="auto"/>
              </w:rPr>
              <w:t>135,000</w:t>
            </w:r>
          </w:p>
        </w:tc>
        <w:tc>
          <w:tcPr>
            <w:tcW w:w="1900" w:type="dxa"/>
            <w:vAlign w:val="bottom"/>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Pr>
          <w:p>
            <w:pPr>
              <w:jc w:val="right"/>
              <w:spacing w:after="0"/>
              <w:rPr>
                <w:sz w:val="20"/>
                <w:szCs w:val="20"/>
                <w:color w:val="auto"/>
              </w:rPr>
            </w:pPr>
            <w:r>
              <w:rPr>
                <w:rFonts w:ascii="Arial" w:cs="Arial" w:eastAsia="Arial" w:hAnsi="Arial"/>
                <w:sz w:val="18"/>
                <w:szCs w:val="18"/>
                <w:color w:val="auto"/>
              </w:rPr>
              <w:t>15,000</w:t>
            </w:r>
          </w:p>
        </w:tc>
        <w:tc>
          <w:tcPr>
            <w:tcW w:w="1800" w:type="dxa"/>
            <w:vAlign w:val="bottom"/>
          </w:tcPr>
          <w:p>
            <w:pPr>
              <w:jc w:val="right"/>
              <w:spacing w:after="0"/>
              <w:rPr>
                <w:sz w:val="20"/>
                <w:szCs w:val="20"/>
                <w:color w:val="auto"/>
              </w:rPr>
            </w:pPr>
            <w:r>
              <w:rPr>
                <w:rFonts w:ascii="Arial" w:cs="Arial" w:eastAsia="Arial" w:hAnsi="Arial"/>
                <w:sz w:val="18"/>
                <w:szCs w:val="18"/>
                <w:color w:val="auto"/>
              </w:rPr>
              <w:t>340,012</w:t>
            </w:r>
          </w:p>
        </w:tc>
        <w:tc>
          <w:tcPr>
            <w:tcW w:w="20" w:type="dxa"/>
            <w:vAlign w:val="bottom"/>
          </w:tcPr>
          <w:p>
            <w:pPr>
              <w:spacing w:after="0"/>
              <w:rPr>
                <w:sz w:val="23"/>
                <w:szCs w:val="23"/>
                <w:color w:val="auto"/>
              </w:rPr>
            </w:pPr>
          </w:p>
        </w:tc>
      </w:tr>
      <w:tr>
        <w:trPr>
          <w:trHeight w:val="46"/>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37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May, Peter</w:t>
            </w:r>
          </w:p>
        </w:tc>
        <w:tc>
          <w:tcPr>
            <w:tcW w:w="1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300,012</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37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Mesquita, Jorge</w:t>
            </w:r>
          </w:p>
        </w:tc>
        <w:tc>
          <w:tcPr>
            <w:tcW w:w="19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110,000</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300,012</w:t>
            </w:r>
          </w:p>
        </w:tc>
        <w:tc>
          <w:tcPr>
            <w:tcW w:w="20" w:type="dxa"/>
            <w:vAlign w:val="bottom"/>
            <w:tcBorders>
              <w:top w:val="single" w:sz="8" w:color="582C83"/>
            </w:tcBorders>
          </w:tcPr>
          <w:p>
            <w:pPr>
              <w:spacing w:after="0"/>
              <w:rPr>
                <w:sz w:val="23"/>
                <w:szCs w:val="23"/>
                <w:color w:val="auto"/>
              </w:rPr>
            </w:pPr>
          </w:p>
        </w:tc>
      </w:tr>
      <w:tr>
        <w:trPr>
          <w:trHeight w:val="46"/>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18"/>
        </w:trPr>
        <w:tc>
          <w:tcPr>
            <w:tcW w:w="372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Nielsen, Jane</w:t>
            </w:r>
            <w:r>
              <w:rPr>
                <w:rFonts w:ascii="Arial" w:cs="Arial" w:eastAsia="Arial" w:hAnsi="Arial"/>
                <w:sz w:val="21"/>
                <w:szCs w:val="21"/>
                <w:color w:val="auto"/>
                <w:vertAlign w:val="superscript"/>
              </w:rPr>
              <w:t>(5)</w:t>
            </w:r>
          </w:p>
        </w:tc>
        <w:tc>
          <w:tcPr>
            <w:tcW w:w="19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67,995</w:t>
            </w:r>
          </w:p>
        </w:tc>
        <w:tc>
          <w:tcPr>
            <w:tcW w:w="19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258,007</w:t>
            </w:r>
          </w:p>
        </w:tc>
        <w:tc>
          <w:tcPr>
            <w:tcW w:w="20" w:type="dxa"/>
            <w:vAlign w:val="bottom"/>
            <w:tcBorders>
              <w:bottom w:val="single" w:sz="8" w:color="582C83"/>
            </w:tcBorders>
            <w:shd w:val="clear" w:color="auto" w:fill="EBE6F0"/>
          </w:tcPr>
          <w:p>
            <w:pPr>
              <w:spacing w:after="0"/>
              <w:rPr>
                <w:sz w:val="24"/>
                <w:szCs w:val="24"/>
                <w:color w:val="auto"/>
              </w:rPr>
            </w:pPr>
          </w:p>
        </w:tc>
      </w:tr>
      <w:tr>
        <w:trPr>
          <w:trHeight w:val="272"/>
        </w:trPr>
        <w:tc>
          <w:tcPr>
            <w:tcW w:w="3720" w:type="dxa"/>
            <w:vAlign w:val="bottom"/>
          </w:tcPr>
          <w:p>
            <w:pPr>
              <w:ind w:left="80"/>
              <w:spacing w:after="0"/>
              <w:rPr>
                <w:sz w:val="20"/>
                <w:szCs w:val="20"/>
                <w:color w:val="auto"/>
              </w:rPr>
            </w:pPr>
            <w:r>
              <w:rPr>
                <w:rFonts w:ascii="Arial" w:cs="Arial" w:eastAsia="Arial" w:hAnsi="Arial"/>
                <w:sz w:val="18"/>
                <w:szCs w:val="18"/>
                <w:color w:val="auto"/>
              </w:rPr>
              <w:t>Reynolds, Fredric</w:t>
            </w:r>
          </w:p>
        </w:tc>
        <w:tc>
          <w:tcPr>
            <w:tcW w:w="1920" w:type="dxa"/>
            <w:vAlign w:val="bottom"/>
          </w:tcPr>
          <w:p>
            <w:pPr>
              <w:jc w:val="right"/>
              <w:spacing w:after="0"/>
              <w:rPr>
                <w:sz w:val="20"/>
                <w:szCs w:val="20"/>
                <w:color w:val="auto"/>
              </w:rPr>
            </w:pPr>
            <w:r>
              <w:rPr>
                <w:rFonts w:ascii="Arial" w:cs="Arial" w:eastAsia="Arial" w:hAnsi="Arial"/>
                <w:sz w:val="18"/>
                <w:szCs w:val="18"/>
                <w:color w:val="auto"/>
              </w:rPr>
              <w:t>135,000</w:t>
            </w:r>
          </w:p>
        </w:tc>
        <w:tc>
          <w:tcPr>
            <w:tcW w:w="1900" w:type="dxa"/>
            <w:vAlign w:val="bottom"/>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325,012</w:t>
            </w:r>
          </w:p>
        </w:tc>
        <w:tc>
          <w:tcPr>
            <w:tcW w:w="20" w:type="dxa"/>
            <w:vAlign w:val="bottom"/>
          </w:tcPr>
          <w:p>
            <w:pPr>
              <w:spacing w:after="0"/>
              <w:rPr>
                <w:sz w:val="23"/>
                <w:szCs w:val="23"/>
                <w:color w:val="auto"/>
              </w:rPr>
            </w:pPr>
          </w:p>
        </w:tc>
      </w:tr>
      <w:tr>
        <w:trPr>
          <w:trHeight w:val="46"/>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37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Shi, Christiana</w:t>
            </w:r>
          </w:p>
        </w:tc>
        <w:tc>
          <w:tcPr>
            <w:tcW w:w="1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5,036</w:t>
            </w:r>
          </w:p>
        </w:tc>
        <w:tc>
          <w:tcPr>
            <w:tcW w:w="1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305,048</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37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Siewert, Patrick</w:t>
            </w:r>
          </w:p>
        </w:tc>
        <w:tc>
          <w:tcPr>
            <w:tcW w:w="19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130,000</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5,000</w:t>
            </w:r>
          </w:p>
        </w:tc>
        <w:tc>
          <w:tcPr>
            <w:tcW w:w="1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325,012</w:t>
            </w:r>
          </w:p>
        </w:tc>
        <w:tc>
          <w:tcPr>
            <w:tcW w:w="20" w:type="dxa"/>
            <w:vAlign w:val="bottom"/>
            <w:tcBorders>
              <w:top w:val="single" w:sz="8" w:color="582C83"/>
            </w:tcBorders>
          </w:tcPr>
          <w:p>
            <w:pPr>
              <w:spacing w:after="0"/>
              <w:rPr>
                <w:sz w:val="23"/>
                <w:szCs w:val="23"/>
                <w:color w:val="auto"/>
              </w:rPr>
            </w:pPr>
          </w:p>
        </w:tc>
      </w:tr>
      <w:tr>
        <w:trPr>
          <w:trHeight w:val="45"/>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37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Todman, Michael</w:t>
            </w:r>
          </w:p>
        </w:tc>
        <w:tc>
          <w:tcPr>
            <w:tcW w:w="1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110,000</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15,000</w:t>
            </w:r>
          </w:p>
        </w:tc>
        <w:tc>
          <w:tcPr>
            <w:tcW w:w="1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315,012</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37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van Boxmeer, Jean-François</w:t>
            </w:r>
          </w:p>
        </w:tc>
        <w:tc>
          <w:tcPr>
            <w:tcW w:w="19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140,000</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330,012</w:t>
            </w:r>
          </w:p>
        </w:tc>
        <w:tc>
          <w:tcPr>
            <w:tcW w:w="20" w:type="dxa"/>
            <w:vAlign w:val="bottom"/>
            <w:tcBorders>
              <w:top w:val="single" w:sz="8" w:color="582C83"/>
            </w:tcBorders>
          </w:tcPr>
          <w:p>
            <w:pPr>
              <w:spacing w:after="0"/>
              <w:rPr>
                <w:sz w:val="23"/>
                <w:szCs w:val="23"/>
                <w:color w:val="auto"/>
              </w:rPr>
            </w:pPr>
          </w:p>
        </w:tc>
      </w:tr>
      <w:tr>
        <w:trPr>
          <w:trHeight w:val="45"/>
        </w:trPr>
        <w:tc>
          <w:tcPr>
            <w:tcW w:w="3720" w:type="dxa"/>
            <w:vAlign w:val="bottom"/>
            <w:tcBorders>
              <w:bottom w:val="single" w:sz="8" w:color="582C83"/>
            </w:tcBorders>
          </w:tcPr>
          <w:p>
            <w:pPr>
              <w:spacing w:after="0"/>
              <w:rPr>
                <w:sz w:val="3"/>
                <w:szCs w:val="3"/>
                <w:color w:val="auto"/>
              </w:rPr>
            </w:pPr>
          </w:p>
        </w:tc>
        <w:tc>
          <w:tcPr>
            <w:tcW w:w="192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8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07" w:lineRule="exact"/>
        <w:rPr>
          <w:sz w:val="20"/>
          <w:szCs w:val="20"/>
          <w:color w:val="auto"/>
        </w:rPr>
      </w:pPr>
    </w:p>
    <w:p>
      <w:pPr>
        <w:ind w:left="420" w:hanging="345"/>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all retainer fees earned or deferred pursuant to the 2001 Compensation Plan for Non-Employee Directors.</w:t>
      </w:r>
    </w:p>
    <w:p>
      <w:pPr>
        <w:spacing w:after="0" w:line="45" w:lineRule="exact"/>
        <w:rPr>
          <w:rFonts w:ascii="Arial" w:cs="Arial" w:eastAsia="Arial" w:hAnsi="Arial"/>
          <w:sz w:val="16"/>
          <w:szCs w:val="16"/>
          <w:color w:val="auto"/>
        </w:rPr>
      </w:pPr>
    </w:p>
    <w:p>
      <w:pPr>
        <w:ind w:left="420" w:right="180" w:hanging="345"/>
        <w:spacing w:after="0" w:line="254"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amounts shown in this column represent the full grant date fair value of the deferred stock unit grants in 2021 as computed in accordance with Financial Accounting Standards Board (“FASB”) Accounting Standards Codification (“ASC”) Topic 718. Assumptions used in the calculation of these amounts are included in Note 12 to the consolidated financial statements contained in our 2021 Form 10-K. The deferred stock units are immediately vested, but receipt of the shares is deferred until six months after the director separates from service on the Board. The 2021 Non-Employee Director Equity Awards table provides further detail on the non-employee director grants made in 2021 and the number of stock awards outstanding as of December 31, 2021.</w:t>
      </w:r>
    </w:p>
    <w:p>
      <w:pPr>
        <w:spacing w:after="0" w:line="6" w:lineRule="exact"/>
        <w:rPr>
          <w:rFonts w:ascii="Arial" w:cs="Arial" w:eastAsia="Arial" w:hAnsi="Arial"/>
          <w:sz w:val="16"/>
          <w:szCs w:val="16"/>
          <w:color w:val="auto"/>
        </w:rPr>
      </w:pPr>
    </w:p>
    <w:p>
      <w:pPr>
        <w:ind w:left="420" w:right="180" w:hanging="345"/>
        <w:spacing w:after="0" w:line="275"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Foundation contributions made as part of the Foundation Matching Gift Program. Annual match limits are based on gift date, not the match date by the Foundation. As such, the amounts reflected may represent gifts that directors made in 2020 but the Foundation did not match until 2021.</w:t>
      </w:r>
    </w:p>
    <w:p>
      <w:pPr>
        <w:spacing w:after="0" w:line="185" w:lineRule="exact"/>
        <w:rPr>
          <w:rFonts w:ascii="Arial" w:cs="Arial" w:eastAsia="Arial" w:hAnsi="Arial"/>
          <w:sz w:val="16"/>
          <w:szCs w:val="16"/>
          <w:color w:val="auto"/>
        </w:rPr>
      </w:pPr>
    </w:p>
    <w:p>
      <w:pPr>
        <w:ind w:left="420" w:right="300" w:hanging="345"/>
        <w:spacing w:after="0" w:line="272" w:lineRule="auto"/>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Effective May 19, 2021, Ms. Crew concluded her service on the Board. Her 2021 retainer payment was prorated based on the date her term ended. She did not receive an annual equity grant during 2021.</w:t>
      </w:r>
    </w:p>
    <w:p>
      <w:pPr>
        <w:spacing w:after="0" w:line="1" w:lineRule="exact"/>
        <w:rPr>
          <w:rFonts w:ascii="Arial" w:cs="Arial" w:eastAsia="Arial" w:hAnsi="Arial"/>
          <w:sz w:val="16"/>
          <w:szCs w:val="16"/>
          <w:color w:val="auto"/>
        </w:rPr>
      </w:pPr>
    </w:p>
    <w:p>
      <w:pPr>
        <w:ind w:left="420" w:hanging="345"/>
        <w:spacing w:after="0"/>
        <w:tabs>
          <w:tab w:leader="none" w:pos="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Ms. Nielsen joined the Board effective May 19, 2021. Her annual cash retainer was prorated based on the date her term began.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Non-Employee Director Equity Awards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All Stock Awards:</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All Stock Awards:</w:t>
            </w:r>
          </w:p>
        </w:tc>
        <w:tc>
          <w:tcPr>
            <w:tcW w:w="2160" w:type="dxa"/>
            <w:vAlign w:val="bottom"/>
          </w:tcPr>
          <w:p>
            <w:pPr>
              <w:spacing w:after="0"/>
              <w:rPr>
                <w:sz w:val="17"/>
                <w:szCs w:val="17"/>
                <w:color w:val="auto"/>
              </w:rPr>
            </w:pPr>
          </w:p>
        </w:tc>
      </w:tr>
      <w:tr>
        <w:trPr>
          <w:trHeight w:val="203"/>
        </w:trPr>
        <w:tc>
          <w:tcPr>
            <w:tcW w:w="53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Number of</w:t>
            </w: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Grant Date Fair</w:t>
            </w:r>
          </w:p>
        </w:tc>
        <w:tc>
          <w:tcPr>
            <w:tcW w:w="21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Outstanding</w:t>
            </w:r>
          </w:p>
        </w:tc>
      </w:tr>
      <w:tr>
        <w:trPr>
          <w:trHeight w:val="203"/>
        </w:trPr>
        <w:tc>
          <w:tcPr>
            <w:tcW w:w="53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of Stock or</w:t>
            </w: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Value of Stock</w:t>
            </w:r>
          </w:p>
        </w:tc>
        <w:tc>
          <w:tcPr>
            <w:tcW w:w="21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Stock</w:t>
            </w:r>
          </w:p>
        </w:tc>
      </w:tr>
      <w:tr>
        <w:trPr>
          <w:trHeight w:val="203"/>
        </w:trPr>
        <w:tc>
          <w:tcPr>
            <w:tcW w:w="53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Units</w:t>
            </w: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or Units</w:t>
            </w:r>
          </w:p>
        </w:tc>
        <w:tc>
          <w:tcPr>
            <w:tcW w:w="216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Awards as of</w:t>
            </w:r>
          </w:p>
        </w:tc>
      </w:tr>
      <w:tr>
        <w:trPr>
          <w:trHeight w:val="203"/>
        </w:trPr>
        <w:tc>
          <w:tcPr>
            <w:tcW w:w="5300" w:type="dxa"/>
            <w:vAlign w:val="bottom"/>
          </w:tcPr>
          <w:p>
            <w:pPr>
              <w:spacing w:after="0"/>
              <w:rPr>
                <w:sz w:val="17"/>
                <w:szCs w:val="17"/>
                <w:color w:val="auto"/>
              </w:rPr>
            </w:pPr>
          </w:p>
        </w:tc>
        <w:tc>
          <w:tcPr>
            <w:tcW w:w="1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Granted in 2021</w:t>
            </w: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Granted in 2021</w:t>
            </w:r>
            <w:r>
              <w:rPr>
                <w:rFonts w:ascii="Arial" w:cs="Arial" w:eastAsia="Arial" w:hAnsi="Arial"/>
                <w:sz w:val="21"/>
                <w:szCs w:val="21"/>
                <w:b w:val="1"/>
                <w:bCs w:val="1"/>
                <w:color w:val="auto"/>
                <w:vertAlign w:val="superscript"/>
              </w:rPr>
              <w:t>(1)</w:t>
            </w:r>
          </w:p>
        </w:tc>
        <w:tc>
          <w:tcPr>
            <w:tcW w:w="2160" w:type="dxa"/>
            <w:vAlign w:val="bottom"/>
          </w:tcPr>
          <w:p>
            <w:pPr>
              <w:jc w:val="right"/>
              <w:ind w:right="12"/>
              <w:spacing w:after="0" w:line="203" w:lineRule="exact"/>
              <w:rPr>
                <w:sz w:val="20"/>
                <w:szCs w:val="20"/>
                <w:color w:val="auto"/>
              </w:rPr>
            </w:pPr>
            <w:r>
              <w:rPr>
                <w:rFonts w:ascii="Arial" w:cs="Arial" w:eastAsia="Arial" w:hAnsi="Arial"/>
                <w:sz w:val="18"/>
                <w:szCs w:val="18"/>
                <w:b w:val="1"/>
                <w:bCs w:val="1"/>
                <w:color w:val="auto"/>
              </w:rPr>
              <w:t>December 31, 2021</w:t>
            </w:r>
            <w:r>
              <w:rPr>
                <w:rFonts w:ascii="Arial" w:cs="Arial" w:eastAsia="Arial" w:hAnsi="Arial"/>
                <w:sz w:val="21"/>
                <w:szCs w:val="21"/>
                <w:b w:val="1"/>
                <w:bCs w:val="1"/>
                <w:color w:val="auto"/>
                <w:vertAlign w:val="superscript"/>
              </w:rPr>
              <w:t>(2)</w:t>
            </w:r>
          </w:p>
        </w:tc>
      </w:tr>
      <w:tr>
        <w:trPr>
          <w:trHeight w:val="265"/>
        </w:trPr>
        <w:tc>
          <w:tcPr>
            <w:tcW w:w="530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2160" w:type="dxa"/>
            <w:vAlign w:val="bottom"/>
            <w:tcBorders>
              <w:bottom w:val="single" w:sz="8" w:color="582C83"/>
            </w:tcBorders>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323"/>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Booth, Lewis</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41,497</w:t>
            </w:r>
          </w:p>
        </w:tc>
      </w:tr>
      <w:tr>
        <w:trPr>
          <w:trHeight w:val="272"/>
        </w:trPr>
        <w:tc>
          <w:tcPr>
            <w:tcW w:w="53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Bunch, Charles</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22,407</w:t>
            </w:r>
          </w:p>
        </w:tc>
      </w:tr>
      <w:tr>
        <w:trPr>
          <w:trHeight w:val="46"/>
        </w:trPr>
        <w:tc>
          <w:tcPr>
            <w:tcW w:w="53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160" w:type="dxa"/>
            <w:vAlign w:val="bottom"/>
            <w:tcBorders>
              <w:bottom w:val="single" w:sz="8" w:color="582C83"/>
            </w:tcBorders>
          </w:tcPr>
          <w:p>
            <w:pPr>
              <w:spacing w:after="0"/>
              <w:rPr>
                <w:sz w:val="3"/>
                <w:szCs w:val="3"/>
                <w:color w:val="auto"/>
              </w:rPr>
            </w:pPr>
          </w:p>
        </w:tc>
      </w:tr>
      <w:tr>
        <w:trPr>
          <w:trHeight w:val="323"/>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Juliber, Lois</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63,985</w:t>
            </w:r>
          </w:p>
        </w:tc>
      </w:tr>
      <w:tr>
        <w:trPr>
          <w:trHeight w:val="272"/>
        </w:trPr>
        <w:tc>
          <w:tcPr>
            <w:tcW w:w="53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May, Peter</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16,156</w:t>
            </w:r>
          </w:p>
        </w:tc>
      </w:tr>
      <w:tr>
        <w:trPr>
          <w:trHeight w:val="46"/>
        </w:trPr>
        <w:tc>
          <w:tcPr>
            <w:tcW w:w="53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160" w:type="dxa"/>
            <w:vAlign w:val="bottom"/>
            <w:tcBorders>
              <w:bottom w:val="single" w:sz="8" w:color="582C83"/>
            </w:tcBorders>
          </w:tcPr>
          <w:p>
            <w:pPr>
              <w:spacing w:after="0"/>
              <w:rPr>
                <w:sz w:val="3"/>
                <w:szCs w:val="3"/>
                <w:color w:val="auto"/>
              </w:rPr>
            </w:pPr>
          </w:p>
        </w:tc>
      </w:tr>
      <w:tr>
        <w:trPr>
          <w:trHeight w:val="323"/>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Mesquita, Jorge</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41,869</w:t>
            </w:r>
          </w:p>
        </w:tc>
      </w:tr>
      <w:tr>
        <w:trPr>
          <w:trHeight w:val="272"/>
        </w:trPr>
        <w:tc>
          <w:tcPr>
            <w:tcW w:w="53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Nielsen, Jane</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3,081</w:t>
            </w:r>
          </w:p>
        </w:tc>
      </w:tr>
      <w:tr>
        <w:trPr>
          <w:trHeight w:val="46"/>
        </w:trPr>
        <w:tc>
          <w:tcPr>
            <w:tcW w:w="53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160" w:type="dxa"/>
            <w:vAlign w:val="bottom"/>
            <w:tcBorders>
              <w:bottom w:val="single" w:sz="8" w:color="582C83"/>
            </w:tcBorders>
          </w:tcPr>
          <w:p>
            <w:pPr>
              <w:spacing w:after="0"/>
              <w:rPr>
                <w:sz w:val="3"/>
                <w:szCs w:val="3"/>
                <w:color w:val="auto"/>
              </w:rPr>
            </w:pPr>
          </w:p>
        </w:tc>
      </w:tr>
      <w:tr>
        <w:trPr>
          <w:trHeight w:val="323"/>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Reynolds, Fredric</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51,653</w:t>
            </w:r>
          </w:p>
        </w:tc>
      </w:tr>
      <w:tr>
        <w:trPr>
          <w:trHeight w:val="272"/>
        </w:trPr>
        <w:tc>
          <w:tcPr>
            <w:tcW w:w="53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Shi, Christiana</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25,215</w:t>
            </w:r>
          </w:p>
        </w:tc>
      </w:tr>
      <w:tr>
        <w:trPr>
          <w:trHeight w:val="46"/>
        </w:trPr>
        <w:tc>
          <w:tcPr>
            <w:tcW w:w="53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160" w:type="dxa"/>
            <w:vAlign w:val="bottom"/>
            <w:tcBorders>
              <w:bottom w:val="single" w:sz="8" w:color="582C83"/>
            </w:tcBorders>
          </w:tcPr>
          <w:p>
            <w:pPr>
              <w:spacing w:after="0"/>
              <w:rPr>
                <w:sz w:val="3"/>
                <w:szCs w:val="3"/>
                <w:color w:val="auto"/>
              </w:rPr>
            </w:pPr>
          </w:p>
        </w:tc>
      </w:tr>
      <w:tr>
        <w:trPr>
          <w:trHeight w:val="323"/>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Siewert, Patrick</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41,655</w:t>
            </w:r>
          </w:p>
        </w:tc>
      </w:tr>
      <w:tr>
        <w:trPr>
          <w:trHeight w:val="272"/>
        </w:trPr>
        <w:tc>
          <w:tcPr>
            <w:tcW w:w="53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Todman, Michael</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6,730</w:t>
            </w:r>
          </w:p>
        </w:tc>
      </w:tr>
      <w:tr>
        <w:trPr>
          <w:trHeight w:val="46"/>
        </w:trPr>
        <w:tc>
          <w:tcPr>
            <w:tcW w:w="53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1900" w:type="dxa"/>
            <w:vAlign w:val="bottom"/>
            <w:tcBorders>
              <w:bottom w:val="single" w:sz="8" w:color="582C83"/>
            </w:tcBorders>
          </w:tcPr>
          <w:p>
            <w:pPr>
              <w:spacing w:after="0"/>
              <w:rPr>
                <w:sz w:val="3"/>
                <w:szCs w:val="3"/>
                <w:color w:val="auto"/>
              </w:rPr>
            </w:pPr>
          </w:p>
        </w:tc>
        <w:tc>
          <w:tcPr>
            <w:tcW w:w="2160" w:type="dxa"/>
            <w:vAlign w:val="bottom"/>
            <w:tcBorders>
              <w:bottom w:val="single" w:sz="8" w:color="582C83"/>
            </w:tcBorders>
          </w:tcPr>
          <w:p>
            <w:pPr>
              <w:spacing w:after="0"/>
              <w:rPr>
                <w:sz w:val="3"/>
                <w:szCs w:val="3"/>
                <w:color w:val="auto"/>
              </w:rPr>
            </w:pPr>
          </w:p>
        </w:tc>
      </w:tr>
      <w:tr>
        <w:trPr>
          <w:trHeight w:val="290"/>
        </w:trPr>
        <w:tc>
          <w:tcPr>
            <w:tcW w:w="530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van Boxmeer, Jean-François</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3,048</w:t>
            </w:r>
          </w:p>
        </w:tc>
        <w:tc>
          <w:tcPr>
            <w:tcW w:w="1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190,012</w:t>
            </w:r>
          </w:p>
        </w:tc>
        <w:tc>
          <w:tcPr>
            <w:tcW w:w="21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47,744</w:t>
            </w:r>
          </w:p>
        </w:tc>
      </w:tr>
      <w:tr>
        <w:trPr>
          <w:trHeight w:val="27"/>
        </w:trPr>
        <w:tc>
          <w:tcPr>
            <w:tcW w:w="5300" w:type="dxa"/>
            <w:vAlign w:val="bottom"/>
            <w:shd w:val="clear" w:color="auto" w:fill="582C83"/>
          </w:tcPr>
          <w:p>
            <w:pPr>
              <w:spacing w:after="0"/>
              <w:rPr>
                <w:sz w:val="2"/>
                <w:szCs w:val="2"/>
                <w:color w:val="auto"/>
              </w:rPr>
            </w:pPr>
          </w:p>
        </w:tc>
        <w:tc>
          <w:tcPr>
            <w:tcW w:w="1900" w:type="dxa"/>
            <w:vAlign w:val="bottom"/>
            <w:shd w:val="clear" w:color="auto" w:fill="582C83"/>
          </w:tcPr>
          <w:p>
            <w:pPr>
              <w:spacing w:after="0"/>
              <w:rPr>
                <w:sz w:val="2"/>
                <w:szCs w:val="2"/>
                <w:color w:val="auto"/>
              </w:rPr>
            </w:pPr>
          </w:p>
        </w:tc>
        <w:tc>
          <w:tcPr>
            <w:tcW w:w="1900" w:type="dxa"/>
            <w:vAlign w:val="bottom"/>
            <w:shd w:val="clear" w:color="auto" w:fill="582C83"/>
          </w:tcPr>
          <w:p>
            <w:pPr>
              <w:spacing w:after="0"/>
              <w:rPr>
                <w:sz w:val="2"/>
                <w:szCs w:val="2"/>
                <w:color w:val="auto"/>
              </w:rPr>
            </w:pPr>
          </w:p>
        </w:tc>
        <w:tc>
          <w:tcPr>
            <w:tcW w:w="2160" w:type="dxa"/>
            <w:vAlign w:val="bottom"/>
            <w:shd w:val="clear" w:color="auto" w:fill="582C83"/>
          </w:tcPr>
          <w:p>
            <w:pPr>
              <w:spacing w:after="0"/>
              <w:rPr>
                <w:sz w:val="2"/>
                <w:szCs w:val="2"/>
                <w:color w:val="auto"/>
              </w:rPr>
            </w:pPr>
          </w:p>
        </w:tc>
      </w:tr>
    </w:tbl>
    <w:p>
      <w:pPr>
        <w:spacing w:after="0" w:line="107" w:lineRule="exact"/>
        <w:rPr>
          <w:sz w:val="20"/>
          <w:szCs w:val="20"/>
          <w:color w:val="auto"/>
        </w:rPr>
      </w:pPr>
    </w:p>
    <w:p>
      <w:pPr>
        <w:ind w:left="440" w:right="160" w:hanging="351"/>
        <w:spacing w:after="0" w:line="272" w:lineRule="auto"/>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amounts shown in this column represent the full grant date fair value of the deferred stock units granted in 2021 as computed in accordance with FASB ASC Topic 718.</w:t>
      </w:r>
    </w:p>
    <w:p>
      <w:pPr>
        <w:spacing w:after="0" w:line="1" w:lineRule="exact"/>
        <w:rPr>
          <w:rFonts w:ascii="Arial" w:cs="Arial" w:eastAsia="Arial" w:hAnsi="Arial"/>
          <w:sz w:val="16"/>
          <w:szCs w:val="16"/>
          <w:color w:val="auto"/>
        </w:rPr>
      </w:pPr>
    </w:p>
    <w:p>
      <w:pPr>
        <w:ind w:left="440" w:hanging="351"/>
        <w:spacing w:after="0"/>
        <w:tabs>
          <w:tab w:leader="none" w:pos="4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are fully vested but receipt of shares is deferred until six months after the director separates from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0" w:right="760"/>
        <w:spacing w:after="0" w:line="272" w:lineRule="auto"/>
        <w:rPr>
          <w:sz w:val="20"/>
          <w:szCs w:val="20"/>
          <w:color w:val="auto"/>
        </w:rPr>
      </w:pPr>
      <w:r>
        <w:rPr>
          <w:rFonts w:ascii="Arial" w:cs="Arial" w:eastAsia="Arial" w:hAnsi="Arial"/>
          <w:sz w:val="46"/>
          <w:szCs w:val="46"/>
          <w:b w:val="1"/>
          <w:bCs w:val="1"/>
          <w:color w:val="582C83"/>
        </w:rPr>
        <w:t>COMPENSATION DISCUSSION AND ANALYSIS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r>
              <w:rPr>
                <w:rFonts w:ascii="Arial" w:cs="Arial" w:eastAsia="Arial" w:hAnsi="Arial"/>
                <w:sz w:val="18"/>
                <w:szCs w:val="18"/>
                <w:b w:val="1"/>
                <w:bCs w:val="1"/>
                <w:color w:val="582C83"/>
              </w:rPr>
              <w:t>TABLE OF CONTENTS</w:t>
            </w:r>
          </w:p>
        </w:tc>
        <w:tc>
          <w:tcPr>
            <w:tcW w:w="420" w:type="dxa"/>
            <w:vAlign w:val="bottom"/>
          </w:tcPr>
          <w:p>
            <w:pPr>
              <w:spacing w:after="0"/>
              <w:rPr>
                <w:sz w:val="20"/>
                <w:szCs w:val="20"/>
                <w:color w:val="auto"/>
              </w:rPr>
            </w:pPr>
          </w:p>
        </w:tc>
      </w:tr>
      <w:tr>
        <w:trPr>
          <w:trHeight w:val="324"/>
        </w:trPr>
        <w:tc>
          <w:tcPr>
            <w:tcW w:w="4440" w:type="dxa"/>
            <w:vAlign w:val="bottom"/>
          </w:tcPr>
          <w:p>
            <w:pPr>
              <w:spacing w:after="0"/>
              <w:rPr>
                <w:rFonts w:ascii="Arial" w:cs="Arial" w:eastAsia="Arial" w:hAnsi="Arial"/>
                <w:sz w:val="18"/>
                <w:szCs w:val="18"/>
                <w:b w:val="1"/>
                <w:bCs w:val="1"/>
                <w:color w:val="582C83"/>
              </w:rPr>
            </w:pPr>
            <w:hyperlink w:anchor="page68">
              <w:r>
                <w:rPr>
                  <w:rFonts w:ascii="Arial" w:cs="Arial" w:eastAsia="Arial" w:hAnsi="Arial"/>
                  <w:sz w:val="18"/>
                  <w:szCs w:val="18"/>
                  <w:b w:val="1"/>
                  <w:bCs w:val="1"/>
                  <w:color w:val="582C83"/>
                </w:rPr>
                <w:t>Executive Summary</w:t>
              </w:r>
            </w:hyperlink>
          </w:p>
        </w:tc>
        <w:tc>
          <w:tcPr>
            <w:tcW w:w="420" w:type="dxa"/>
            <w:vAlign w:val="bottom"/>
          </w:tcPr>
          <w:p>
            <w:pPr>
              <w:jc w:val="right"/>
              <w:spacing w:after="0"/>
              <w:rPr>
                <w:rFonts w:ascii="Arial" w:cs="Arial" w:eastAsia="Arial" w:hAnsi="Arial"/>
                <w:sz w:val="18"/>
                <w:szCs w:val="18"/>
                <w:b w:val="1"/>
                <w:bCs w:val="1"/>
                <w:color w:val="582C83"/>
              </w:rPr>
            </w:pPr>
            <w:hyperlink w:anchor="page68">
              <w:r>
                <w:rPr>
                  <w:rFonts w:ascii="Arial" w:cs="Arial" w:eastAsia="Arial" w:hAnsi="Arial"/>
                  <w:sz w:val="18"/>
                  <w:szCs w:val="18"/>
                  <w:b w:val="1"/>
                  <w:bCs w:val="1"/>
                  <w:color w:val="582C83"/>
                </w:rPr>
                <w:t>64</w:t>
              </w:r>
            </w:hyperlink>
          </w:p>
        </w:tc>
      </w:tr>
      <w:tr>
        <w:trPr>
          <w:trHeight w:val="235"/>
        </w:trPr>
        <w:tc>
          <w:tcPr>
            <w:tcW w:w="4440" w:type="dxa"/>
            <w:vAlign w:val="bottom"/>
          </w:tcPr>
          <w:p>
            <w:pPr>
              <w:spacing w:after="0"/>
              <w:rPr>
                <w:rFonts w:ascii="Arial" w:cs="Arial" w:eastAsia="Arial" w:hAnsi="Arial"/>
                <w:sz w:val="18"/>
                <w:szCs w:val="18"/>
                <w:color w:val="582C83"/>
              </w:rPr>
            </w:pPr>
            <w:hyperlink w:anchor="page68">
              <w:r>
                <w:rPr>
                  <w:rFonts w:ascii="Arial" w:cs="Arial" w:eastAsia="Arial" w:hAnsi="Arial"/>
                  <w:sz w:val="18"/>
                  <w:szCs w:val="18"/>
                  <w:color w:val="582C83"/>
                </w:rPr>
                <w:t>Our Growth Strategy</w:t>
              </w:r>
            </w:hyperlink>
          </w:p>
        </w:tc>
        <w:tc>
          <w:tcPr>
            <w:tcW w:w="420" w:type="dxa"/>
            <w:vAlign w:val="bottom"/>
          </w:tcPr>
          <w:p>
            <w:pPr>
              <w:jc w:val="right"/>
              <w:spacing w:after="0"/>
              <w:rPr>
                <w:rFonts w:ascii="Arial" w:cs="Arial" w:eastAsia="Arial" w:hAnsi="Arial"/>
                <w:sz w:val="18"/>
                <w:szCs w:val="18"/>
                <w:color w:val="582C83"/>
              </w:rPr>
            </w:pPr>
            <w:hyperlink w:anchor="page68">
              <w:r>
                <w:rPr>
                  <w:rFonts w:ascii="Arial" w:cs="Arial" w:eastAsia="Arial" w:hAnsi="Arial"/>
                  <w:sz w:val="18"/>
                  <w:szCs w:val="18"/>
                  <w:color w:val="582C83"/>
                </w:rPr>
                <w:t>64</w:t>
              </w:r>
            </w:hyperlink>
          </w:p>
        </w:tc>
      </w:tr>
      <w:tr>
        <w:trPr>
          <w:trHeight w:val="243"/>
        </w:trPr>
        <w:tc>
          <w:tcPr>
            <w:tcW w:w="4440" w:type="dxa"/>
            <w:vAlign w:val="bottom"/>
          </w:tcPr>
          <w:p>
            <w:pPr>
              <w:spacing w:after="0"/>
              <w:rPr>
                <w:rFonts w:ascii="Arial" w:cs="Arial" w:eastAsia="Arial" w:hAnsi="Arial"/>
                <w:sz w:val="18"/>
                <w:szCs w:val="18"/>
                <w:color w:val="582C83"/>
              </w:rPr>
            </w:pPr>
            <w:hyperlink w:anchor="page69">
              <w:r>
                <w:rPr>
                  <w:rFonts w:ascii="Arial" w:cs="Arial" w:eastAsia="Arial" w:hAnsi="Arial"/>
                  <w:sz w:val="18"/>
                  <w:szCs w:val="18"/>
                  <w:color w:val="582C83"/>
                </w:rPr>
                <w:t>Performance Overview</w:t>
              </w:r>
            </w:hyperlink>
          </w:p>
        </w:tc>
        <w:tc>
          <w:tcPr>
            <w:tcW w:w="420" w:type="dxa"/>
            <w:vAlign w:val="bottom"/>
          </w:tcPr>
          <w:p>
            <w:pPr>
              <w:jc w:val="right"/>
              <w:spacing w:after="0"/>
              <w:rPr>
                <w:rFonts w:ascii="Arial" w:cs="Arial" w:eastAsia="Arial" w:hAnsi="Arial"/>
                <w:sz w:val="18"/>
                <w:szCs w:val="18"/>
                <w:color w:val="582C83"/>
              </w:rPr>
            </w:pPr>
            <w:hyperlink w:anchor="page69">
              <w:r>
                <w:rPr>
                  <w:rFonts w:ascii="Arial" w:cs="Arial" w:eastAsia="Arial" w:hAnsi="Arial"/>
                  <w:sz w:val="18"/>
                  <w:szCs w:val="18"/>
                  <w:color w:val="582C83"/>
                </w:rPr>
                <w:t>65</w:t>
              </w:r>
            </w:hyperlink>
          </w:p>
        </w:tc>
      </w:tr>
      <w:tr>
        <w:trPr>
          <w:trHeight w:val="243"/>
        </w:trPr>
        <w:tc>
          <w:tcPr>
            <w:tcW w:w="4440" w:type="dxa"/>
            <w:vAlign w:val="bottom"/>
          </w:tcPr>
          <w:p>
            <w:pPr>
              <w:spacing w:after="0"/>
              <w:rPr>
                <w:rFonts w:ascii="Arial" w:cs="Arial" w:eastAsia="Arial" w:hAnsi="Arial"/>
                <w:sz w:val="18"/>
                <w:szCs w:val="18"/>
                <w:color w:val="582C83"/>
              </w:rPr>
            </w:pPr>
            <w:hyperlink w:anchor="page70">
              <w:r>
                <w:rPr>
                  <w:rFonts w:ascii="Arial" w:cs="Arial" w:eastAsia="Arial" w:hAnsi="Arial"/>
                  <w:sz w:val="18"/>
                  <w:szCs w:val="18"/>
                  <w:color w:val="582C83"/>
                </w:rPr>
                <w:t>Overview of Pay Elements</w:t>
              </w:r>
            </w:hyperlink>
          </w:p>
        </w:tc>
        <w:tc>
          <w:tcPr>
            <w:tcW w:w="420" w:type="dxa"/>
            <w:vAlign w:val="bottom"/>
          </w:tcPr>
          <w:p>
            <w:pPr>
              <w:jc w:val="right"/>
              <w:spacing w:after="0"/>
              <w:rPr>
                <w:rFonts w:ascii="Arial" w:cs="Arial" w:eastAsia="Arial" w:hAnsi="Arial"/>
                <w:sz w:val="18"/>
                <w:szCs w:val="18"/>
                <w:color w:val="582C83"/>
              </w:rPr>
            </w:pPr>
            <w:hyperlink w:anchor="page70">
              <w:r>
                <w:rPr>
                  <w:rFonts w:ascii="Arial" w:cs="Arial" w:eastAsia="Arial" w:hAnsi="Arial"/>
                  <w:sz w:val="18"/>
                  <w:szCs w:val="18"/>
                  <w:color w:val="582C83"/>
                </w:rPr>
                <w:t>66</w:t>
              </w:r>
            </w:hyperlink>
          </w:p>
        </w:tc>
      </w:tr>
      <w:tr>
        <w:trPr>
          <w:trHeight w:val="243"/>
        </w:trPr>
        <w:tc>
          <w:tcPr>
            <w:tcW w:w="4440" w:type="dxa"/>
            <w:vAlign w:val="bottom"/>
          </w:tcPr>
          <w:p>
            <w:pPr>
              <w:spacing w:after="0"/>
              <w:rPr>
                <w:rFonts w:ascii="Arial" w:cs="Arial" w:eastAsia="Arial" w:hAnsi="Arial"/>
                <w:sz w:val="18"/>
                <w:szCs w:val="18"/>
                <w:color w:val="582C83"/>
              </w:rPr>
            </w:pPr>
            <w:hyperlink w:anchor="page71">
              <w:r>
                <w:rPr>
                  <w:rFonts w:ascii="Arial" w:cs="Arial" w:eastAsia="Arial" w:hAnsi="Arial"/>
                  <w:sz w:val="18"/>
                  <w:szCs w:val="18"/>
                  <w:color w:val="582C83"/>
                </w:rPr>
                <w:t>2021 Compensation Program Design Changes</w:t>
              </w:r>
            </w:hyperlink>
          </w:p>
        </w:tc>
        <w:tc>
          <w:tcPr>
            <w:tcW w:w="420" w:type="dxa"/>
            <w:vAlign w:val="bottom"/>
          </w:tcPr>
          <w:p>
            <w:pPr>
              <w:jc w:val="right"/>
              <w:spacing w:after="0"/>
              <w:rPr>
                <w:rFonts w:ascii="Arial" w:cs="Arial" w:eastAsia="Arial" w:hAnsi="Arial"/>
                <w:sz w:val="18"/>
                <w:szCs w:val="18"/>
                <w:color w:val="582C83"/>
              </w:rPr>
            </w:pPr>
            <w:hyperlink w:anchor="page71">
              <w:r>
                <w:rPr>
                  <w:rFonts w:ascii="Arial" w:cs="Arial" w:eastAsia="Arial" w:hAnsi="Arial"/>
                  <w:sz w:val="18"/>
                  <w:szCs w:val="18"/>
                  <w:color w:val="582C83"/>
                </w:rPr>
                <w:t>67</w:t>
              </w:r>
            </w:hyperlink>
          </w:p>
        </w:tc>
      </w:tr>
      <w:tr>
        <w:trPr>
          <w:trHeight w:val="243"/>
        </w:trPr>
        <w:tc>
          <w:tcPr>
            <w:tcW w:w="4440" w:type="dxa"/>
            <w:vAlign w:val="bottom"/>
          </w:tcPr>
          <w:p>
            <w:pPr>
              <w:spacing w:after="0"/>
              <w:rPr>
                <w:rFonts w:ascii="Arial" w:cs="Arial" w:eastAsia="Arial" w:hAnsi="Arial"/>
                <w:sz w:val="18"/>
                <w:szCs w:val="18"/>
                <w:color w:val="582C83"/>
              </w:rPr>
            </w:pPr>
            <w:hyperlink w:anchor="page71">
              <w:r>
                <w:rPr>
                  <w:rFonts w:ascii="Arial" w:cs="Arial" w:eastAsia="Arial" w:hAnsi="Arial"/>
                  <w:sz w:val="18"/>
                  <w:szCs w:val="18"/>
                  <w:color w:val="582C83"/>
                </w:rPr>
                <w:t>Executive Compensation Goals and Design Principles</w:t>
              </w:r>
            </w:hyperlink>
          </w:p>
        </w:tc>
        <w:tc>
          <w:tcPr>
            <w:tcW w:w="420" w:type="dxa"/>
            <w:vAlign w:val="bottom"/>
          </w:tcPr>
          <w:p>
            <w:pPr>
              <w:jc w:val="right"/>
              <w:spacing w:after="0"/>
              <w:rPr>
                <w:rFonts w:ascii="Arial" w:cs="Arial" w:eastAsia="Arial" w:hAnsi="Arial"/>
                <w:sz w:val="18"/>
                <w:szCs w:val="18"/>
                <w:color w:val="582C83"/>
              </w:rPr>
            </w:pPr>
            <w:hyperlink w:anchor="page71">
              <w:r>
                <w:rPr>
                  <w:rFonts w:ascii="Arial" w:cs="Arial" w:eastAsia="Arial" w:hAnsi="Arial"/>
                  <w:sz w:val="18"/>
                  <w:szCs w:val="18"/>
                  <w:color w:val="582C83"/>
                </w:rPr>
                <w:t>67</w:t>
              </w:r>
            </w:hyperlink>
          </w:p>
        </w:tc>
      </w:tr>
      <w:tr>
        <w:trPr>
          <w:trHeight w:val="243"/>
        </w:trPr>
        <w:tc>
          <w:tcPr>
            <w:tcW w:w="4440" w:type="dxa"/>
            <w:vAlign w:val="bottom"/>
          </w:tcPr>
          <w:p>
            <w:pPr>
              <w:spacing w:after="0"/>
              <w:rPr>
                <w:rFonts w:ascii="Arial" w:cs="Arial" w:eastAsia="Arial" w:hAnsi="Arial"/>
                <w:sz w:val="18"/>
                <w:szCs w:val="18"/>
                <w:color w:val="582C83"/>
              </w:rPr>
            </w:pPr>
            <w:hyperlink w:anchor="page72">
              <w:r>
                <w:rPr>
                  <w:rFonts w:ascii="Arial" w:cs="Arial" w:eastAsia="Arial" w:hAnsi="Arial"/>
                  <w:sz w:val="18"/>
                  <w:szCs w:val="18"/>
                  <w:color w:val="582C83"/>
                </w:rPr>
                <w:t>Shareholder Engagement on Executive Compensation</w:t>
              </w:r>
            </w:hyperlink>
          </w:p>
        </w:tc>
        <w:tc>
          <w:tcPr>
            <w:tcW w:w="420" w:type="dxa"/>
            <w:vAlign w:val="bottom"/>
          </w:tcPr>
          <w:p>
            <w:pPr>
              <w:jc w:val="right"/>
              <w:spacing w:after="0"/>
              <w:rPr>
                <w:rFonts w:ascii="Arial" w:cs="Arial" w:eastAsia="Arial" w:hAnsi="Arial"/>
                <w:sz w:val="18"/>
                <w:szCs w:val="18"/>
                <w:color w:val="582C83"/>
              </w:rPr>
            </w:pPr>
            <w:hyperlink w:anchor="page72">
              <w:r>
                <w:rPr>
                  <w:rFonts w:ascii="Arial" w:cs="Arial" w:eastAsia="Arial" w:hAnsi="Arial"/>
                  <w:sz w:val="18"/>
                  <w:szCs w:val="18"/>
                  <w:color w:val="582C83"/>
                </w:rPr>
                <w:t>68</w:t>
              </w:r>
            </w:hyperlink>
          </w:p>
        </w:tc>
      </w:tr>
      <w:tr>
        <w:trPr>
          <w:trHeight w:val="243"/>
        </w:trPr>
        <w:tc>
          <w:tcPr>
            <w:tcW w:w="4440" w:type="dxa"/>
            <w:vAlign w:val="bottom"/>
          </w:tcPr>
          <w:p>
            <w:pPr>
              <w:spacing w:after="0"/>
              <w:rPr>
                <w:rFonts w:ascii="Arial" w:cs="Arial" w:eastAsia="Arial" w:hAnsi="Arial"/>
                <w:sz w:val="18"/>
                <w:szCs w:val="18"/>
                <w:color w:val="582C83"/>
              </w:rPr>
            </w:pPr>
            <w:hyperlink w:anchor="page73">
              <w:r>
                <w:rPr>
                  <w:rFonts w:ascii="Arial" w:cs="Arial" w:eastAsia="Arial" w:hAnsi="Arial"/>
                  <w:sz w:val="18"/>
                  <w:szCs w:val="18"/>
                  <w:color w:val="582C83"/>
                </w:rPr>
                <w:t>Core Compensation Practices</w:t>
              </w:r>
            </w:hyperlink>
          </w:p>
        </w:tc>
        <w:tc>
          <w:tcPr>
            <w:tcW w:w="420" w:type="dxa"/>
            <w:vAlign w:val="bottom"/>
          </w:tcPr>
          <w:p>
            <w:pPr>
              <w:jc w:val="right"/>
              <w:spacing w:after="0"/>
              <w:rPr>
                <w:rFonts w:ascii="Arial" w:cs="Arial" w:eastAsia="Arial" w:hAnsi="Arial"/>
                <w:sz w:val="18"/>
                <w:szCs w:val="18"/>
                <w:color w:val="582C83"/>
              </w:rPr>
            </w:pPr>
            <w:hyperlink w:anchor="page73">
              <w:r>
                <w:rPr>
                  <w:rFonts w:ascii="Arial" w:cs="Arial" w:eastAsia="Arial" w:hAnsi="Arial"/>
                  <w:sz w:val="18"/>
                  <w:szCs w:val="18"/>
                  <w:color w:val="582C83"/>
                </w:rPr>
                <w:t>69</w:t>
              </w:r>
            </w:hyperlink>
          </w:p>
        </w:tc>
      </w:tr>
      <w:tr>
        <w:trPr>
          <w:trHeight w:val="251"/>
        </w:trPr>
        <w:tc>
          <w:tcPr>
            <w:tcW w:w="4440" w:type="dxa"/>
            <w:vAlign w:val="bottom"/>
          </w:tcPr>
          <w:p>
            <w:pPr>
              <w:spacing w:after="0"/>
              <w:rPr>
                <w:rFonts w:ascii="Arial" w:cs="Arial" w:eastAsia="Arial" w:hAnsi="Arial"/>
                <w:sz w:val="18"/>
                <w:szCs w:val="18"/>
                <w:b w:val="1"/>
                <w:bCs w:val="1"/>
                <w:color w:val="582C83"/>
              </w:rPr>
            </w:pPr>
            <w:hyperlink w:anchor="page74">
              <w:r>
                <w:rPr>
                  <w:rFonts w:ascii="Arial" w:cs="Arial" w:eastAsia="Arial" w:hAnsi="Arial"/>
                  <w:sz w:val="18"/>
                  <w:szCs w:val="18"/>
                  <w:b w:val="1"/>
                  <w:bCs w:val="1"/>
                  <w:color w:val="582C83"/>
                </w:rPr>
                <w:t>Detailed Program Discussion</w:t>
              </w:r>
            </w:hyperlink>
          </w:p>
        </w:tc>
        <w:tc>
          <w:tcPr>
            <w:tcW w:w="420" w:type="dxa"/>
            <w:vAlign w:val="bottom"/>
          </w:tcPr>
          <w:p>
            <w:pPr>
              <w:jc w:val="right"/>
              <w:spacing w:after="0"/>
              <w:rPr>
                <w:rFonts w:ascii="Arial" w:cs="Arial" w:eastAsia="Arial" w:hAnsi="Arial"/>
                <w:sz w:val="18"/>
                <w:szCs w:val="18"/>
                <w:b w:val="1"/>
                <w:bCs w:val="1"/>
                <w:color w:val="582C83"/>
              </w:rPr>
            </w:pPr>
            <w:hyperlink w:anchor="page74">
              <w:r>
                <w:rPr>
                  <w:rFonts w:ascii="Arial" w:cs="Arial" w:eastAsia="Arial" w:hAnsi="Arial"/>
                  <w:sz w:val="18"/>
                  <w:szCs w:val="18"/>
                  <w:b w:val="1"/>
                  <w:bCs w:val="1"/>
                  <w:color w:val="582C83"/>
                </w:rPr>
                <w:t>70</w:t>
              </w:r>
            </w:hyperlink>
          </w:p>
        </w:tc>
      </w:tr>
      <w:tr>
        <w:trPr>
          <w:trHeight w:val="235"/>
        </w:trPr>
        <w:tc>
          <w:tcPr>
            <w:tcW w:w="4440" w:type="dxa"/>
            <w:vAlign w:val="bottom"/>
          </w:tcPr>
          <w:p>
            <w:pPr>
              <w:spacing w:after="0"/>
              <w:rPr>
                <w:rFonts w:ascii="Arial" w:cs="Arial" w:eastAsia="Arial" w:hAnsi="Arial"/>
                <w:sz w:val="18"/>
                <w:szCs w:val="18"/>
                <w:color w:val="582C83"/>
              </w:rPr>
            </w:pPr>
            <w:hyperlink w:anchor="page74">
              <w:r>
                <w:rPr>
                  <w:rFonts w:ascii="Arial" w:cs="Arial" w:eastAsia="Arial" w:hAnsi="Arial"/>
                  <w:sz w:val="18"/>
                  <w:szCs w:val="18"/>
                  <w:color w:val="582C83"/>
                </w:rPr>
                <w:t>Total Target Compensation Mix</w:t>
              </w:r>
            </w:hyperlink>
          </w:p>
        </w:tc>
        <w:tc>
          <w:tcPr>
            <w:tcW w:w="420" w:type="dxa"/>
            <w:vAlign w:val="bottom"/>
          </w:tcPr>
          <w:p>
            <w:pPr>
              <w:jc w:val="right"/>
              <w:spacing w:after="0"/>
              <w:rPr>
                <w:rFonts w:ascii="Arial" w:cs="Arial" w:eastAsia="Arial" w:hAnsi="Arial"/>
                <w:sz w:val="18"/>
                <w:szCs w:val="18"/>
                <w:color w:val="582C83"/>
              </w:rPr>
            </w:pPr>
            <w:hyperlink w:anchor="page74">
              <w:r>
                <w:rPr>
                  <w:rFonts w:ascii="Arial" w:cs="Arial" w:eastAsia="Arial" w:hAnsi="Arial"/>
                  <w:sz w:val="18"/>
                  <w:szCs w:val="18"/>
                  <w:color w:val="582C83"/>
                </w:rPr>
                <w:t>70</w:t>
              </w:r>
            </w:hyperlink>
          </w:p>
        </w:tc>
      </w:tr>
      <w:tr>
        <w:trPr>
          <w:trHeight w:val="243"/>
        </w:trPr>
        <w:tc>
          <w:tcPr>
            <w:tcW w:w="4440" w:type="dxa"/>
            <w:vAlign w:val="bottom"/>
          </w:tcPr>
          <w:p>
            <w:pPr>
              <w:spacing w:after="0"/>
              <w:rPr>
                <w:rFonts w:ascii="Arial" w:cs="Arial" w:eastAsia="Arial" w:hAnsi="Arial"/>
                <w:sz w:val="18"/>
                <w:szCs w:val="18"/>
                <w:color w:val="582C83"/>
              </w:rPr>
            </w:pPr>
            <w:hyperlink w:anchor="page74">
              <w:r>
                <w:rPr>
                  <w:rFonts w:ascii="Arial" w:cs="Arial" w:eastAsia="Arial" w:hAnsi="Arial"/>
                  <w:sz w:val="18"/>
                  <w:szCs w:val="18"/>
                  <w:color w:val="582C83"/>
                </w:rPr>
                <w:t>Elements of Compensation</w:t>
              </w:r>
            </w:hyperlink>
          </w:p>
        </w:tc>
        <w:tc>
          <w:tcPr>
            <w:tcW w:w="420" w:type="dxa"/>
            <w:vAlign w:val="bottom"/>
          </w:tcPr>
          <w:p>
            <w:pPr>
              <w:jc w:val="right"/>
              <w:spacing w:after="0"/>
              <w:rPr>
                <w:rFonts w:ascii="Arial" w:cs="Arial" w:eastAsia="Arial" w:hAnsi="Arial"/>
                <w:sz w:val="18"/>
                <w:szCs w:val="18"/>
                <w:color w:val="582C83"/>
              </w:rPr>
            </w:pPr>
            <w:hyperlink w:anchor="page74">
              <w:r>
                <w:rPr>
                  <w:rFonts w:ascii="Arial" w:cs="Arial" w:eastAsia="Arial" w:hAnsi="Arial"/>
                  <w:sz w:val="18"/>
                  <w:szCs w:val="18"/>
                  <w:color w:val="582C83"/>
                </w:rPr>
                <w:t>70</w:t>
              </w:r>
            </w:hyperlink>
          </w:p>
        </w:tc>
      </w:tr>
      <w:tr>
        <w:trPr>
          <w:trHeight w:val="243"/>
        </w:trPr>
        <w:tc>
          <w:tcPr>
            <w:tcW w:w="4440" w:type="dxa"/>
            <w:vAlign w:val="bottom"/>
          </w:tcPr>
          <w:p>
            <w:pPr>
              <w:spacing w:after="0"/>
              <w:rPr>
                <w:rFonts w:ascii="Arial" w:cs="Arial" w:eastAsia="Arial" w:hAnsi="Arial"/>
                <w:sz w:val="18"/>
                <w:szCs w:val="18"/>
                <w:color w:val="582C83"/>
              </w:rPr>
            </w:pPr>
            <w:hyperlink w:anchor="page88">
              <w:r>
                <w:rPr>
                  <w:rFonts w:ascii="Arial" w:cs="Arial" w:eastAsia="Arial" w:hAnsi="Arial"/>
                  <w:sz w:val="18"/>
                  <w:szCs w:val="18"/>
                  <w:color w:val="582C83"/>
                </w:rPr>
                <w:t>How Compensation Decisions are Made</w:t>
              </w:r>
            </w:hyperlink>
          </w:p>
        </w:tc>
        <w:tc>
          <w:tcPr>
            <w:tcW w:w="420" w:type="dxa"/>
            <w:vAlign w:val="bottom"/>
          </w:tcPr>
          <w:p>
            <w:pPr>
              <w:jc w:val="right"/>
              <w:spacing w:after="0"/>
              <w:rPr>
                <w:rFonts w:ascii="Arial" w:cs="Arial" w:eastAsia="Arial" w:hAnsi="Arial"/>
                <w:sz w:val="18"/>
                <w:szCs w:val="18"/>
                <w:color w:val="582C83"/>
              </w:rPr>
            </w:pPr>
            <w:hyperlink w:anchor="page88">
              <w:r>
                <w:rPr>
                  <w:rFonts w:ascii="Arial" w:cs="Arial" w:eastAsia="Arial" w:hAnsi="Arial"/>
                  <w:sz w:val="18"/>
                  <w:szCs w:val="18"/>
                  <w:color w:val="582C83"/>
                </w:rPr>
                <w:t>84</w:t>
              </w:r>
            </w:hyperlink>
          </w:p>
        </w:tc>
      </w:tr>
      <w:tr>
        <w:trPr>
          <w:trHeight w:val="251"/>
        </w:trPr>
        <w:tc>
          <w:tcPr>
            <w:tcW w:w="4440" w:type="dxa"/>
            <w:vAlign w:val="bottom"/>
          </w:tcPr>
          <w:p>
            <w:pPr>
              <w:spacing w:after="0"/>
              <w:rPr>
                <w:rFonts w:ascii="Arial" w:cs="Arial" w:eastAsia="Arial" w:hAnsi="Arial"/>
                <w:sz w:val="18"/>
                <w:szCs w:val="18"/>
                <w:b w:val="1"/>
                <w:bCs w:val="1"/>
                <w:color w:val="582C83"/>
              </w:rPr>
            </w:pPr>
            <w:hyperlink w:anchor="page91">
              <w:r>
                <w:rPr>
                  <w:rFonts w:ascii="Arial" w:cs="Arial" w:eastAsia="Arial" w:hAnsi="Arial"/>
                  <w:sz w:val="18"/>
                  <w:szCs w:val="18"/>
                  <w:b w:val="1"/>
                  <w:bCs w:val="1"/>
                  <w:color w:val="582C83"/>
                </w:rPr>
                <w:t>Compensation Governance</w:t>
              </w:r>
            </w:hyperlink>
          </w:p>
        </w:tc>
        <w:tc>
          <w:tcPr>
            <w:tcW w:w="420" w:type="dxa"/>
            <w:vAlign w:val="bottom"/>
          </w:tcPr>
          <w:p>
            <w:pPr>
              <w:jc w:val="right"/>
              <w:spacing w:after="0"/>
              <w:rPr>
                <w:rFonts w:ascii="Arial" w:cs="Arial" w:eastAsia="Arial" w:hAnsi="Arial"/>
                <w:sz w:val="18"/>
                <w:szCs w:val="18"/>
                <w:b w:val="1"/>
                <w:bCs w:val="1"/>
                <w:color w:val="582C83"/>
              </w:rPr>
            </w:pPr>
            <w:hyperlink w:anchor="page91">
              <w:r>
                <w:rPr>
                  <w:rFonts w:ascii="Arial" w:cs="Arial" w:eastAsia="Arial" w:hAnsi="Arial"/>
                  <w:sz w:val="18"/>
                  <w:szCs w:val="18"/>
                  <w:b w:val="1"/>
                  <w:bCs w:val="1"/>
                  <w:color w:val="582C83"/>
                </w:rPr>
                <w:t>87</w:t>
              </w:r>
            </w:hyperlink>
          </w:p>
        </w:tc>
      </w:tr>
    </w:tbl>
    <w:p>
      <w:pPr>
        <w:spacing w:after="0" w:line="200" w:lineRule="exact"/>
        <w:rPr>
          <w:sz w:val="20"/>
          <w:szCs w:val="20"/>
          <w:color w:val="auto"/>
        </w:rPr>
      </w:pPr>
    </w:p>
    <w:p>
      <w:pPr>
        <w:sectPr>
          <w:pgSz w:w="11900" w:h="16838" w:orient="portrait"/>
          <w:cols w:equalWidth="0" w:num="2">
            <w:col w:w="5120" w:space="720"/>
            <w:col w:w="5400"/>
          </w:cols>
          <w:pgMar w:left="320" w:top="130"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360" w:right="480"/>
        <w:spacing w:after="0"/>
        <w:rPr>
          <w:sz w:val="20"/>
          <w:szCs w:val="20"/>
          <w:color w:val="auto"/>
        </w:rPr>
      </w:pPr>
      <w:r>
        <w:rPr>
          <w:rFonts w:ascii="Arial" w:cs="Arial" w:eastAsia="Arial" w:hAnsi="Arial"/>
          <w:sz w:val="22"/>
          <w:szCs w:val="22"/>
          <w:color w:val="auto"/>
        </w:rPr>
        <w:t>This CD&amp;A details our alignment of pay with financial and strategic performance, outlines our shareholder outreach, provides an overview of compensation program design changes made for 2021, explains the guiding principles and practices upon which our executive compensation program is based and describes the compensation paid to our 2021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154305</wp:posOffset>
            </wp:positionV>
            <wp:extent cx="4894580" cy="8489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9458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20" w:type="dxa"/>
        <w:tblCellMar>
          <w:top w:w="0" w:type="dxa"/>
          <w:left w:w="0" w:type="dxa"/>
          <w:bottom w:w="0" w:type="dxa"/>
          <w:right w:w="0" w:type="dxa"/>
        </w:tblCellMar>
      </w:tblPr>
      <w:tr>
        <w:trPr>
          <w:trHeight w:val="259"/>
        </w:trPr>
        <w:tc>
          <w:tcPr>
            <w:tcW w:w="2060" w:type="dxa"/>
            <w:vAlign w:val="bottom"/>
          </w:tcPr>
          <w:p>
            <w:pPr>
              <w:jc w:val="center"/>
              <w:ind w:right="26"/>
              <w:spacing w:after="0"/>
              <w:rPr>
                <w:sz w:val="20"/>
                <w:szCs w:val="20"/>
                <w:color w:val="auto"/>
              </w:rPr>
            </w:pPr>
            <w:r>
              <w:rPr>
                <w:rFonts w:ascii="Arial" w:cs="Arial" w:eastAsia="Arial" w:hAnsi="Arial"/>
                <w:sz w:val="19"/>
                <w:szCs w:val="19"/>
                <w:b w:val="1"/>
                <w:bCs w:val="1"/>
                <w:color w:val="auto"/>
                <w:w w:val="98"/>
              </w:rPr>
              <w:t>Dirk Van de Put</w:t>
            </w:r>
          </w:p>
        </w:tc>
        <w:tc>
          <w:tcPr>
            <w:tcW w:w="1900" w:type="dxa"/>
            <w:vAlign w:val="bottom"/>
          </w:tcPr>
          <w:p>
            <w:pPr>
              <w:jc w:val="center"/>
              <w:spacing w:after="0"/>
              <w:rPr>
                <w:sz w:val="20"/>
                <w:szCs w:val="20"/>
                <w:color w:val="auto"/>
              </w:rPr>
            </w:pPr>
            <w:r>
              <w:rPr>
                <w:rFonts w:ascii="Arial" w:cs="Arial" w:eastAsia="Arial" w:hAnsi="Arial"/>
                <w:sz w:val="19"/>
                <w:szCs w:val="19"/>
                <w:b w:val="1"/>
                <w:bCs w:val="1"/>
                <w:color w:val="auto"/>
                <w:w w:val="99"/>
              </w:rPr>
              <w:t>Luca Zaramella</w:t>
            </w:r>
          </w:p>
        </w:tc>
        <w:tc>
          <w:tcPr>
            <w:tcW w:w="2460" w:type="dxa"/>
            <w:vAlign w:val="bottom"/>
          </w:tcPr>
          <w:p>
            <w:pPr>
              <w:jc w:val="center"/>
              <w:spacing w:after="0"/>
              <w:rPr>
                <w:sz w:val="20"/>
                <w:szCs w:val="20"/>
                <w:color w:val="auto"/>
              </w:rPr>
            </w:pPr>
            <w:r>
              <w:rPr>
                <w:rFonts w:ascii="Arial" w:cs="Arial" w:eastAsia="Arial" w:hAnsi="Arial"/>
                <w:sz w:val="19"/>
                <w:szCs w:val="19"/>
                <w:b w:val="1"/>
                <w:bCs w:val="1"/>
                <w:color w:val="auto"/>
                <w:w w:val="98"/>
              </w:rPr>
              <w:t>Maurizio Brusadelli</w:t>
            </w:r>
          </w:p>
        </w:tc>
        <w:tc>
          <w:tcPr>
            <w:tcW w:w="1740" w:type="dxa"/>
            <w:vAlign w:val="bottom"/>
          </w:tcPr>
          <w:p>
            <w:pPr>
              <w:jc w:val="center"/>
              <w:spacing w:after="0"/>
              <w:rPr>
                <w:sz w:val="20"/>
                <w:szCs w:val="20"/>
                <w:color w:val="auto"/>
              </w:rPr>
            </w:pPr>
            <w:r>
              <w:rPr>
                <w:rFonts w:ascii="Arial" w:cs="Arial" w:eastAsia="Arial" w:hAnsi="Arial"/>
                <w:sz w:val="19"/>
                <w:szCs w:val="19"/>
                <w:b w:val="1"/>
                <w:bCs w:val="1"/>
                <w:color w:val="auto"/>
                <w:w w:val="98"/>
              </w:rPr>
              <w:t>Vinzenz Gruber</w:t>
            </w:r>
          </w:p>
        </w:tc>
        <w:tc>
          <w:tcPr>
            <w:tcW w:w="2300" w:type="dxa"/>
            <w:vAlign w:val="bottom"/>
          </w:tcPr>
          <w:p>
            <w:pPr>
              <w:jc w:val="center"/>
              <w:ind w:left="86"/>
              <w:spacing w:after="0"/>
              <w:rPr>
                <w:sz w:val="20"/>
                <w:szCs w:val="20"/>
                <w:color w:val="auto"/>
              </w:rPr>
            </w:pPr>
            <w:r>
              <w:rPr>
                <w:rFonts w:ascii="Arial" w:cs="Arial" w:eastAsia="Arial" w:hAnsi="Arial"/>
                <w:sz w:val="19"/>
                <w:szCs w:val="19"/>
                <w:b w:val="1"/>
                <w:bCs w:val="1"/>
                <w:color w:val="auto"/>
              </w:rPr>
              <w:t>Laura Stein</w:t>
            </w:r>
          </w:p>
        </w:tc>
      </w:tr>
      <w:tr>
        <w:trPr>
          <w:trHeight w:val="247"/>
        </w:trPr>
        <w:tc>
          <w:tcPr>
            <w:tcW w:w="2060" w:type="dxa"/>
            <w:vAlign w:val="bottom"/>
          </w:tcPr>
          <w:p>
            <w:pPr>
              <w:jc w:val="center"/>
              <w:ind w:right="26"/>
              <w:spacing w:after="0"/>
              <w:rPr>
                <w:sz w:val="20"/>
                <w:szCs w:val="20"/>
                <w:color w:val="auto"/>
              </w:rPr>
            </w:pPr>
            <w:r>
              <w:rPr>
                <w:rFonts w:ascii="Arial" w:cs="Arial" w:eastAsia="Arial" w:hAnsi="Arial"/>
                <w:sz w:val="19"/>
                <w:szCs w:val="19"/>
                <w:i w:val="1"/>
                <w:iCs w:val="1"/>
                <w:color w:val="auto"/>
                <w:w w:val="98"/>
              </w:rPr>
              <w:t>Chairman and</w:t>
            </w:r>
          </w:p>
        </w:tc>
        <w:tc>
          <w:tcPr>
            <w:tcW w:w="1900" w:type="dxa"/>
            <w:vAlign w:val="bottom"/>
          </w:tcPr>
          <w:p>
            <w:pPr>
              <w:jc w:val="center"/>
              <w:spacing w:after="0"/>
              <w:rPr>
                <w:sz w:val="20"/>
                <w:szCs w:val="20"/>
                <w:color w:val="auto"/>
              </w:rPr>
            </w:pPr>
            <w:r>
              <w:rPr>
                <w:rFonts w:ascii="Arial" w:cs="Arial" w:eastAsia="Arial" w:hAnsi="Arial"/>
                <w:sz w:val="19"/>
                <w:szCs w:val="19"/>
                <w:i w:val="1"/>
                <w:iCs w:val="1"/>
                <w:color w:val="auto"/>
                <w:w w:val="99"/>
              </w:rPr>
              <w:t>Executive Vice</w:t>
            </w:r>
          </w:p>
        </w:tc>
        <w:tc>
          <w:tcPr>
            <w:tcW w:w="2460" w:type="dxa"/>
            <w:vAlign w:val="bottom"/>
          </w:tcPr>
          <w:p>
            <w:pPr>
              <w:jc w:val="center"/>
              <w:spacing w:after="0"/>
              <w:rPr>
                <w:sz w:val="20"/>
                <w:szCs w:val="20"/>
                <w:color w:val="auto"/>
              </w:rPr>
            </w:pPr>
            <w:r>
              <w:rPr>
                <w:rFonts w:ascii="Arial" w:cs="Arial" w:eastAsia="Arial" w:hAnsi="Arial"/>
                <w:sz w:val="19"/>
                <w:szCs w:val="19"/>
                <w:i w:val="1"/>
                <w:iCs w:val="1"/>
                <w:color w:val="auto"/>
                <w:w w:val="99"/>
              </w:rPr>
              <w:t>Executive Vice</w:t>
            </w:r>
          </w:p>
        </w:tc>
        <w:tc>
          <w:tcPr>
            <w:tcW w:w="1740" w:type="dxa"/>
            <w:vAlign w:val="bottom"/>
          </w:tcPr>
          <w:p>
            <w:pPr>
              <w:jc w:val="center"/>
              <w:spacing w:after="0"/>
              <w:rPr>
                <w:sz w:val="20"/>
                <w:szCs w:val="20"/>
                <w:color w:val="auto"/>
              </w:rPr>
            </w:pPr>
            <w:r>
              <w:rPr>
                <w:rFonts w:ascii="Arial" w:cs="Arial" w:eastAsia="Arial" w:hAnsi="Arial"/>
                <w:sz w:val="19"/>
                <w:szCs w:val="19"/>
                <w:i w:val="1"/>
                <w:iCs w:val="1"/>
                <w:color w:val="auto"/>
                <w:w w:val="97"/>
              </w:rPr>
              <w:t>Executive Vice</w:t>
            </w:r>
          </w:p>
        </w:tc>
        <w:tc>
          <w:tcPr>
            <w:tcW w:w="2300" w:type="dxa"/>
            <w:vAlign w:val="bottom"/>
          </w:tcPr>
          <w:p>
            <w:pPr>
              <w:jc w:val="center"/>
              <w:ind w:left="86"/>
              <w:spacing w:after="0"/>
              <w:rPr>
                <w:sz w:val="20"/>
                <w:szCs w:val="20"/>
                <w:color w:val="auto"/>
              </w:rPr>
            </w:pPr>
            <w:r>
              <w:rPr>
                <w:rFonts w:ascii="Arial" w:cs="Arial" w:eastAsia="Arial" w:hAnsi="Arial"/>
                <w:sz w:val="19"/>
                <w:szCs w:val="19"/>
                <w:i w:val="1"/>
                <w:iCs w:val="1"/>
                <w:color w:val="auto"/>
                <w:w w:val="99"/>
              </w:rPr>
              <w:t>Executive Vice</w:t>
            </w:r>
          </w:p>
        </w:tc>
      </w:tr>
      <w:tr>
        <w:trPr>
          <w:trHeight w:val="256"/>
        </w:trPr>
        <w:tc>
          <w:tcPr>
            <w:tcW w:w="2060" w:type="dxa"/>
            <w:vAlign w:val="bottom"/>
          </w:tcPr>
          <w:p>
            <w:pPr>
              <w:jc w:val="center"/>
              <w:ind w:right="46"/>
              <w:spacing w:after="0"/>
              <w:rPr>
                <w:sz w:val="20"/>
                <w:szCs w:val="20"/>
                <w:color w:val="auto"/>
              </w:rPr>
            </w:pPr>
            <w:r>
              <w:rPr>
                <w:rFonts w:ascii="Arial" w:cs="Arial" w:eastAsia="Arial" w:hAnsi="Arial"/>
                <w:sz w:val="19"/>
                <w:szCs w:val="19"/>
                <w:i w:val="1"/>
                <w:iCs w:val="1"/>
                <w:color w:val="auto"/>
                <w:w w:val="99"/>
              </w:rPr>
              <w:t>Chief Executive Officer</w:t>
            </w:r>
          </w:p>
        </w:tc>
        <w:tc>
          <w:tcPr>
            <w:tcW w:w="1900" w:type="dxa"/>
            <w:vAlign w:val="bottom"/>
          </w:tcPr>
          <w:p>
            <w:pPr>
              <w:jc w:val="center"/>
              <w:spacing w:after="0"/>
              <w:rPr>
                <w:sz w:val="20"/>
                <w:szCs w:val="20"/>
                <w:color w:val="auto"/>
              </w:rPr>
            </w:pPr>
            <w:r>
              <w:rPr>
                <w:rFonts w:ascii="Arial" w:cs="Arial" w:eastAsia="Arial" w:hAnsi="Arial"/>
                <w:sz w:val="19"/>
                <w:szCs w:val="19"/>
                <w:i w:val="1"/>
                <w:iCs w:val="1"/>
                <w:color w:val="auto"/>
                <w:w w:val="99"/>
              </w:rPr>
              <w:t>President and Chief</w:t>
            </w:r>
          </w:p>
        </w:tc>
        <w:tc>
          <w:tcPr>
            <w:tcW w:w="2460" w:type="dxa"/>
            <w:vAlign w:val="bottom"/>
          </w:tcPr>
          <w:p>
            <w:pPr>
              <w:jc w:val="center"/>
              <w:spacing w:after="0"/>
              <w:rPr>
                <w:sz w:val="20"/>
                <w:szCs w:val="20"/>
                <w:color w:val="auto"/>
              </w:rPr>
            </w:pPr>
            <w:r>
              <w:rPr>
                <w:rFonts w:ascii="Arial" w:cs="Arial" w:eastAsia="Arial" w:hAnsi="Arial"/>
                <w:sz w:val="19"/>
                <w:szCs w:val="19"/>
                <w:i w:val="1"/>
                <w:iCs w:val="1"/>
                <w:color w:val="auto"/>
                <w:w w:val="98"/>
              </w:rPr>
              <w:t>President and</w:t>
            </w:r>
          </w:p>
        </w:tc>
        <w:tc>
          <w:tcPr>
            <w:tcW w:w="1740" w:type="dxa"/>
            <w:vAlign w:val="bottom"/>
          </w:tcPr>
          <w:p>
            <w:pPr>
              <w:jc w:val="center"/>
              <w:spacing w:after="0"/>
              <w:rPr>
                <w:sz w:val="20"/>
                <w:szCs w:val="20"/>
                <w:color w:val="auto"/>
              </w:rPr>
            </w:pPr>
            <w:r>
              <w:rPr>
                <w:rFonts w:ascii="Arial" w:cs="Arial" w:eastAsia="Arial" w:hAnsi="Arial"/>
                <w:sz w:val="19"/>
                <w:szCs w:val="19"/>
                <w:i w:val="1"/>
                <w:iCs w:val="1"/>
                <w:color w:val="auto"/>
              </w:rPr>
              <w:t>President and</w:t>
            </w:r>
          </w:p>
        </w:tc>
        <w:tc>
          <w:tcPr>
            <w:tcW w:w="2300" w:type="dxa"/>
            <w:vAlign w:val="bottom"/>
          </w:tcPr>
          <w:p>
            <w:pPr>
              <w:jc w:val="center"/>
              <w:ind w:left="86"/>
              <w:spacing w:after="0"/>
              <w:rPr>
                <w:sz w:val="20"/>
                <w:szCs w:val="20"/>
                <w:color w:val="auto"/>
              </w:rPr>
            </w:pPr>
            <w:r>
              <w:rPr>
                <w:rFonts w:ascii="Arial" w:cs="Arial" w:eastAsia="Arial" w:hAnsi="Arial"/>
                <w:sz w:val="19"/>
                <w:szCs w:val="19"/>
                <w:i w:val="1"/>
                <w:iCs w:val="1"/>
                <w:color w:val="auto"/>
                <w:w w:val="98"/>
              </w:rPr>
              <w:t>President,</w:t>
            </w:r>
          </w:p>
        </w:tc>
      </w:tr>
      <w:tr>
        <w:trPr>
          <w:trHeight w:val="225"/>
        </w:trPr>
        <w:tc>
          <w:tcPr>
            <w:tcW w:w="20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9"/>
                <w:szCs w:val="19"/>
                <w:i w:val="1"/>
                <w:iCs w:val="1"/>
                <w:color w:val="auto"/>
                <w:w w:val="99"/>
              </w:rPr>
              <w:t>Financial Officer</w:t>
            </w:r>
          </w:p>
        </w:tc>
        <w:tc>
          <w:tcPr>
            <w:tcW w:w="2460" w:type="dxa"/>
            <w:vAlign w:val="bottom"/>
          </w:tcPr>
          <w:p>
            <w:pPr>
              <w:jc w:val="center"/>
              <w:spacing w:after="0"/>
              <w:rPr>
                <w:sz w:val="20"/>
                <w:szCs w:val="20"/>
                <w:color w:val="auto"/>
              </w:rPr>
            </w:pPr>
            <w:r>
              <w:rPr>
                <w:rFonts w:ascii="Arial" w:cs="Arial" w:eastAsia="Arial" w:hAnsi="Arial"/>
                <w:sz w:val="19"/>
                <w:szCs w:val="19"/>
                <w:i w:val="1"/>
                <w:iCs w:val="1"/>
                <w:color w:val="auto"/>
                <w:w w:val="98"/>
              </w:rPr>
              <w:t>President,</w:t>
            </w:r>
          </w:p>
        </w:tc>
        <w:tc>
          <w:tcPr>
            <w:tcW w:w="1740" w:type="dxa"/>
            <w:vAlign w:val="bottom"/>
          </w:tcPr>
          <w:p>
            <w:pPr>
              <w:jc w:val="center"/>
              <w:spacing w:after="0"/>
              <w:rPr>
                <w:sz w:val="20"/>
                <w:szCs w:val="20"/>
                <w:color w:val="auto"/>
              </w:rPr>
            </w:pPr>
            <w:r>
              <w:rPr>
                <w:rFonts w:ascii="Arial" w:cs="Arial" w:eastAsia="Arial" w:hAnsi="Arial"/>
                <w:sz w:val="19"/>
                <w:szCs w:val="19"/>
                <w:i w:val="1"/>
                <w:iCs w:val="1"/>
                <w:color w:val="auto"/>
              </w:rPr>
              <w:t>President,</w:t>
            </w:r>
          </w:p>
        </w:tc>
        <w:tc>
          <w:tcPr>
            <w:tcW w:w="2300" w:type="dxa"/>
            <w:vAlign w:val="bottom"/>
          </w:tcPr>
          <w:p>
            <w:pPr>
              <w:jc w:val="center"/>
              <w:ind w:left="86"/>
              <w:spacing w:after="0"/>
              <w:rPr>
                <w:sz w:val="20"/>
                <w:szCs w:val="20"/>
                <w:color w:val="auto"/>
              </w:rPr>
            </w:pPr>
            <w:r>
              <w:rPr>
                <w:rFonts w:ascii="Arial" w:cs="Arial" w:eastAsia="Arial" w:hAnsi="Arial"/>
                <w:sz w:val="19"/>
                <w:szCs w:val="19"/>
                <w:i w:val="1"/>
                <w:iCs w:val="1"/>
                <w:color w:val="auto"/>
                <w:w w:val="99"/>
              </w:rPr>
              <w:t>Corporate &amp; Legal Affairs</w:t>
            </w:r>
          </w:p>
        </w:tc>
      </w:tr>
      <w:tr>
        <w:trPr>
          <w:trHeight w:val="255"/>
        </w:trPr>
        <w:tc>
          <w:tcPr>
            <w:tcW w:w="20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460" w:type="dxa"/>
            <w:vAlign w:val="bottom"/>
          </w:tcPr>
          <w:p>
            <w:pPr>
              <w:jc w:val="center"/>
              <w:spacing w:after="0"/>
              <w:rPr>
                <w:sz w:val="20"/>
                <w:szCs w:val="20"/>
                <w:color w:val="auto"/>
              </w:rPr>
            </w:pPr>
            <w:r>
              <w:rPr>
                <w:rFonts w:ascii="Arial" w:cs="Arial" w:eastAsia="Arial" w:hAnsi="Arial"/>
                <w:sz w:val="19"/>
                <w:szCs w:val="19"/>
                <w:i w:val="1"/>
                <w:iCs w:val="1"/>
                <w:color w:val="auto"/>
                <w:w w:val="98"/>
              </w:rPr>
              <w:t>Asia, Middle East &amp; Africa</w:t>
            </w:r>
          </w:p>
        </w:tc>
        <w:tc>
          <w:tcPr>
            <w:tcW w:w="1740" w:type="dxa"/>
            <w:vAlign w:val="bottom"/>
          </w:tcPr>
          <w:p>
            <w:pPr>
              <w:jc w:val="center"/>
              <w:spacing w:after="0"/>
              <w:rPr>
                <w:sz w:val="20"/>
                <w:szCs w:val="20"/>
                <w:color w:val="auto"/>
              </w:rPr>
            </w:pPr>
            <w:r>
              <w:rPr>
                <w:rFonts w:ascii="Arial" w:cs="Arial" w:eastAsia="Arial" w:hAnsi="Arial"/>
                <w:sz w:val="19"/>
                <w:szCs w:val="19"/>
                <w:i w:val="1"/>
                <w:iCs w:val="1"/>
                <w:color w:val="auto"/>
              </w:rPr>
              <w:t>Europe</w:t>
            </w:r>
          </w:p>
        </w:tc>
        <w:tc>
          <w:tcPr>
            <w:tcW w:w="2300" w:type="dxa"/>
            <w:vAlign w:val="bottom"/>
          </w:tcPr>
          <w:p>
            <w:pPr>
              <w:jc w:val="center"/>
              <w:ind w:left="66"/>
              <w:spacing w:after="0"/>
              <w:rPr>
                <w:sz w:val="20"/>
                <w:szCs w:val="20"/>
                <w:color w:val="auto"/>
              </w:rPr>
            </w:pPr>
            <w:r>
              <w:rPr>
                <w:rFonts w:ascii="Arial" w:cs="Arial" w:eastAsia="Arial" w:hAnsi="Arial"/>
                <w:sz w:val="19"/>
                <w:szCs w:val="19"/>
                <w:i w:val="1"/>
                <w:iCs w:val="1"/>
                <w:color w:val="auto"/>
                <w:w w:val="99"/>
              </w:rPr>
              <w:t>and General Counsel</w:t>
            </w:r>
          </w:p>
        </w:tc>
      </w:tr>
      <w:tr>
        <w:trPr>
          <w:trHeight w:val="249"/>
        </w:trPr>
        <w:tc>
          <w:tcPr>
            <w:tcW w:w="20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9"/>
                <w:szCs w:val="19"/>
                <w:color w:val="auto"/>
              </w:rPr>
              <w:t>(“AMEA”)</w:t>
            </w:r>
          </w:p>
        </w:tc>
        <w:tc>
          <w:tcPr>
            <w:tcW w:w="1740" w:type="dxa"/>
            <w:vAlign w:val="bottom"/>
          </w:tcPr>
          <w:p>
            <w:pPr>
              <w:spacing w:after="0"/>
              <w:rPr>
                <w:sz w:val="21"/>
                <w:szCs w:val="21"/>
                <w:color w:val="auto"/>
              </w:rPr>
            </w:pPr>
          </w:p>
        </w:tc>
        <w:tc>
          <w:tcPr>
            <w:tcW w:w="2300" w:type="dxa"/>
            <w:vAlign w:val="bottom"/>
          </w:tcPr>
          <w:p>
            <w:pPr>
              <w:spacing w:after="0"/>
              <w:rPr>
                <w:sz w:val="21"/>
                <w:szCs w:val="21"/>
                <w:color w:val="auto"/>
              </w:rPr>
            </w:pPr>
          </w:p>
        </w:tc>
      </w:tr>
    </w:tbl>
    <w:p>
      <w:pPr>
        <w:ind w:left="340"/>
        <w:spacing w:after="0"/>
        <w:rPr>
          <w:sz w:val="20"/>
          <w:szCs w:val="20"/>
          <w:color w:val="auto"/>
        </w:rPr>
      </w:pPr>
      <w:r>
        <w:rPr>
          <w:sz w:val="1"/>
          <w:szCs w:val="1"/>
          <w:color w:val="auto"/>
        </w:rPr>
        <w:drawing>
          <wp:inline distT="0" distB="0" distL="0" distR="0">
            <wp:extent cx="171450" cy="17145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Executive Summary</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582C83"/>
        </w:rPr>
        <w:t>OUR GROWTH STRATEGY</w:t>
      </w:r>
    </w:p>
    <w:p>
      <w:pPr>
        <w:spacing w:after="0" w:line="103" w:lineRule="exact"/>
        <w:rPr>
          <w:sz w:val="20"/>
          <w:szCs w:val="20"/>
          <w:color w:val="auto"/>
        </w:rPr>
      </w:pPr>
    </w:p>
    <w:p>
      <w:pPr>
        <w:ind w:left="360" w:right="400"/>
        <w:spacing w:after="0" w:line="236" w:lineRule="auto"/>
        <w:rPr>
          <w:sz w:val="20"/>
          <w:szCs w:val="20"/>
          <w:color w:val="auto"/>
        </w:rPr>
      </w:pPr>
      <w:r>
        <w:rPr>
          <w:rFonts w:ascii="Arial" w:cs="Arial" w:eastAsia="Arial" w:hAnsi="Arial"/>
          <w:sz w:val="22"/>
          <w:szCs w:val="22"/>
          <w:color w:val="auto"/>
        </w:rPr>
        <w:t>We continue to make significant progress against the strategy we launched in 2018. We are closer to our consumers and have substantially increased investments in our brands, capabilities and people. These efforts are reflected in our financial results. Over the past four years we have seen a marked increase in our top-line growth, gross profit dollar growth and cash flow generation. We believe our current momentum, superior brand portfolio, advantaged geographic and category exposure, expanded ESG agenda and ability to refine our portfolio will position us well to create continued value for shareholders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The three pillars of our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130810</wp:posOffset>
            </wp:positionV>
            <wp:extent cx="6858000" cy="21259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Our reward structure continues to be tightly aligned with our strategy, using incentive plan metrics that are intended to drive high quality results such as volume and market share-driven growth, operational excellence, and a winning growth culture with a “local first” commercial approach.</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PERFORMANCE OVERVIEW</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color w:val="auto"/>
        </w:rPr>
        <w:t>Our 2021 performance demonstrates that our strategic priorities and long-term strategy are working. Year-over-year highlights of our 2021 performance, which reflects the impact of COVID-19,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98425</wp:posOffset>
            </wp:positionV>
            <wp:extent cx="6120765" cy="24257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2076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See definitions of these measures and GAAP to non-GAAP reconciliations in Annex A.</w:t>
      </w:r>
    </w:p>
    <w:p>
      <w:pPr>
        <w:spacing w:after="0" w:line="179"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Our results continue to demonstrate the power of our brands, the strength of our global footprint and the potential of our strategic plan. Since Mr. Van de Put assumed the CEO role in November 2017 and developed and implemented our new strategy, as well as over the past three years and the past year, our Total Shareholder Return (“TSR”) performance has outpaced most of our industry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Annualized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311785</wp:posOffset>
            </wp:positionV>
            <wp:extent cx="6120765" cy="16802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2076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We also announced an 11% dividend per share increase in the second quarter of 2021 and returned $3.9 billion of capital to shareholders during the year while continuing to make significant investments in our business. All of this was made possible through our strong cash flow results, with net cash provided by operating activities generating $4.1 billion, resulting in Free Cash Flow of $3.2 billion for 2021. See definition of Free Cash Flow and GAAP to non-GAAP reconciliation in Annex A.</w:t>
      </w: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OVERVIEW OF PAY ELEMENTS</w:t>
      </w:r>
    </w:p>
    <w:p>
      <w:pPr>
        <w:spacing w:after="0" w:line="10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This table identifies and describes the primary elements of the 2021 executive compensation program for our NEOs, including the alignment of each incentive plan metric with our strategy. A more detailed discussion, including definitions of the financial measures used in our AIP and PSU grants, can be found later in this CD&amp;A and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111760</wp:posOffset>
            </wp:positionV>
            <wp:extent cx="6094730" cy="32746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9473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tab/>
        <w:t>Based on nine KPI goals including ESG goals. See Strategic KPI Objectives on page 75 for detail on 2021 KPI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136130" cy="9728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6130" cy="97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582C83"/>
        </w:rPr>
        <w:t>2021 COMPENSATION PROGRAM DESIGN CHANGES</w:t>
      </w:r>
    </w:p>
    <w:p>
      <w:pPr>
        <w:spacing w:after="0" w:line="103" w:lineRule="exact"/>
        <w:rPr>
          <w:sz w:val="20"/>
          <w:szCs w:val="20"/>
          <w:color w:val="auto"/>
        </w:rPr>
      </w:pPr>
    </w:p>
    <w:p>
      <w:pPr>
        <w:ind w:left="20" w:right="280"/>
        <w:spacing w:after="0" w:line="245" w:lineRule="auto"/>
        <w:rPr>
          <w:sz w:val="20"/>
          <w:szCs w:val="20"/>
          <w:color w:val="auto"/>
        </w:rPr>
      </w:pPr>
      <w:r>
        <w:rPr>
          <w:rFonts w:ascii="Arial" w:cs="Arial" w:eastAsia="Arial" w:hAnsi="Arial"/>
          <w:sz w:val="22"/>
          <w:szCs w:val="22"/>
          <w:color w:val="auto"/>
        </w:rPr>
        <w:t>We did not make any material changes in our 2021 design relative to our design in 2020, including changes as a result of the COVID-19 pandemic. Our program remains aligned with our business strategy and continues to reflect shareholder feedback.</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EXECUTIVE COMPENSATION GOALS AND DESIGN PRINCIPLES</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22"/>
          <w:szCs w:val="22"/>
          <w:color w:val="auto"/>
        </w:rPr>
        <w:t>The People and Compensation Committee oversees our executive compensation program focusing on the following primary goals:</w:t>
      </w:r>
    </w:p>
    <w:p>
      <w:pPr>
        <w:spacing w:after="0" w:line="48"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22"/>
          <w:szCs w:val="22"/>
          <w:color w:val="582C83"/>
        </w:rPr>
      </w:pPr>
      <w:r>
        <w:rPr>
          <w:rFonts w:ascii="Arial" w:cs="Arial" w:eastAsia="Arial" w:hAnsi="Arial"/>
          <w:sz w:val="22"/>
          <w:szCs w:val="22"/>
          <w:color w:val="auto"/>
        </w:rPr>
        <w:t>Attract, retain and motivate talented executives and develop world-class business leaders;</w:t>
      </w:r>
    </w:p>
    <w:p>
      <w:pPr>
        <w:spacing w:after="0" w:line="98" w:lineRule="exact"/>
        <w:rPr>
          <w:rFonts w:ascii="Arial" w:cs="Arial" w:eastAsia="Arial" w:hAnsi="Arial"/>
          <w:sz w:val="22"/>
          <w:szCs w:val="22"/>
          <w:color w:val="582C83"/>
        </w:rPr>
      </w:pPr>
    </w:p>
    <w:p>
      <w:pPr>
        <w:ind w:left="360" w:hanging="352"/>
        <w:spacing w:after="0"/>
        <w:tabs>
          <w:tab w:leader="none" w:pos="360" w:val="left"/>
        </w:tabs>
        <w:numPr>
          <w:ilvl w:val="0"/>
          <w:numId w:val="56"/>
        </w:numPr>
        <w:rPr>
          <w:rFonts w:ascii="Arial" w:cs="Arial" w:eastAsia="Arial" w:hAnsi="Arial"/>
          <w:sz w:val="22"/>
          <w:szCs w:val="22"/>
          <w:color w:val="582C83"/>
        </w:rPr>
      </w:pPr>
      <w:r>
        <w:rPr>
          <w:rFonts w:ascii="Arial" w:cs="Arial" w:eastAsia="Arial" w:hAnsi="Arial"/>
          <w:sz w:val="22"/>
          <w:szCs w:val="22"/>
          <w:color w:val="auto"/>
        </w:rPr>
        <w:t>Support business strategies that promote superior long-term shareholder returns;</w:t>
      </w:r>
    </w:p>
    <w:p>
      <w:pPr>
        <w:spacing w:after="0" w:line="98" w:lineRule="exact"/>
        <w:rPr>
          <w:rFonts w:ascii="Arial" w:cs="Arial" w:eastAsia="Arial" w:hAnsi="Arial"/>
          <w:sz w:val="22"/>
          <w:szCs w:val="22"/>
          <w:color w:val="582C83"/>
        </w:rPr>
      </w:pPr>
    </w:p>
    <w:p>
      <w:pPr>
        <w:ind w:left="360" w:right="820" w:hanging="352"/>
        <w:spacing w:after="0" w:line="259" w:lineRule="auto"/>
        <w:tabs>
          <w:tab w:leader="none" w:pos="360" w:val="left"/>
        </w:tabs>
        <w:numPr>
          <w:ilvl w:val="0"/>
          <w:numId w:val="56"/>
        </w:numPr>
        <w:rPr>
          <w:rFonts w:ascii="Arial" w:cs="Arial" w:eastAsia="Arial" w:hAnsi="Arial"/>
          <w:sz w:val="22"/>
          <w:szCs w:val="22"/>
          <w:color w:val="582C83"/>
        </w:rPr>
      </w:pPr>
      <w:r>
        <w:rPr>
          <w:rFonts w:ascii="Arial" w:cs="Arial" w:eastAsia="Arial" w:hAnsi="Arial"/>
          <w:sz w:val="22"/>
          <w:szCs w:val="22"/>
          <w:color w:val="auto"/>
        </w:rPr>
        <w:t>Align pay and performance by making a significant portion of our executives’ compensation dependent on achieving financial and other critical strategic and individual goals; and</w:t>
      </w:r>
    </w:p>
    <w:p>
      <w:pPr>
        <w:spacing w:after="0" w:line="48" w:lineRule="exact"/>
        <w:rPr>
          <w:rFonts w:ascii="Arial" w:cs="Arial" w:eastAsia="Arial" w:hAnsi="Arial"/>
          <w:sz w:val="22"/>
          <w:szCs w:val="22"/>
          <w:color w:val="582C83"/>
        </w:rPr>
      </w:pPr>
    </w:p>
    <w:p>
      <w:pPr>
        <w:ind w:left="360" w:right="580" w:hanging="352"/>
        <w:spacing w:after="0" w:line="259" w:lineRule="auto"/>
        <w:tabs>
          <w:tab w:leader="none" w:pos="360" w:val="left"/>
        </w:tabs>
        <w:numPr>
          <w:ilvl w:val="0"/>
          <w:numId w:val="56"/>
        </w:numPr>
        <w:rPr>
          <w:rFonts w:ascii="Arial" w:cs="Arial" w:eastAsia="Arial" w:hAnsi="Arial"/>
          <w:sz w:val="22"/>
          <w:szCs w:val="22"/>
          <w:color w:val="582C83"/>
        </w:rPr>
      </w:pPr>
      <w:r>
        <w:rPr>
          <w:rFonts w:ascii="Arial" w:cs="Arial" w:eastAsia="Arial" w:hAnsi="Arial"/>
          <w:sz w:val="22"/>
          <w:szCs w:val="22"/>
          <w:color w:val="auto"/>
        </w:rPr>
        <w:t>Align our executives’ and shareholders’ interests through equity-based incentive grants and stock ownership requirements that link executive compensation to sustained and superior TSR.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080" w:type="dxa"/>
            <w:vAlign w:val="bottom"/>
          </w:tcPr>
          <w:p>
            <w:pPr>
              <w:spacing w:after="0"/>
              <w:rPr>
                <w:sz w:val="20"/>
                <w:szCs w:val="20"/>
                <w:color w:val="auto"/>
              </w:rPr>
            </w:pPr>
            <w:r>
              <w:rPr>
                <w:rFonts w:ascii="Arial" w:cs="Arial" w:eastAsia="Arial" w:hAnsi="Arial"/>
                <w:sz w:val="22"/>
                <w:szCs w:val="22"/>
                <w:b w:val="1"/>
                <w:bCs w:val="1"/>
                <w:color w:val="auto"/>
              </w:rPr>
              <w:t>Design Principles</w:t>
            </w:r>
          </w:p>
        </w:tc>
        <w:tc>
          <w:tcPr>
            <w:tcW w:w="6180" w:type="dxa"/>
            <w:vAlign w:val="bottom"/>
          </w:tcPr>
          <w:p>
            <w:pPr>
              <w:spacing w:after="0"/>
              <w:rPr>
                <w:sz w:val="24"/>
                <w:szCs w:val="24"/>
                <w:color w:val="auto"/>
              </w:rPr>
            </w:pPr>
          </w:p>
        </w:tc>
      </w:tr>
      <w:tr>
        <w:trPr>
          <w:trHeight w:val="386"/>
        </w:trPr>
        <w:tc>
          <w:tcPr>
            <w:tcW w:w="508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Objective</w:t>
            </w:r>
          </w:p>
        </w:tc>
        <w:tc>
          <w:tcPr>
            <w:tcW w:w="618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How We Accomplish</w:t>
            </w:r>
          </w:p>
        </w:tc>
      </w:tr>
      <w:tr>
        <w:trPr>
          <w:trHeight w:val="271"/>
        </w:trPr>
        <w:tc>
          <w:tcPr>
            <w:tcW w:w="5080" w:type="dxa"/>
            <w:vAlign w:val="bottom"/>
            <w:shd w:val="clear" w:color="auto" w:fill="EBE6F0"/>
          </w:tcPr>
          <w:p>
            <w:pPr>
              <w:ind w:left="80"/>
              <w:spacing w:after="0"/>
              <w:rPr>
                <w:sz w:val="20"/>
                <w:szCs w:val="20"/>
                <w:color w:val="auto"/>
              </w:rPr>
            </w:pPr>
            <w:r>
              <w:rPr>
                <w:rFonts w:ascii="Arial" w:cs="Arial" w:eastAsia="Arial" w:hAnsi="Arial"/>
                <w:sz w:val="22"/>
                <w:szCs w:val="22"/>
                <w:color w:val="auto"/>
              </w:rPr>
              <w:t>Link pay to performance and strategy by aligning</w:t>
            </w:r>
          </w:p>
        </w:tc>
        <w:tc>
          <w:tcPr>
            <w:tcW w:w="618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Set substantive performance goals reflecting strategy at the</w:t>
            </w:r>
          </w:p>
        </w:tc>
      </w:tr>
      <w:tr>
        <w:trPr>
          <w:trHeight w:val="243"/>
        </w:trPr>
        <w:tc>
          <w:tcPr>
            <w:tcW w:w="508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compensation with the achievement of relevant</w:t>
            </w:r>
          </w:p>
        </w:tc>
        <w:tc>
          <w:tcPr>
            <w:tcW w:w="6180" w:type="dxa"/>
            <w:vAlign w:val="bottom"/>
            <w:shd w:val="clear" w:color="auto" w:fill="EBE6F0"/>
          </w:tcPr>
          <w:p>
            <w:pPr>
              <w:ind w:left="280"/>
              <w:spacing w:after="0" w:line="243" w:lineRule="exact"/>
              <w:rPr>
                <w:sz w:val="20"/>
                <w:szCs w:val="20"/>
                <w:color w:val="auto"/>
              </w:rPr>
            </w:pPr>
            <w:r>
              <w:rPr>
                <w:rFonts w:ascii="Arial" w:cs="Arial" w:eastAsia="Arial" w:hAnsi="Arial"/>
                <w:sz w:val="22"/>
                <w:szCs w:val="22"/>
                <w:color w:val="auto"/>
              </w:rPr>
              <w:t>beginning of performance cycles and hold executives</w:t>
            </w:r>
          </w:p>
        </w:tc>
      </w:tr>
      <w:tr>
        <w:trPr>
          <w:trHeight w:val="243"/>
        </w:trPr>
        <w:tc>
          <w:tcPr>
            <w:tcW w:w="508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financial and critical strategic performance goals.</w:t>
            </w:r>
          </w:p>
        </w:tc>
        <w:tc>
          <w:tcPr>
            <w:tcW w:w="6180" w:type="dxa"/>
            <w:vAlign w:val="bottom"/>
            <w:shd w:val="clear" w:color="auto" w:fill="EBE6F0"/>
          </w:tcPr>
          <w:p>
            <w:pPr>
              <w:ind w:left="280"/>
              <w:spacing w:after="0" w:line="243" w:lineRule="exact"/>
              <w:rPr>
                <w:sz w:val="20"/>
                <w:szCs w:val="20"/>
                <w:color w:val="auto"/>
              </w:rPr>
            </w:pPr>
            <w:r>
              <w:rPr>
                <w:rFonts w:ascii="Arial" w:cs="Arial" w:eastAsia="Arial" w:hAnsi="Arial"/>
                <w:sz w:val="22"/>
                <w:szCs w:val="22"/>
                <w:color w:val="auto"/>
              </w:rPr>
              <w:t>accountable for delivering on those targets (see “Overview</w:t>
            </w:r>
          </w:p>
        </w:tc>
      </w:tr>
      <w:tr>
        <w:trPr>
          <w:trHeight w:val="243"/>
        </w:trPr>
        <w:tc>
          <w:tcPr>
            <w:tcW w:w="5080" w:type="dxa"/>
            <w:vAlign w:val="bottom"/>
            <w:shd w:val="clear" w:color="auto" w:fill="EBE6F0"/>
          </w:tcPr>
          <w:p>
            <w:pPr>
              <w:spacing w:after="0"/>
              <w:rPr>
                <w:sz w:val="21"/>
                <w:szCs w:val="21"/>
                <w:color w:val="auto"/>
              </w:rPr>
            </w:pPr>
          </w:p>
        </w:tc>
        <w:tc>
          <w:tcPr>
            <w:tcW w:w="6180" w:type="dxa"/>
            <w:vAlign w:val="bottom"/>
            <w:shd w:val="clear" w:color="auto" w:fill="EBE6F0"/>
          </w:tcPr>
          <w:p>
            <w:pPr>
              <w:ind w:left="280"/>
              <w:spacing w:after="0" w:line="243" w:lineRule="exact"/>
              <w:rPr>
                <w:sz w:val="20"/>
                <w:szCs w:val="20"/>
                <w:color w:val="auto"/>
              </w:rPr>
            </w:pPr>
            <w:r>
              <w:rPr>
                <w:rFonts w:ascii="Arial" w:cs="Arial" w:eastAsia="Arial" w:hAnsi="Arial"/>
                <w:sz w:val="22"/>
                <w:szCs w:val="22"/>
                <w:color w:val="auto"/>
              </w:rPr>
              <w:t>of Pay Elements” on page 66 for linkage of each pay</w:t>
            </w:r>
          </w:p>
        </w:tc>
      </w:tr>
      <w:tr>
        <w:trPr>
          <w:trHeight w:val="283"/>
        </w:trPr>
        <w:tc>
          <w:tcPr>
            <w:tcW w:w="5080" w:type="dxa"/>
            <w:vAlign w:val="bottom"/>
            <w:shd w:val="clear" w:color="auto" w:fill="EBE6F0"/>
          </w:tcPr>
          <w:p>
            <w:pPr>
              <w:spacing w:after="0"/>
              <w:rPr>
                <w:sz w:val="24"/>
                <w:szCs w:val="24"/>
                <w:color w:val="auto"/>
              </w:rPr>
            </w:pPr>
          </w:p>
        </w:tc>
        <w:tc>
          <w:tcPr>
            <w:tcW w:w="6180" w:type="dxa"/>
            <w:vAlign w:val="bottom"/>
            <w:shd w:val="clear" w:color="auto" w:fill="EBE6F0"/>
          </w:tcPr>
          <w:p>
            <w:pPr>
              <w:ind w:left="280"/>
              <w:spacing w:after="0"/>
              <w:rPr>
                <w:sz w:val="20"/>
                <w:szCs w:val="20"/>
                <w:color w:val="auto"/>
              </w:rPr>
            </w:pPr>
            <w:r>
              <w:rPr>
                <w:rFonts w:ascii="Arial" w:cs="Arial" w:eastAsia="Arial" w:hAnsi="Arial"/>
                <w:sz w:val="22"/>
                <w:szCs w:val="22"/>
                <w:color w:val="auto"/>
              </w:rPr>
              <w:t>element to our strategy).</w:t>
            </w:r>
          </w:p>
        </w:tc>
      </w:tr>
      <w:tr>
        <w:trPr>
          <w:trHeight w:val="243"/>
        </w:trPr>
        <w:tc>
          <w:tcPr>
            <w:tcW w:w="5080" w:type="dxa"/>
            <w:vAlign w:val="bottom"/>
            <w:shd w:val="clear" w:color="auto" w:fill="EBE6F0"/>
          </w:tcPr>
          <w:p>
            <w:pPr>
              <w:spacing w:after="0"/>
              <w:rPr>
                <w:sz w:val="21"/>
                <w:szCs w:val="21"/>
                <w:color w:val="auto"/>
              </w:rPr>
            </w:pPr>
          </w:p>
        </w:tc>
        <w:tc>
          <w:tcPr>
            <w:tcW w:w="618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Consider individual performance in achievement against</w:t>
            </w:r>
          </w:p>
        </w:tc>
      </w:tr>
      <w:tr>
        <w:trPr>
          <w:trHeight w:val="283"/>
        </w:trPr>
        <w:tc>
          <w:tcPr>
            <w:tcW w:w="5080" w:type="dxa"/>
            <w:vAlign w:val="bottom"/>
            <w:shd w:val="clear" w:color="auto" w:fill="EBE6F0"/>
          </w:tcPr>
          <w:p>
            <w:pPr>
              <w:spacing w:after="0"/>
              <w:rPr>
                <w:sz w:val="24"/>
                <w:szCs w:val="24"/>
                <w:color w:val="auto"/>
              </w:rPr>
            </w:pPr>
          </w:p>
        </w:tc>
        <w:tc>
          <w:tcPr>
            <w:tcW w:w="6180" w:type="dxa"/>
            <w:vAlign w:val="bottom"/>
            <w:shd w:val="clear" w:color="auto" w:fill="EBE6F0"/>
          </w:tcPr>
          <w:p>
            <w:pPr>
              <w:ind w:left="280"/>
              <w:spacing w:after="0"/>
              <w:rPr>
                <w:sz w:val="20"/>
                <w:szCs w:val="20"/>
                <w:color w:val="auto"/>
              </w:rPr>
            </w:pPr>
            <w:r>
              <w:rPr>
                <w:rFonts w:ascii="Arial" w:cs="Arial" w:eastAsia="Arial" w:hAnsi="Arial"/>
                <w:sz w:val="22"/>
                <w:szCs w:val="22"/>
                <w:color w:val="auto"/>
              </w:rPr>
              <w:t>strategic goals.</w:t>
            </w:r>
          </w:p>
        </w:tc>
      </w:tr>
      <w:tr>
        <w:trPr>
          <w:trHeight w:val="54"/>
        </w:trPr>
        <w:tc>
          <w:tcPr>
            <w:tcW w:w="5080" w:type="dxa"/>
            <w:vAlign w:val="bottom"/>
            <w:shd w:val="clear" w:color="auto" w:fill="EBE6F0"/>
          </w:tcPr>
          <w:p>
            <w:pPr>
              <w:spacing w:after="0"/>
              <w:rPr>
                <w:sz w:val="4"/>
                <w:szCs w:val="4"/>
                <w:color w:val="auto"/>
              </w:rPr>
            </w:pPr>
          </w:p>
        </w:tc>
        <w:tc>
          <w:tcPr>
            <w:tcW w:w="6180" w:type="dxa"/>
            <w:vAlign w:val="bottom"/>
            <w:shd w:val="clear" w:color="auto" w:fill="EBE6F0"/>
          </w:tcPr>
          <w:p>
            <w:pPr>
              <w:spacing w:after="0"/>
              <w:rPr>
                <w:sz w:val="4"/>
                <w:szCs w:val="4"/>
                <w:color w:val="auto"/>
              </w:rPr>
            </w:pPr>
          </w:p>
        </w:tc>
      </w:tr>
    </w:tbl>
    <w:p>
      <w:pPr>
        <w:spacing w:after="0" w:line="28" w:lineRule="exact"/>
        <w:rPr>
          <w:sz w:val="20"/>
          <w:szCs w:val="20"/>
          <w:color w:val="auto"/>
        </w:rPr>
      </w:pPr>
    </w:p>
    <w:p>
      <w:pPr>
        <w:sectPr>
          <w:pgSz w:w="11900" w:h="16838" w:orient="portrait"/>
          <w:cols w:equalWidth="0" w:num="1">
            <w:col w:w="11260"/>
          </w:cols>
          <w:pgMar w:left="320" w:top="130" w:right="319" w:bottom="1440" w:gutter="0" w:footer="0" w:header="0"/>
        </w:sectPr>
      </w:pPr>
    </w:p>
    <w:p>
      <w:pPr>
        <w:ind w:left="80"/>
        <w:spacing w:after="0" w:line="245" w:lineRule="auto"/>
        <w:rPr>
          <w:sz w:val="20"/>
          <w:szCs w:val="20"/>
          <w:color w:val="auto"/>
        </w:rPr>
      </w:pPr>
      <w:r>
        <w:rPr>
          <w:rFonts w:ascii="Arial" w:cs="Arial" w:eastAsia="Arial" w:hAnsi="Arial"/>
          <w:sz w:val="22"/>
          <w:szCs w:val="22"/>
          <w:color w:val="auto"/>
        </w:rPr>
        <w:t>Put pay at risk by heavily weighting the mix of fixed and variable compensation toward variable components.</w:t>
      </w:r>
    </w:p>
    <w:p>
      <w:pPr>
        <w:spacing w:after="0" w:line="20" w:lineRule="exact"/>
        <w:rPr>
          <w:sz w:val="20"/>
          <w:szCs w:val="20"/>
          <w:color w:val="auto"/>
        </w:rPr>
      </w:pPr>
      <w:r>
        <w:rPr>
          <w:sz w:val="20"/>
          <w:szCs w:val="20"/>
          <w:color w:val="auto"/>
        </w:rPr>
        <w:br w:type="column"/>
      </w:r>
    </w:p>
    <w:p>
      <w:pPr>
        <w:ind w:left="222" w:right="720" w:hanging="222"/>
        <w:spacing w:after="0" w:line="259" w:lineRule="auto"/>
        <w:tabs>
          <w:tab w:leader="none" w:pos="222" w:val="left"/>
        </w:tabs>
        <w:numPr>
          <w:ilvl w:val="0"/>
          <w:numId w:val="57"/>
        </w:numPr>
        <w:rPr>
          <w:rFonts w:ascii="Arial" w:cs="Arial" w:eastAsia="Arial" w:hAnsi="Arial"/>
          <w:sz w:val="22"/>
          <w:szCs w:val="22"/>
          <w:color w:val="582C83"/>
        </w:rPr>
      </w:pPr>
      <w:r>
        <w:rPr>
          <w:rFonts w:ascii="Arial" w:cs="Arial" w:eastAsia="Arial" w:hAnsi="Arial"/>
          <w:sz w:val="22"/>
          <w:szCs w:val="22"/>
          <w:color w:val="auto"/>
        </w:rPr>
        <w:t>90% of our CEO’s compensation and 80% of the other NEOs’ compensation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167005</wp:posOffset>
            </wp:positionV>
            <wp:extent cx="7140575" cy="7029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0575" cy="70294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4940" w:space="198"/>
            <w:col w:w="6122"/>
          </w:cols>
          <w:pgMar w:left="320" w:top="130" w:right="319" w:bottom="1440" w:gutter="0" w:footer="0" w:header="0"/>
          <w:type w:val="continuous"/>
        </w:sectPr>
      </w:pPr>
    </w:p>
    <w:p>
      <w:pPr>
        <w:ind w:left="80"/>
        <w:spacing w:after="0"/>
        <w:rPr>
          <w:sz w:val="20"/>
          <w:szCs w:val="20"/>
          <w:color w:val="auto"/>
        </w:rPr>
      </w:pPr>
      <w:r>
        <w:rPr>
          <w:rFonts w:ascii="Arial" w:cs="Arial" w:eastAsia="Arial" w:hAnsi="Arial"/>
          <w:sz w:val="22"/>
          <w:szCs w:val="22"/>
          <w:color w:val="auto"/>
        </w:rPr>
        <w:t>Heavily weight the mix of incentives toward long-term equity, the value of which aligns with returns to our shareholders and rewards long-term sustainable performance.</w:t>
      </w:r>
    </w:p>
    <w:p>
      <w:pPr>
        <w:spacing w:after="0" w:line="20" w:lineRule="exact"/>
        <w:rPr>
          <w:sz w:val="20"/>
          <w:szCs w:val="20"/>
          <w:color w:val="auto"/>
        </w:rPr>
      </w:pPr>
      <w:r>
        <w:rPr>
          <w:sz w:val="20"/>
          <w:szCs w:val="20"/>
          <w:color w:val="auto"/>
        </w:rPr>
        <w:br w:type="column"/>
      </w:r>
    </w:p>
    <w:p>
      <w:pPr>
        <w:ind w:left="209" w:right="700" w:hanging="209"/>
        <w:spacing w:after="0" w:line="245" w:lineRule="auto"/>
        <w:tabs>
          <w:tab w:leader="none" w:pos="209" w:val="left"/>
        </w:tabs>
        <w:numPr>
          <w:ilvl w:val="0"/>
          <w:numId w:val="58"/>
        </w:numPr>
        <w:rPr>
          <w:rFonts w:ascii="Arial" w:cs="Arial" w:eastAsia="Arial" w:hAnsi="Arial"/>
          <w:sz w:val="22"/>
          <w:szCs w:val="22"/>
          <w:color w:val="582C83"/>
        </w:rPr>
      </w:pPr>
      <w:r>
        <w:rPr>
          <w:rFonts w:ascii="Arial" w:cs="Arial" w:eastAsia="Arial" w:hAnsi="Arial"/>
          <w:sz w:val="22"/>
          <w:szCs w:val="22"/>
          <w:color w:val="auto"/>
        </w:rPr>
        <w:t>72% of our CEO’s compensation and 62% of the other NEOs’ compensation is in equity-based grants that incentivize long-term performance.</w:t>
      </w:r>
    </w:p>
    <w:p>
      <w:pPr>
        <w:spacing w:after="0" w:line="319" w:lineRule="exact"/>
        <w:rPr>
          <w:sz w:val="20"/>
          <w:szCs w:val="20"/>
          <w:color w:val="auto"/>
        </w:rPr>
      </w:pPr>
    </w:p>
    <w:p>
      <w:pPr>
        <w:sectPr>
          <w:pgSz w:w="11900" w:h="16838" w:orient="portrait"/>
          <w:cols w:equalWidth="0" w:num="2">
            <w:col w:w="4800" w:space="351"/>
            <w:col w:w="6109"/>
          </w:cols>
          <w:pgMar w:left="320" w:top="130" w:right="319" w:bottom="1440" w:gutter="0" w:footer="0" w:header="0"/>
          <w:type w:val="continuous"/>
        </w:sectPr>
      </w:pPr>
    </w:p>
    <w:p>
      <w:pPr>
        <w:ind w:left="80"/>
        <w:spacing w:after="0" w:line="259" w:lineRule="auto"/>
        <w:rPr>
          <w:sz w:val="20"/>
          <w:szCs w:val="20"/>
          <w:color w:val="auto"/>
        </w:rPr>
      </w:pPr>
      <w:r>
        <w:rPr>
          <w:rFonts w:ascii="Arial" w:cs="Arial" w:eastAsia="Arial" w:hAnsi="Arial"/>
          <w:sz w:val="22"/>
          <w:szCs w:val="22"/>
          <w:color w:val="auto"/>
        </w:rPr>
        <w:t>Target compensation at or near the median of our Compensation Survey Peer Group.</w:t>
      </w:r>
    </w:p>
    <w:p>
      <w:pPr>
        <w:spacing w:after="0" w:line="20" w:lineRule="exact"/>
        <w:rPr>
          <w:sz w:val="20"/>
          <w:szCs w:val="20"/>
          <w:color w:val="auto"/>
        </w:rPr>
      </w:pPr>
      <w:r>
        <w:rPr>
          <w:sz w:val="20"/>
          <w:szCs w:val="20"/>
          <w:color w:val="auto"/>
        </w:rPr>
        <w:br w:type="column"/>
      </w:r>
    </w:p>
    <w:p>
      <w:pPr>
        <w:ind w:left="222" w:right="540" w:hanging="222"/>
        <w:spacing w:after="0" w:line="243" w:lineRule="auto"/>
        <w:tabs>
          <w:tab w:leader="none" w:pos="222" w:val="left"/>
        </w:tabs>
        <w:numPr>
          <w:ilvl w:val="0"/>
          <w:numId w:val="59"/>
        </w:numPr>
        <w:rPr>
          <w:rFonts w:ascii="Arial" w:cs="Arial" w:eastAsia="Arial" w:hAnsi="Arial"/>
          <w:sz w:val="22"/>
          <w:szCs w:val="22"/>
          <w:color w:val="582C83"/>
        </w:rPr>
      </w:pPr>
      <w:r>
        <w:rPr>
          <w:rFonts w:ascii="Arial" w:cs="Arial" w:eastAsia="Arial" w:hAnsi="Arial"/>
          <w:sz w:val="22"/>
          <w:szCs w:val="22"/>
          <w:color w:val="auto"/>
        </w:rPr>
        <w:t>Our CEO’s annual target pay package approximates the median CEO target compensation of our 2021 Compensation Survey Peer Group.</w:t>
      </w:r>
    </w:p>
    <w:p>
      <w:pPr>
        <w:spacing w:after="0" w:line="1" w:lineRule="exact"/>
        <w:rPr>
          <w:rFonts w:ascii="Arial" w:cs="Arial" w:eastAsia="Arial" w:hAnsi="Arial"/>
          <w:sz w:val="22"/>
          <w:szCs w:val="22"/>
          <w:color w:val="582C83"/>
        </w:rPr>
      </w:pPr>
    </w:p>
    <w:p>
      <w:pPr>
        <w:ind w:left="222" w:right="460" w:hanging="222"/>
        <w:spacing w:after="0" w:line="245" w:lineRule="auto"/>
        <w:tabs>
          <w:tab w:leader="none" w:pos="222" w:val="left"/>
        </w:tabs>
        <w:numPr>
          <w:ilvl w:val="0"/>
          <w:numId w:val="59"/>
        </w:numPr>
        <w:rPr>
          <w:rFonts w:ascii="Arial" w:cs="Arial" w:eastAsia="Arial" w:hAnsi="Arial"/>
          <w:sz w:val="22"/>
          <w:szCs w:val="22"/>
          <w:color w:val="582C83"/>
        </w:rPr>
      </w:pPr>
      <w:r>
        <w:rPr>
          <w:rFonts w:ascii="Arial" w:cs="Arial" w:eastAsia="Arial" w:hAnsi="Arial"/>
          <w:sz w:val="22"/>
          <w:szCs w:val="22"/>
          <w:color w:val="auto"/>
        </w:rPr>
        <w:t>Target compensation for our other NEOs is at or near the median of their comparable positions in our 2021 Compensation Survey Peer Group.</w:t>
      </w:r>
    </w:p>
    <w:p>
      <w:pPr>
        <w:spacing w:after="0" w:line="35" w:lineRule="exact"/>
        <w:rPr>
          <w:sz w:val="20"/>
          <w:szCs w:val="20"/>
          <w:color w:val="auto"/>
        </w:rPr>
      </w:pPr>
    </w:p>
    <w:p>
      <w:pPr>
        <w:sectPr>
          <w:pgSz w:w="11900" w:h="16838" w:orient="portrait"/>
          <w:cols w:equalWidth="0" w:num="2">
            <w:col w:w="4800" w:space="338"/>
            <w:col w:w="6122"/>
          </w:cols>
          <w:pgMar w:left="320" w:top="130" w:right="31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5080" w:type="dxa"/>
            <w:vAlign w:val="bottom"/>
            <w:shd w:val="clear" w:color="auto" w:fill="EBE6F0"/>
          </w:tcPr>
          <w:p>
            <w:pPr>
              <w:ind w:left="80"/>
              <w:spacing w:after="0"/>
              <w:rPr>
                <w:sz w:val="20"/>
                <w:szCs w:val="20"/>
                <w:color w:val="auto"/>
              </w:rPr>
            </w:pPr>
            <w:r>
              <w:rPr>
                <w:rFonts w:ascii="Arial" w:cs="Arial" w:eastAsia="Arial" w:hAnsi="Arial"/>
                <w:sz w:val="22"/>
                <w:szCs w:val="22"/>
                <w:color w:val="auto"/>
              </w:rPr>
              <w:t>Require executives to hold stock at or above peer</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5940" w:type="dxa"/>
            <w:vAlign w:val="bottom"/>
            <w:shd w:val="clear" w:color="auto" w:fill="EBE6F0"/>
          </w:tcPr>
          <w:p>
            <w:pPr>
              <w:ind w:left="60"/>
              <w:spacing w:after="0"/>
              <w:rPr>
                <w:sz w:val="20"/>
                <w:szCs w:val="20"/>
                <w:color w:val="auto"/>
              </w:rPr>
            </w:pPr>
            <w:r>
              <w:rPr>
                <w:rFonts w:ascii="Arial" w:cs="Arial" w:eastAsia="Arial" w:hAnsi="Arial"/>
                <w:sz w:val="22"/>
                <w:szCs w:val="22"/>
                <w:color w:val="auto"/>
              </w:rPr>
              <w:t>Maintain rigorous stock ownership requirements: CEO must</w:t>
            </w:r>
          </w:p>
        </w:tc>
        <w:tc>
          <w:tcPr>
            <w:tcW w:w="20" w:type="dxa"/>
            <w:vAlign w:val="bottom"/>
            <w:shd w:val="clear" w:color="auto" w:fill="EBE6F0"/>
          </w:tcPr>
          <w:p>
            <w:pPr>
              <w:spacing w:after="0"/>
              <w:rPr>
                <w:sz w:val="24"/>
                <w:szCs w:val="24"/>
                <w:color w:val="auto"/>
              </w:rPr>
            </w:pPr>
          </w:p>
        </w:tc>
      </w:tr>
      <w:tr>
        <w:trPr>
          <w:trHeight w:val="243"/>
        </w:trPr>
        <w:tc>
          <w:tcPr>
            <w:tcW w:w="508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benchmark levels to align their interests with</w:t>
            </w:r>
          </w:p>
        </w:tc>
        <w:tc>
          <w:tcPr>
            <w:tcW w:w="220" w:type="dxa"/>
            <w:vAlign w:val="bottom"/>
            <w:shd w:val="clear" w:color="auto" w:fill="EBE6F0"/>
          </w:tcPr>
          <w:p>
            <w:pPr>
              <w:spacing w:after="0"/>
              <w:rPr>
                <w:sz w:val="21"/>
                <w:szCs w:val="21"/>
                <w:color w:val="auto"/>
              </w:rPr>
            </w:pPr>
          </w:p>
        </w:tc>
        <w:tc>
          <w:tcPr>
            <w:tcW w:w="594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hold 8 times salary and the other NEOs must hold 4 times</w:t>
            </w:r>
          </w:p>
        </w:tc>
        <w:tc>
          <w:tcPr>
            <w:tcW w:w="20" w:type="dxa"/>
            <w:vAlign w:val="bottom"/>
            <w:shd w:val="clear" w:color="auto" w:fill="EBE6F0"/>
          </w:tcPr>
          <w:p>
            <w:pPr>
              <w:spacing w:after="0"/>
              <w:rPr>
                <w:sz w:val="21"/>
                <w:szCs w:val="21"/>
                <w:color w:val="auto"/>
              </w:rPr>
            </w:pPr>
          </w:p>
        </w:tc>
      </w:tr>
      <w:tr>
        <w:trPr>
          <w:trHeight w:val="243"/>
        </w:trPr>
        <w:tc>
          <w:tcPr>
            <w:tcW w:w="508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shareholders and to encourage driving long-term</w:t>
            </w:r>
          </w:p>
        </w:tc>
        <w:tc>
          <w:tcPr>
            <w:tcW w:w="220" w:type="dxa"/>
            <w:vAlign w:val="bottom"/>
            <w:shd w:val="clear" w:color="auto" w:fill="EBE6F0"/>
          </w:tcPr>
          <w:p>
            <w:pPr>
              <w:spacing w:after="0"/>
              <w:rPr>
                <w:sz w:val="21"/>
                <w:szCs w:val="21"/>
                <w:color w:val="auto"/>
              </w:rPr>
            </w:pPr>
          </w:p>
        </w:tc>
        <w:tc>
          <w:tcPr>
            <w:tcW w:w="594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salary.</w:t>
            </w:r>
          </w:p>
        </w:tc>
        <w:tc>
          <w:tcPr>
            <w:tcW w:w="20" w:type="dxa"/>
            <w:vAlign w:val="bottom"/>
            <w:shd w:val="clear" w:color="auto" w:fill="EBE6F0"/>
          </w:tcPr>
          <w:p>
            <w:pPr>
              <w:spacing w:after="0"/>
              <w:rPr>
                <w:sz w:val="21"/>
                <w:szCs w:val="21"/>
                <w:color w:val="auto"/>
              </w:rPr>
            </w:pPr>
          </w:p>
        </w:tc>
      </w:tr>
      <w:tr>
        <w:trPr>
          <w:trHeight w:val="256"/>
        </w:trPr>
        <w:tc>
          <w:tcPr>
            <w:tcW w:w="5080" w:type="dxa"/>
            <w:vAlign w:val="bottom"/>
            <w:shd w:val="clear" w:color="auto" w:fill="EBE6F0"/>
          </w:tcPr>
          <w:p>
            <w:pPr>
              <w:ind w:left="80"/>
              <w:spacing w:after="0"/>
              <w:rPr>
                <w:sz w:val="20"/>
                <w:szCs w:val="20"/>
                <w:color w:val="auto"/>
              </w:rPr>
            </w:pPr>
            <w:r>
              <w:rPr>
                <w:rFonts w:ascii="Arial" w:cs="Arial" w:eastAsia="Arial" w:hAnsi="Arial"/>
                <w:sz w:val="22"/>
                <w:szCs w:val="22"/>
                <w:color w:val="auto"/>
              </w:rPr>
              <w:t>performance rather than short-term decision-</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5940" w:type="dxa"/>
            <w:vAlign w:val="bottom"/>
            <w:shd w:val="clear" w:color="auto" w:fill="EBE6F0"/>
          </w:tcPr>
          <w:p>
            <w:pPr>
              <w:ind w:left="60"/>
              <w:spacing w:after="0"/>
              <w:rPr>
                <w:sz w:val="20"/>
                <w:szCs w:val="20"/>
                <w:color w:val="auto"/>
              </w:rPr>
            </w:pPr>
            <w:r>
              <w:rPr>
                <w:rFonts w:ascii="Arial" w:cs="Arial" w:eastAsia="Arial" w:hAnsi="Arial"/>
                <w:sz w:val="22"/>
                <w:szCs w:val="22"/>
                <w:color w:val="auto"/>
              </w:rPr>
              <w:t>All NEOs must hold net shares for at least one year after</w:t>
            </w:r>
          </w:p>
        </w:tc>
        <w:tc>
          <w:tcPr>
            <w:tcW w:w="20" w:type="dxa"/>
            <w:vAlign w:val="bottom"/>
            <w:shd w:val="clear" w:color="auto" w:fill="EBE6F0"/>
          </w:tcPr>
          <w:p>
            <w:pPr>
              <w:spacing w:after="0"/>
              <w:rPr>
                <w:sz w:val="22"/>
                <w:szCs w:val="22"/>
                <w:color w:val="auto"/>
              </w:rPr>
            </w:pPr>
          </w:p>
        </w:tc>
      </w:tr>
      <w:tr>
        <w:trPr>
          <w:trHeight w:val="363"/>
        </w:trPr>
        <w:tc>
          <w:tcPr>
            <w:tcW w:w="50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making.</w:t>
            </w:r>
          </w:p>
        </w:tc>
        <w:tc>
          <w:tcPr>
            <w:tcW w:w="220" w:type="dxa"/>
            <w:vAlign w:val="bottom"/>
            <w:tcBorders>
              <w:bottom w:val="single" w:sz="8" w:color="EBE6F0"/>
            </w:tcBorders>
            <w:shd w:val="clear" w:color="auto" w:fill="EBE6F0"/>
          </w:tcPr>
          <w:p>
            <w:pPr>
              <w:spacing w:after="0"/>
              <w:rPr>
                <w:sz w:val="24"/>
                <w:szCs w:val="24"/>
                <w:color w:val="auto"/>
              </w:rPr>
            </w:pPr>
          </w:p>
        </w:tc>
        <w:tc>
          <w:tcPr>
            <w:tcW w:w="594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22"/>
                <w:szCs w:val="22"/>
                <w:color w:val="auto"/>
              </w:rPr>
              <w:t>exercise/vesting regardless of ownership compliance.</w:t>
            </w:r>
          </w:p>
        </w:tc>
        <w:tc>
          <w:tcPr>
            <w:tcW w:w="20" w:type="dxa"/>
            <w:vAlign w:val="bottom"/>
            <w:tcBorders>
              <w:bottom w:val="single" w:sz="8" w:color="EBE6F0"/>
            </w:tcBorders>
            <w:shd w:val="clear" w:color="auto" w:fill="EBE6F0"/>
          </w:tcPr>
          <w:p>
            <w:pPr>
              <w:spacing w:after="0"/>
              <w:rPr>
                <w:sz w:val="24"/>
                <w:szCs w:val="24"/>
                <w:color w:val="auto"/>
              </w:rPr>
            </w:pPr>
          </w:p>
        </w:tc>
      </w:tr>
      <w:tr>
        <w:trPr>
          <w:trHeight w:val="189"/>
        </w:trPr>
        <w:tc>
          <w:tcPr>
            <w:tcW w:w="5080" w:type="dxa"/>
            <w:vAlign w:val="bottom"/>
            <w:tcBorders>
              <w:top w:val="single" w:sz="8" w:color="582C83"/>
              <w:bottom w:val="single" w:sz="8" w:color="58358F"/>
            </w:tcBorders>
          </w:tcPr>
          <w:p>
            <w:pPr>
              <w:spacing w:after="0"/>
              <w:rPr>
                <w:sz w:val="16"/>
                <w:szCs w:val="16"/>
                <w:color w:val="auto"/>
              </w:rPr>
            </w:pPr>
          </w:p>
        </w:tc>
        <w:tc>
          <w:tcPr>
            <w:tcW w:w="220" w:type="dxa"/>
            <w:vAlign w:val="bottom"/>
            <w:tcBorders>
              <w:top w:val="single" w:sz="8" w:color="582C83"/>
              <w:bottom w:val="single" w:sz="8" w:color="58358F"/>
            </w:tcBorders>
          </w:tcPr>
          <w:p>
            <w:pPr>
              <w:spacing w:after="0"/>
              <w:rPr>
                <w:sz w:val="16"/>
                <w:szCs w:val="16"/>
                <w:color w:val="auto"/>
              </w:rPr>
            </w:pPr>
          </w:p>
        </w:tc>
        <w:tc>
          <w:tcPr>
            <w:tcW w:w="5940" w:type="dxa"/>
            <w:vAlign w:val="bottom"/>
            <w:tcBorders>
              <w:top w:val="single" w:sz="8" w:color="582C83"/>
              <w:bottom w:val="single" w:sz="8" w:color="58358F"/>
            </w:tcBorders>
          </w:tcPr>
          <w:p>
            <w:pPr>
              <w:spacing w:after="0"/>
              <w:rPr>
                <w:sz w:val="16"/>
                <w:szCs w:val="16"/>
                <w:color w:val="auto"/>
              </w:rPr>
            </w:pPr>
          </w:p>
        </w:tc>
        <w:tc>
          <w:tcPr>
            <w:tcW w:w="20" w:type="dxa"/>
            <w:vAlign w:val="bottom"/>
            <w:tcBorders>
              <w:top w:val="single" w:sz="8" w:color="582C83"/>
            </w:tcBorders>
          </w:tcPr>
          <w:p>
            <w:pPr>
              <w:spacing w:after="0"/>
              <w:rPr>
                <w:sz w:val="16"/>
                <w:szCs w:val="16"/>
                <w:color w:val="auto"/>
              </w:rPr>
            </w:pPr>
          </w:p>
        </w:tc>
      </w:tr>
    </w:tbl>
    <w:p>
      <w:pPr>
        <w:spacing w:after="0" w:line="67"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SHAREHOLDER ENGAGEMENT ON EXECUTIVE COMPENSATION</w:t>
      </w:r>
    </w:p>
    <w:p>
      <w:pPr>
        <w:spacing w:after="0" w:line="10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Board encourages open and constructive dialogue with shareholders on executive compensation to facilitate alignment on policies and practices. At the 2021 Annual Meeting of Shareholders, more than 92% of the votes cast for our say-on-pay advisory vote were in favor of our executive compensation policies and practices. We did not make any changes to our compensation program as a result of the advisory vote.</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In 2021, we continued our ongoing shareholder engagement program to solicit feedback on our strategy, governance, sustainability practices and compensation programs. In total, we reached out to shareholders representing approximately 50% of our outstanding shares. We ultimately had conversations with 22 different shareholders, representing approximately 40% of our outstanding shares. The independent Lead Director led meetings with shareholders representing approximately 30% of our outstanding shares.</w:t>
      </w:r>
    </w:p>
    <w:p>
      <w:pPr>
        <w:spacing w:after="0" w:line="150"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Throughout our discussions, we heard broad support for our compensation programs. Shareholders continue to be supportive of our AIP and LTIP and the metrics we use to incentivize growth.</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22"/>
          <w:szCs w:val="22"/>
          <w:color w:val="auto"/>
        </w:rPr>
        <w:t>Feedback from the shareholder discussions was shared with the Board, the People and Compensation Committee and the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25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CORE COMPENSATION PRACTICES</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Our executive compensation governance reflects best practices to protect and promote our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309245</wp:posOffset>
            </wp:positionV>
            <wp:extent cx="6858000" cy="46634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00" cy="466344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503"/>
        <w:spacing w:after="0"/>
        <w:rPr>
          <w:sz w:val="20"/>
          <w:szCs w:val="20"/>
          <w:color w:val="auto"/>
        </w:rPr>
      </w:pPr>
      <w:r>
        <w:rPr>
          <w:rFonts w:ascii="Arial" w:cs="Arial" w:eastAsia="Arial" w:hAnsi="Arial"/>
          <w:sz w:val="22"/>
          <w:szCs w:val="22"/>
          <w:b w:val="1"/>
          <w:bCs w:val="1"/>
          <w:color w:val="582C83"/>
        </w:rPr>
        <w:t>WHAT WE DO</w:t>
      </w:r>
    </w:p>
    <w:p>
      <w:pPr>
        <w:spacing w:after="0" w:line="87" w:lineRule="exact"/>
        <w:rPr>
          <w:sz w:val="20"/>
          <w:szCs w:val="20"/>
          <w:color w:val="auto"/>
        </w:rPr>
      </w:pPr>
    </w:p>
    <w:p>
      <w:pPr>
        <w:ind w:left="460"/>
        <w:spacing w:after="0"/>
        <w:rPr>
          <w:sz w:val="20"/>
          <w:szCs w:val="20"/>
          <w:color w:val="auto"/>
        </w:rPr>
      </w:pPr>
      <w:r>
        <w:rPr>
          <w:sz w:val="1"/>
          <w:szCs w:val="1"/>
          <w:color w:val="auto"/>
        </w:rPr>
        <w:drawing>
          <wp:inline distT="0" distB="0" distL="0" distR="0">
            <wp:extent cx="111760" cy="85725"/>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Require significant stock ownership</w:t>
      </w:r>
    </w:p>
    <w:p>
      <w:pPr>
        <w:spacing w:after="0" w:line="58" w:lineRule="exact"/>
        <w:rPr>
          <w:sz w:val="20"/>
          <w:szCs w:val="20"/>
          <w:color w:val="auto"/>
        </w:rPr>
      </w:pPr>
    </w:p>
    <w:p>
      <w:pPr>
        <w:ind w:left="700" w:right="157" w:hanging="251"/>
        <w:spacing w:after="0"/>
        <w:rPr>
          <w:sz w:val="20"/>
          <w:szCs w:val="20"/>
          <w:color w:val="auto"/>
        </w:rPr>
      </w:pPr>
      <w:r>
        <w:rPr>
          <w:sz w:val="1"/>
          <w:szCs w:val="1"/>
          <w:color w:val="auto"/>
        </w:rPr>
        <w:drawing>
          <wp:inline distT="0" distB="0" distL="0" distR="0">
            <wp:extent cx="111760" cy="85725"/>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Require executives to hold equity for at least one year after exercising stock options or vesting of full value awards</w:t>
      </w:r>
    </w:p>
    <w:p>
      <w:pPr>
        <w:spacing w:after="0" w:line="27" w:lineRule="exact"/>
        <w:rPr>
          <w:sz w:val="20"/>
          <w:szCs w:val="20"/>
          <w:color w:val="auto"/>
        </w:rPr>
      </w:pPr>
    </w:p>
    <w:p>
      <w:pPr>
        <w:ind w:left="700" w:right="157" w:hanging="251"/>
        <w:spacing w:after="0"/>
        <w:rPr>
          <w:sz w:val="20"/>
          <w:szCs w:val="20"/>
          <w:color w:val="auto"/>
        </w:rPr>
      </w:pPr>
      <w:r>
        <w:rPr>
          <w:sz w:val="1"/>
          <w:szCs w:val="1"/>
          <w:color w:val="auto"/>
        </w:rPr>
        <w:drawing>
          <wp:inline distT="0" distB="0" distL="0" distR="0">
            <wp:extent cx="111760" cy="85725"/>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Require above median TSR performance relative to peers to earn a target PSU payout on that component</w:t>
      </w:r>
    </w:p>
    <w:p>
      <w:pPr>
        <w:spacing w:after="0" w:line="27" w:lineRule="exact"/>
        <w:rPr>
          <w:sz w:val="20"/>
          <w:szCs w:val="20"/>
          <w:color w:val="auto"/>
        </w:rPr>
      </w:pPr>
    </w:p>
    <w:p>
      <w:pPr>
        <w:ind w:left="700" w:right="617" w:hanging="251"/>
        <w:spacing w:after="0"/>
        <w:rPr>
          <w:sz w:val="20"/>
          <w:szCs w:val="20"/>
          <w:color w:val="auto"/>
        </w:rPr>
      </w:pPr>
      <w:r>
        <w:rPr>
          <w:sz w:val="1"/>
          <w:szCs w:val="1"/>
          <w:color w:val="auto"/>
        </w:rPr>
        <w:drawing>
          <wp:inline distT="0" distB="0" distL="0" distR="0">
            <wp:extent cx="111760" cy="85725"/>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Provide for “clawbacks” upon certain financial restatements or significant misconduct that could damage the reputation of the Company</w:t>
      </w:r>
    </w:p>
    <w:p>
      <w:pPr>
        <w:spacing w:after="0" w:line="27" w:lineRule="exact"/>
        <w:rPr>
          <w:sz w:val="20"/>
          <w:szCs w:val="20"/>
          <w:color w:val="auto"/>
        </w:rPr>
      </w:pPr>
    </w:p>
    <w:p>
      <w:pPr>
        <w:ind w:left="460" w:right="477"/>
        <w:spacing w:after="0" w:line="294" w:lineRule="auto"/>
        <w:rPr>
          <w:sz w:val="20"/>
          <w:szCs w:val="20"/>
          <w:color w:val="auto"/>
        </w:rPr>
      </w:pPr>
      <w:r>
        <w:rPr>
          <w:sz w:val="1"/>
          <w:szCs w:val="1"/>
          <w:color w:val="auto"/>
        </w:rPr>
        <w:drawing>
          <wp:inline distT="0" distB="0" distL="0" distR="0">
            <wp:extent cx="111760" cy="85725"/>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Conduct an annual compensation risk assessment </w:t>
      </w:r>
      <w:r>
        <w:rPr>
          <w:sz w:val="1"/>
          <w:szCs w:val="1"/>
          <w:color w:val="auto"/>
        </w:rPr>
        <w:drawing>
          <wp:inline distT="0" distB="0" distL="0" distR="0">
            <wp:extent cx="111760" cy="8572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Offer limited perquisites</w:t>
      </w:r>
    </w:p>
    <w:p>
      <w:pPr>
        <w:spacing w:after="0" w:line="1" w:lineRule="exact"/>
        <w:rPr>
          <w:sz w:val="20"/>
          <w:szCs w:val="20"/>
          <w:color w:val="auto"/>
        </w:rPr>
      </w:pPr>
    </w:p>
    <w:p>
      <w:pPr>
        <w:ind w:left="700" w:right="417" w:hanging="251"/>
        <w:spacing w:after="0"/>
        <w:rPr>
          <w:sz w:val="20"/>
          <w:szCs w:val="20"/>
          <w:color w:val="auto"/>
        </w:rPr>
      </w:pPr>
      <w:r>
        <w:rPr>
          <w:sz w:val="1"/>
          <w:szCs w:val="1"/>
          <w:color w:val="auto"/>
        </w:rPr>
        <w:drawing>
          <wp:inline distT="0" distB="0" distL="0" distR="0">
            <wp:extent cx="111760" cy="8572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Pay severance and vest equity only upon a “double trigger” in the event of a CIC</w:t>
      </w:r>
    </w:p>
    <w:p>
      <w:pPr>
        <w:spacing w:after="0" w:line="27" w:lineRule="exact"/>
        <w:rPr>
          <w:sz w:val="20"/>
          <w:szCs w:val="20"/>
          <w:color w:val="auto"/>
        </w:rPr>
      </w:pPr>
    </w:p>
    <w:p>
      <w:pPr>
        <w:ind w:left="700" w:right="1037" w:hanging="251"/>
        <w:spacing w:after="0"/>
        <w:rPr>
          <w:sz w:val="20"/>
          <w:szCs w:val="20"/>
          <w:color w:val="auto"/>
        </w:rPr>
      </w:pPr>
      <w:r>
        <w:rPr>
          <w:sz w:val="1"/>
          <w:szCs w:val="1"/>
          <w:color w:val="auto"/>
        </w:rPr>
        <w:drawing>
          <wp:inline distT="0" distB="0" distL="0" distR="0">
            <wp:extent cx="111760" cy="8572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Benchmark executive compensation and our performance against relevant comparators</w:t>
      </w:r>
    </w:p>
    <w:p>
      <w:pPr>
        <w:spacing w:after="0" w:line="27" w:lineRule="exact"/>
        <w:rPr>
          <w:sz w:val="20"/>
          <w:szCs w:val="20"/>
          <w:color w:val="auto"/>
        </w:rPr>
      </w:pPr>
    </w:p>
    <w:p>
      <w:pPr>
        <w:ind w:left="700" w:right="177" w:hanging="251"/>
        <w:spacing w:after="0"/>
        <w:rPr>
          <w:sz w:val="20"/>
          <w:szCs w:val="20"/>
          <w:color w:val="auto"/>
        </w:rPr>
      </w:pPr>
      <w:r>
        <w:rPr>
          <w:sz w:val="1"/>
          <w:szCs w:val="1"/>
          <w:color w:val="auto"/>
        </w:rPr>
        <w:drawing>
          <wp:inline distT="0" distB="0" distL="0" distR="0">
            <wp:extent cx="111760" cy="8572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Provide for a significant majority of compensation that is based on objective, quantifiable pre-established performance goals</w:t>
      </w:r>
    </w:p>
    <w:p>
      <w:pPr>
        <w:spacing w:after="0" w:line="27" w:lineRule="exact"/>
        <w:rPr>
          <w:sz w:val="20"/>
          <w:szCs w:val="20"/>
          <w:color w:val="auto"/>
        </w:rPr>
      </w:pPr>
    </w:p>
    <w:p>
      <w:pPr>
        <w:ind w:left="700" w:right="437" w:hanging="251"/>
        <w:spacing w:after="0"/>
        <w:rPr>
          <w:sz w:val="20"/>
          <w:szCs w:val="20"/>
          <w:color w:val="auto"/>
        </w:rPr>
      </w:pPr>
      <w:r>
        <w:rPr>
          <w:sz w:val="1"/>
          <w:szCs w:val="1"/>
          <w:color w:val="auto"/>
        </w:rPr>
        <w:drawing>
          <wp:inline distT="0" distB="0" distL="0" distR="0">
            <wp:extent cx="111760" cy="85725"/>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85725"/>
                    </a:xfrm>
                    <a:prstGeom prst="rect">
                      <a:avLst/>
                    </a:prstGeom>
                    <a:noFill/>
                    <a:ln>
                      <a:noFill/>
                    </a:ln>
                  </pic:spPr>
                </pic:pic>
              </a:graphicData>
            </a:graphic>
          </wp:inline>
        </w:drawing>
      </w:r>
      <w:r>
        <w:rPr>
          <w:rFonts w:ascii="Arial" w:cs="Arial" w:eastAsia="Arial" w:hAnsi="Arial"/>
          <w:sz w:val="22"/>
          <w:szCs w:val="22"/>
          <w:color w:val="auto"/>
        </w:rPr>
        <w:t xml:space="preserve"> Retain an independent compensation consultant to advise the People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23"/>
        <w:spacing w:after="0"/>
        <w:rPr>
          <w:sz w:val="20"/>
          <w:szCs w:val="20"/>
          <w:color w:val="auto"/>
        </w:rPr>
      </w:pPr>
      <w:r>
        <w:rPr>
          <w:rFonts w:ascii="Arial" w:cs="Arial" w:eastAsia="Arial" w:hAnsi="Arial"/>
          <w:sz w:val="22"/>
          <w:szCs w:val="22"/>
          <w:b w:val="1"/>
          <w:bCs w:val="1"/>
          <w:color w:val="582C83"/>
        </w:rPr>
        <w:t>WHAT WE DON’T DO</w:t>
      </w:r>
    </w:p>
    <w:p>
      <w:pPr>
        <w:spacing w:after="0" w:line="87" w:lineRule="exact"/>
        <w:rPr>
          <w:sz w:val="20"/>
          <w:szCs w:val="20"/>
          <w:color w:val="auto"/>
        </w:rPr>
      </w:pPr>
    </w:p>
    <w:p>
      <w:pPr>
        <w:ind w:left="243" w:right="46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re-pricing or exchanging underwater stock options</w:t>
      </w:r>
    </w:p>
    <w:p>
      <w:pPr>
        <w:spacing w:after="0" w:line="7" w:lineRule="exact"/>
        <w:rPr>
          <w:rFonts w:ascii="Arial" w:cs="Arial" w:eastAsia="Arial" w:hAnsi="Arial"/>
          <w:sz w:val="22"/>
          <w:szCs w:val="22"/>
          <w:b w:val="1"/>
          <w:bCs w:val="1"/>
          <w:color w:val="572C83"/>
        </w:rPr>
      </w:pPr>
    </w:p>
    <w:p>
      <w:pPr>
        <w:ind w:left="243" w:right="54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dividends paid to executives before PSUs vest</w:t>
      </w:r>
    </w:p>
    <w:p>
      <w:pPr>
        <w:spacing w:after="0" w:line="7" w:lineRule="exact"/>
        <w:rPr>
          <w:rFonts w:ascii="Arial" w:cs="Arial" w:eastAsia="Arial" w:hAnsi="Arial"/>
          <w:sz w:val="22"/>
          <w:szCs w:val="22"/>
          <w:b w:val="1"/>
          <w:bCs w:val="1"/>
          <w:color w:val="572C83"/>
        </w:rPr>
      </w:pPr>
    </w:p>
    <w:p>
      <w:pPr>
        <w:ind w:left="243" w:right="820" w:hanging="243"/>
        <w:spacing w:after="0" w:line="274" w:lineRule="auto"/>
        <w:tabs>
          <w:tab w:leader="none" w:pos="255" w:val="left"/>
        </w:tabs>
        <w:numPr>
          <w:ilvl w:val="0"/>
          <w:numId w:val="60"/>
        </w:numPr>
        <w:rPr>
          <w:rFonts w:ascii="Arial" w:cs="Arial" w:eastAsia="Arial" w:hAnsi="Arial"/>
          <w:sz w:val="21"/>
          <w:szCs w:val="21"/>
          <w:b w:val="1"/>
          <w:bCs w:val="1"/>
          <w:color w:val="572C83"/>
        </w:rPr>
      </w:pPr>
      <w:r>
        <w:rPr>
          <w:rFonts w:ascii="Arial" w:cs="Arial" w:eastAsia="Arial" w:hAnsi="Arial"/>
          <w:sz w:val="21"/>
          <w:szCs w:val="21"/>
          <w:color w:val="auto"/>
        </w:rPr>
        <w:t>No above target PSU payout for a negative absolute TSR performance</w:t>
      </w:r>
    </w:p>
    <w:p>
      <w:pPr>
        <w:spacing w:after="0" w:line="2" w:lineRule="exact"/>
        <w:rPr>
          <w:rFonts w:ascii="Arial" w:cs="Arial" w:eastAsia="Arial" w:hAnsi="Arial"/>
          <w:sz w:val="21"/>
          <w:szCs w:val="21"/>
          <w:b w:val="1"/>
          <w:bCs w:val="1"/>
          <w:color w:val="572C83"/>
        </w:rPr>
      </w:pPr>
    </w:p>
    <w:p>
      <w:pPr>
        <w:ind w:left="243" w:right="700" w:hanging="243"/>
        <w:spacing w:after="0" w:line="245"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separate, enhanced health and welfare or retirement benefit plans for NEOs</w:t>
      </w:r>
    </w:p>
    <w:p>
      <w:pPr>
        <w:spacing w:after="0" w:line="21" w:lineRule="exact"/>
        <w:rPr>
          <w:rFonts w:ascii="Arial" w:cs="Arial" w:eastAsia="Arial" w:hAnsi="Arial"/>
          <w:sz w:val="22"/>
          <w:szCs w:val="22"/>
          <w:b w:val="1"/>
          <w:bCs w:val="1"/>
          <w:color w:val="572C83"/>
        </w:rPr>
      </w:pPr>
    </w:p>
    <w:p>
      <w:pPr>
        <w:ind w:left="243" w:right="108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guaranteed increases to base salaries</w:t>
      </w:r>
    </w:p>
    <w:p>
      <w:pPr>
        <w:spacing w:after="0" w:line="7" w:lineRule="exact"/>
        <w:rPr>
          <w:rFonts w:ascii="Arial" w:cs="Arial" w:eastAsia="Arial" w:hAnsi="Arial"/>
          <w:sz w:val="22"/>
          <w:szCs w:val="22"/>
          <w:b w:val="1"/>
          <w:bCs w:val="1"/>
          <w:color w:val="572C83"/>
        </w:rPr>
      </w:pPr>
    </w:p>
    <w:p>
      <w:pPr>
        <w:ind w:left="243" w:right="62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hedging, pledging or short sales of our Common Stock</w:t>
      </w:r>
    </w:p>
    <w:p>
      <w:pPr>
        <w:spacing w:after="0" w:line="7" w:lineRule="exact"/>
        <w:rPr>
          <w:rFonts w:ascii="Arial" w:cs="Arial" w:eastAsia="Arial" w:hAnsi="Arial"/>
          <w:sz w:val="22"/>
          <w:szCs w:val="22"/>
          <w:b w:val="1"/>
          <w:bCs w:val="1"/>
          <w:color w:val="572C83"/>
        </w:rPr>
      </w:pPr>
    </w:p>
    <w:p>
      <w:pPr>
        <w:ind w:left="243" w:right="34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tax gross-ups to NEOs for perquisites or in the event of a CIC</w:t>
      </w:r>
    </w:p>
    <w:p>
      <w:pPr>
        <w:spacing w:after="0" w:line="7" w:lineRule="exact"/>
        <w:rPr>
          <w:rFonts w:ascii="Arial" w:cs="Arial" w:eastAsia="Arial" w:hAnsi="Arial"/>
          <w:sz w:val="22"/>
          <w:szCs w:val="22"/>
          <w:b w:val="1"/>
          <w:bCs w:val="1"/>
          <w:color w:val="572C83"/>
        </w:rPr>
      </w:pPr>
    </w:p>
    <w:p>
      <w:pPr>
        <w:ind w:left="243" w:right="56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automatic “single trigger” vesting of equity in the event of a CIC</w:t>
      </w:r>
    </w:p>
    <w:p>
      <w:pPr>
        <w:spacing w:after="0" w:line="7" w:lineRule="exact"/>
        <w:rPr>
          <w:rFonts w:ascii="Arial" w:cs="Arial" w:eastAsia="Arial" w:hAnsi="Arial"/>
          <w:sz w:val="22"/>
          <w:szCs w:val="22"/>
          <w:b w:val="1"/>
          <w:bCs w:val="1"/>
          <w:color w:val="572C83"/>
        </w:rPr>
      </w:pPr>
    </w:p>
    <w:p>
      <w:pPr>
        <w:jc w:val="both"/>
        <w:ind w:left="243" w:right="840" w:hanging="243"/>
        <w:spacing w:after="0" w:line="245"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incentives to produce short-term results to the detriment of long-term goals and results</w:t>
      </w:r>
    </w:p>
    <w:p>
      <w:pPr>
        <w:spacing w:after="0" w:line="21" w:lineRule="exact"/>
        <w:rPr>
          <w:rFonts w:ascii="Arial" w:cs="Arial" w:eastAsia="Arial" w:hAnsi="Arial"/>
          <w:sz w:val="22"/>
          <w:szCs w:val="22"/>
          <w:b w:val="1"/>
          <w:bCs w:val="1"/>
          <w:color w:val="572C83"/>
        </w:rPr>
      </w:pPr>
    </w:p>
    <w:p>
      <w:pPr>
        <w:ind w:left="243" w:right="340" w:hanging="243"/>
        <w:spacing w:after="0" w:line="259" w:lineRule="auto"/>
        <w:tabs>
          <w:tab w:leader="none" w:pos="255" w:val="left"/>
        </w:tabs>
        <w:numPr>
          <w:ilvl w:val="0"/>
          <w:numId w:val="60"/>
        </w:numPr>
        <w:rPr>
          <w:rFonts w:ascii="Arial" w:cs="Arial" w:eastAsia="Arial" w:hAnsi="Arial"/>
          <w:sz w:val="22"/>
          <w:szCs w:val="22"/>
          <w:b w:val="1"/>
          <w:bCs w:val="1"/>
          <w:color w:val="572C83"/>
        </w:rPr>
      </w:pPr>
      <w:r>
        <w:rPr>
          <w:rFonts w:ascii="Arial" w:cs="Arial" w:eastAsia="Arial" w:hAnsi="Arial"/>
          <w:sz w:val="22"/>
          <w:szCs w:val="22"/>
          <w:color w:val="auto"/>
        </w:rPr>
        <w:t>No incentives to pursue excessively risky business strategies</w:t>
      </w:r>
    </w:p>
    <w:p>
      <w:pPr>
        <w:spacing w:after="0" w:line="200" w:lineRule="exact"/>
        <w:rPr>
          <w:sz w:val="20"/>
          <w:szCs w:val="20"/>
          <w:color w:val="auto"/>
        </w:rPr>
      </w:pPr>
    </w:p>
    <w:p>
      <w:pPr>
        <w:sectPr>
          <w:pgSz w:w="11900" w:h="16838" w:orient="portrait"/>
          <w:cols w:equalWidth="0" w:num="2">
            <w:col w:w="5997" w:space="720"/>
            <w:col w:w="4523"/>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Detailed Program Discussion</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TOTAL TARGET COMPENSATION MIX</w:t>
      </w:r>
    </w:p>
    <w:p>
      <w:pPr>
        <w:spacing w:after="0" w:line="10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People and Compensation Committee places significant focus on performance-based compensation, which is provided in the form of an annual performance incentive under the AIP, and stock options and PSUs under the LTIP. Our focus on performance-based compensation rewards strong Company financial and operating performance as well as aligning the interests of our NEOs with those of our shareholders.</w:t>
      </w:r>
    </w:p>
    <w:p>
      <w:pPr>
        <w:spacing w:after="0" w:line="149" w:lineRule="exact"/>
        <w:rPr>
          <w:sz w:val="20"/>
          <w:szCs w:val="20"/>
          <w:color w:val="auto"/>
        </w:rPr>
      </w:pPr>
    </w:p>
    <w:p>
      <w:pPr>
        <w:jc w:val="both"/>
        <w:ind w:right="940"/>
        <w:spacing w:after="0" w:line="245" w:lineRule="auto"/>
        <w:rPr>
          <w:sz w:val="20"/>
          <w:szCs w:val="20"/>
          <w:color w:val="auto"/>
        </w:rPr>
      </w:pPr>
      <w:r>
        <w:rPr>
          <w:rFonts w:ascii="Arial" w:cs="Arial" w:eastAsia="Arial" w:hAnsi="Arial"/>
          <w:sz w:val="22"/>
          <w:szCs w:val="22"/>
          <w:color w:val="auto"/>
        </w:rPr>
        <w:t>Below we show the 2021 total target compensation mix for our CEO and, on average, our other NEOs. This compensation mix includes base pay, target annual incentive and long-term incentive grants. The majority of compensation for both the CEO and the other NEOs is at risk/variable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107950</wp:posOffset>
            </wp:positionV>
            <wp:extent cx="4732020" cy="12858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73202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ELEMENTS OF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Overview</w:t>
      </w:r>
    </w:p>
    <w:p>
      <w:pPr>
        <w:spacing w:after="0" w:line="41"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Base salary is the primary element of compensation that is fixed. In setting base salaries for each NEO, the People and Compensation Committee follows the same approach used in determining compensation for the broader employee population, including pay competitiveness (generally targeting the median of comparable roles within our Compensation Survey Peer Group). The People and Compensation Committee then considers several other factors, including individual NEO performance, level of responsibility, complexity of role, global pay fairness, experience, potential to assume roles with greater responsibility and, if relevant, host country salary data. The Compensation Committee reviews NEO salaries annually. If awarded, salary increases are generally effective April 1.</w:t>
      </w:r>
    </w:p>
    <w:p>
      <w:pPr>
        <w:spacing w:after="0" w:line="68"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If there is a notable change in an NEO’s role and responsibilities during the year, the People and Compensation Committee considers whether an off-cycle increase is warranted. Our NEOs did not receive any off-cycle increases in 2021.</w:t>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2021 Compensation Actions</w:t>
      </w:r>
    </w:p>
    <w:p>
      <w:pPr>
        <w:spacing w:after="0" w:line="41"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Mr. Van de Put and Mr. Zaramella each received a base salary increase in 2021 to reflect their strong performance and contributions in their current roles and to maintain market competitiveness with external peers. Ms. Stein started her employment with the Company on January 11, 2021. None of our other NEOs received a base salary increase in 2021. Base salaries for all the NEOs and increases (where applicable) are shown in the table below. After the increases for each NEO, the base salary provided to each NEO remains at or near the market median.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28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2020 base salary</w:t>
            </w:r>
          </w:p>
        </w:tc>
        <w:tc>
          <w:tcPr>
            <w:tcW w:w="28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2021 base salary</w:t>
            </w:r>
          </w:p>
        </w:tc>
        <w:tc>
          <w:tcPr>
            <w:tcW w:w="28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 increase</w:t>
            </w:r>
          </w:p>
        </w:tc>
      </w:tr>
      <w:tr>
        <w:trPr>
          <w:trHeight w:val="323"/>
        </w:trPr>
        <w:tc>
          <w:tcPr>
            <w:tcW w:w="2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Dirk Van de Put</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1,450,000</w:t>
            </w:r>
          </w:p>
        </w:tc>
        <w:tc>
          <w:tcPr>
            <w:tcW w:w="2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1,500,000</w:t>
            </w:r>
          </w:p>
        </w:tc>
        <w:tc>
          <w:tcPr>
            <w:tcW w:w="2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3.4%</w:t>
            </w:r>
          </w:p>
        </w:tc>
      </w:tr>
      <w:tr>
        <w:trPr>
          <w:trHeight w:val="272"/>
        </w:trPr>
        <w:tc>
          <w:tcPr>
            <w:tcW w:w="28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Luca Zaramella</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825,000</w:t>
            </w:r>
          </w:p>
        </w:tc>
        <w:tc>
          <w:tcPr>
            <w:tcW w:w="2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850,000</w:t>
            </w:r>
          </w:p>
        </w:tc>
        <w:tc>
          <w:tcPr>
            <w:tcW w:w="2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w:t>
            </w:r>
          </w:p>
        </w:tc>
      </w:tr>
      <w:tr>
        <w:trPr>
          <w:trHeight w:val="45"/>
        </w:trPr>
        <w:tc>
          <w:tcPr>
            <w:tcW w:w="282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r>
      <w:tr>
        <w:trPr>
          <w:trHeight w:val="323"/>
        </w:trPr>
        <w:tc>
          <w:tcPr>
            <w:tcW w:w="2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Maurizio Brusadelli</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€ 602,700</w:t>
            </w:r>
          </w:p>
        </w:tc>
        <w:tc>
          <w:tcPr>
            <w:tcW w:w="2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€ 602,700</w:t>
            </w:r>
          </w:p>
        </w:tc>
        <w:tc>
          <w:tcPr>
            <w:tcW w:w="2820" w:type="dxa"/>
            <w:vAlign w:val="bottom"/>
            <w:tcBorders>
              <w:bottom w:val="single" w:sz="8" w:color="EBE6F0"/>
            </w:tcBorders>
            <w:shd w:val="clear" w:color="auto" w:fill="EBE6F0"/>
          </w:tcPr>
          <w:p>
            <w:pPr>
              <w:jc w:val="right"/>
              <w:ind w:right="52"/>
              <w:spacing w:after="0"/>
              <w:rPr>
                <w:sz w:val="20"/>
                <w:szCs w:val="20"/>
                <w:color w:val="auto"/>
              </w:rPr>
            </w:pPr>
            <w:r>
              <w:rPr>
                <w:rFonts w:ascii="Arial" w:cs="Arial" w:eastAsia="Arial" w:hAnsi="Arial"/>
                <w:sz w:val="18"/>
                <w:szCs w:val="18"/>
                <w:color w:val="auto"/>
              </w:rPr>
              <w:t>-</w:t>
            </w:r>
          </w:p>
        </w:tc>
      </w:tr>
      <w:tr>
        <w:trPr>
          <w:trHeight w:val="272"/>
        </w:trPr>
        <w:tc>
          <w:tcPr>
            <w:tcW w:w="28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Vinzenz Gruber</w:t>
            </w:r>
          </w:p>
        </w:tc>
        <w:tc>
          <w:tcPr>
            <w:tcW w:w="28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CHF 710,800</w:t>
            </w:r>
          </w:p>
        </w:tc>
        <w:tc>
          <w:tcPr>
            <w:tcW w:w="2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CHF 710,800</w:t>
            </w:r>
          </w:p>
        </w:tc>
        <w:tc>
          <w:tcPr>
            <w:tcW w:w="2820" w:type="dxa"/>
            <w:vAlign w:val="bottom"/>
            <w:tcBorders>
              <w:top w:val="single" w:sz="8" w:color="582C83"/>
            </w:tcBorders>
          </w:tcPr>
          <w:p>
            <w:pPr>
              <w:jc w:val="right"/>
              <w:ind w:right="52"/>
              <w:spacing w:after="0"/>
              <w:rPr>
                <w:sz w:val="20"/>
                <w:szCs w:val="20"/>
                <w:color w:val="auto"/>
              </w:rPr>
            </w:pPr>
            <w:r>
              <w:rPr>
                <w:rFonts w:ascii="Arial" w:cs="Arial" w:eastAsia="Arial" w:hAnsi="Arial"/>
                <w:sz w:val="18"/>
                <w:szCs w:val="18"/>
                <w:color w:val="auto"/>
              </w:rPr>
              <w:t>-</w:t>
            </w:r>
          </w:p>
        </w:tc>
      </w:tr>
      <w:tr>
        <w:trPr>
          <w:trHeight w:val="46"/>
        </w:trPr>
        <w:tc>
          <w:tcPr>
            <w:tcW w:w="2820" w:type="dxa"/>
            <w:vAlign w:val="bottom"/>
            <w:tcBorders>
              <w:bottom w:val="single" w:sz="8" w:color="582C83"/>
            </w:tcBorders>
          </w:tcPr>
          <w:p>
            <w:pPr>
              <w:spacing w:after="0"/>
              <w:rPr>
                <w:sz w:val="3"/>
                <w:szCs w:val="3"/>
                <w:color w:val="auto"/>
              </w:rPr>
            </w:pPr>
          </w:p>
        </w:tc>
        <w:tc>
          <w:tcPr>
            <w:tcW w:w="280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c>
          <w:tcPr>
            <w:tcW w:w="2820" w:type="dxa"/>
            <w:vAlign w:val="bottom"/>
            <w:tcBorders>
              <w:bottom w:val="single" w:sz="8" w:color="582C83"/>
            </w:tcBorders>
          </w:tcPr>
          <w:p>
            <w:pPr>
              <w:spacing w:after="0"/>
              <w:rPr>
                <w:sz w:val="3"/>
                <w:szCs w:val="3"/>
                <w:color w:val="auto"/>
              </w:rPr>
            </w:pPr>
          </w:p>
        </w:tc>
      </w:tr>
      <w:tr>
        <w:trPr>
          <w:trHeight w:val="290"/>
        </w:trPr>
        <w:tc>
          <w:tcPr>
            <w:tcW w:w="2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Laura Stein</w:t>
            </w:r>
          </w:p>
        </w:tc>
        <w:tc>
          <w:tcPr>
            <w:tcW w:w="28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2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725,000</w:t>
            </w:r>
          </w:p>
        </w:tc>
        <w:tc>
          <w:tcPr>
            <w:tcW w:w="2820" w:type="dxa"/>
            <w:vAlign w:val="bottom"/>
            <w:tcBorders>
              <w:bottom w:val="single" w:sz="8" w:color="EBE6F0"/>
            </w:tcBorders>
            <w:shd w:val="clear" w:color="auto" w:fill="EBE6F0"/>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shd w:val="clear" w:color="auto" w:fill="582C83"/>
          </w:tcPr>
          <w:p>
            <w:pPr>
              <w:spacing w:after="0"/>
              <w:rPr>
                <w:sz w:val="2"/>
                <w:szCs w:val="2"/>
                <w:color w:val="auto"/>
              </w:rPr>
            </w:pPr>
          </w:p>
        </w:tc>
        <w:tc>
          <w:tcPr>
            <w:tcW w:w="2800" w:type="dxa"/>
            <w:vAlign w:val="bottom"/>
            <w:shd w:val="clear" w:color="auto" w:fill="582C83"/>
          </w:tcPr>
          <w:p>
            <w:pPr>
              <w:spacing w:after="0"/>
              <w:rPr>
                <w:sz w:val="2"/>
                <w:szCs w:val="2"/>
                <w:color w:val="auto"/>
              </w:rPr>
            </w:pPr>
          </w:p>
        </w:tc>
        <w:tc>
          <w:tcPr>
            <w:tcW w:w="2820" w:type="dxa"/>
            <w:vAlign w:val="bottom"/>
            <w:shd w:val="clear" w:color="auto" w:fill="582C83"/>
          </w:tcPr>
          <w:p>
            <w:pPr>
              <w:spacing w:after="0"/>
              <w:rPr>
                <w:sz w:val="2"/>
                <w:szCs w:val="2"/>
                <w:color w:val="auto"/>
              </w:rPr>
            </w:pPr>
          </w:p>
        </w:tc>
        <w:tc>
          <w:tcPr>
            <w:tcW w:w="2820" w:type="dxa"/>
            <w:vAlign w:val="bottom"/>
            <w:shd w:val="clear" w:color="auto" w:fill="582C83"/>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Incentive Plan</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Annual Incentive Plan Award Formula</w:t>
      </w:r>
    </w:p>
    <w:p>
      <w:pPr>
        <w:spacing w:after="0" w:line="41" w:lineRule="exact"/>
        <w:rPr>
          <w:sz w:val="20"/>
          <w:szCs w:val="20"/>
          <w:color w:val="auto"/>
        </w:rPr>
      </w:pPr>
    </w:p>
    <w:p>
      <w:pPr>
        <w:ind w:right="100"/>
        <w:spacing w:after="0" w:line="244" w:lineRule="auto"/>
        <w:rPr>
          <w:sz w:val="20"/>
          <w:szCs w:val="20"/>
          <w:color w:val="auto"/>
        </w:rPr>
      </w:pPr>
      <w:r>
        <w:rPr>
          <w:rFonts w:ascii="Arial" w:cs="Arial" w:eastAsia="Arial" w:hAnsi="Arial"/>
          <w:sz w:val="22"/>
          <w:szCs w:val="22"/>
          <w:color w:val="auto"/>
        </w:rPr>
        <w:t>The People and Compensation Committee used the formula below to determine awards to the NEOs under the 2021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109220</wp:posOffset>
            </wp:positionV>
            <wp:extent cx="6000750" cy="22720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0075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Target annual incentive opportunity: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88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3760" w:type="dxa"/>
            <w:vAlign w:val="bottom"/>
            <w:tcBorders>
              <w:bottom w:val="single" w:sz="8" w:color="582C83"/>
            </w:tcBorders>
          </w:tcPr>
          <w:p>
            <w:pPr>
              <w:jc w:val="right"/>
              <w:ind w:right="12"/>
              <w:spacing w:after="0"/>
              <w:rPr>
                <w:sz w:val="20"/>
                <w:szCs w:val="20"/>
                <w:color w:val="auto"/>
              </w:rPr>
            </w:pPr>
            <w:r>
              <w:rPr>
                <w:rFonts w:ascii="Arial" w:cs="Arial" w:eastAsia="Arial" w:hAnsi="Arial"/>
                <w:sz w:val="18"/>
                <w:szCs w:val="18"/>
                <w:b w:val="1"/>
                <w:bCs w:val="1"/>
                <w:color w:val="auto"/>
              </w:rPr>
              <w:t>Target opportunity as a % of salary</w:t>
            </w:r>
          </w:p>
        </w:tc>
      </w:tr>
      <w:tr>
        <w:trPr>
          <w:trHeight w:val="323"/>
        </w:trPr>
        <w:tc>
          <w:tcPr>
            <w:tcW w:w="188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Mr. Van de Put</w:t>
            </w:r>
          </w:p>
        </w:tc>
        <w:tc>
          <w:tcPr>
            <w:tcW w:w="37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185%</w:t>
            </w:r>
          </w:p>
        </w:tc>
      </w:tr>
      <w:tr>
        <w:trPr>
          <w:trHeight w:val="272"/>
        </w:trPr>
        <w:tc>
          <w:tcPr>
            <w:tcW w:w="188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Zaramella</w:t>
            </w:r>
          </w:p>
        </w:tc>
        <w:tc>
          <w:tcPr>
            <w:tcW w:w="37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46"/>
        </w:trPr>
        <w:tc>
          <w:tcPr>
            <w:tcW w:w="1880" w:type="dxa"/>
            <w:vAlign w:val="bottom"/>
            <w:tcBorders>
              <w:bottom w:val="single" w:sz="8" w:color="582C83"/>
            </w:tcBorders>
          </w:tcPr>
          <w:p>
            <w:pPr>
              <w:spacing w:after="0"/>
              <w:rPr>
                <w:sz w:val="3"/>
                <w:szCs w:val="3"/>
                <w:color w:val="auto"/>
              </w:rPr>
            </w:pPr>
          </w:p>
        </w:tc>
        <w:tc>
          <w:tcPr>
            <w:tcW w:w="3760" w:type="dxa"/>
            <w:vAlign w:val="bottom"/>
            <w:tcBorders>
              <w:bottom w:val="single" w:sz="8" w:color="582C83"/>
            </w:tcBorders>
          </w:tcPr>
          <w:p>
            <w:pPr>
              <w:spacing w:after="0"/>
              <w:rPr>
                <w:sz w:val="3"/>
                <w:szCs w:val="3"/>
                <w:color w:val="auto"/>
              </w:rPr>
            </w:pPr>
          </w:p>
        </w:tc>
      </w:tr>
      <w:tr>
        <w:trPr>
          <w:trHeight w:val="323"/>
        </w:trPr>
        <w:tc>
          <w:tcPr>
            <w:tcW w:w="188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Mr. Brusadelli</w:t>
            </w:r>
          </w:p>
        </w:tc>
        <w:tc>
          <w:tcPr>
            <w:tcW w:w="37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90%</w:t>
            </w:r>
          </w:p>
        </w:tc>
      </w:tr>
      <w:tr>
        <w:trPr>
          <w:trHeight w:val="272"/>
        </w:trPr>
        <w:tc>
          <w:tcPr>
            <w:tcW w:w="188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Gruber</w:t>
            </w:r>
          </w:p>
        </w:tc>
        <w:tc>
          <w:tcPr>
            <w:tcW w:w="376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90%</w:t>
            </w:r>
          </w:p>
        </w:tc>
      </w:tr>
      <w:tr>
        <w:trPr>
          <w:trHeight w:val="46"/>
        </w:trPr>
        <w:tc>
          <w:tcPr>
            <w:tcW w:w="1880" w:type="dxa"/>
            <w:vAlign w:val="bottom"/>
            <w:tcBorders>
              <w:bottom w:val="single" w:sz="8" w:color="582C83"/>
            </w:tcBorders>
          </w:tcPr>
          <w:p>
            <w:pPr>
              <w:spacing w:after="0"/>
              <w:rPr>
                <w:sz w:val="3"/>
                <w:szCs w:val="3"/>
                <w:color w:val="auto"/>
              </w:rPr>
            </w:pPr>
          </w:p>
        </w:tc>
        <w:tc>
          <w:tcPr>
            <w:tcW w:w="3760" w:type="dxa"/>
            <w:vAlign w:val="bottom"/>
            <w:tcBorders>
              <w:bottom w:val="single" w:sz="8" w:color="582C83"/>
            </w:tcBorders>
          </w:tcPr>
          <w:p>
            <w:pPr>
              <w:spacing w:after="0"/>
              <w:rPr>
                <w:sz w:val="3"/>
                <w:szCs w:val="3"/>
                <w:color w:val="auto"/>
              </w:rPr>
            </w:pPr>
          </w:p>
        </w:tc>
      </w:tr>
      <w:tr>
        <w:trPr>
          <w:trHeight w:val="290"/>
        </w:trPr>
        <w:tc>
          <w:tcPr>
            <w:tcW w:w="188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Ms. Stein</w:t>
            </w:r>
          </w:p>
        </w:tc>
        <w:tc>
          <w:tcPr>
            <w:tcW w:w="37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1880" w:type="dxa"/>
            <w:vAlign w:val="bottom"/>
            <w:shd w:val="clear" w:color="auto" w:fill="582C83"/>
          </w:tcPr>
          <w:p>
            <w:pPr>
              <w:spacing w:after="0"/>
              <w:rPr>
                <w:sz w:val="2"/>
                <w:szCs w:val="2"/>
                <w:color w:val="auto"/>
              </w:rPr>
            </w:pPr>
          </w:p>
        </w:tc>
        <w:tc>
          <w:tcPr>
            <w:tcW w:w="3760" w:type="dxa"/>
            <w:vAlign w:val="bottom"/>
            <w:shd w:val="clear" w:color="auto" w:fill="582C83"/>
          </w:tcPr>
          <w:p>
            <w:pPr>
              <w:spacing w:after="0"/>
              <w:rPr>
                <w:sz w:val="2"/>
                <w:szCs w:val="2"/>
                <w:color w:val="auto"/>
              </w:rPr>
            </w:pPr>
          </w:p>
        </w:tc>
      </w:tr>
    </w:tbl>
    <w:p>
      <w:pPr>
        <w:spacing w:after="0" w:line="17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People and Compensation Committee reviews benchmark data from our Compensation Survey Peer Group (see page 84) to align with our goal of targeting each compensation element near market median. Target annual incentive opportunities remained the same for all NEOs in 2021 except for Mr. Van de Put, whose target opportunity increased from 175% to 185% effective January 1, 2021, to align more closely with market median, and Ms. Stein, who commenced employment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The graphic below describes the 2021 AIP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216535</wp:posOffset>
            </wp:positionV>
            <wp:extent cx="6858000" cy="32658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0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tab/>
        <w:t>Based on nine KPI goals including ESG goals. See Strategic KPI Objectives on page 75 for detail on KPI goals.</w:t>
      </w: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Financial Performance Rating (80% Weighting)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 and Alignment with Strategy</w:t>
      </w:r>
    </w:p>
    <w:p>
      <w:pPr>
        <w:spacing w:after="0" w:line="4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financial performance rating for Messrs. Van de Put and Zaramella and Ms. Stein is based on global performance while the financial performance ratings for Messrs. Brusadelli and Gruber are based on both their region and global Company performance. The metrics used to determine the financial performance component and their alignment with our strategy are described below. In selecting metrics, the Board seeks to incentivize actions that drive execution against our strategy. The Board determined that each of the metrics below incentivizes a key component of our growth strategy and executives have the ability to influence our performance on each measure. Performance ratings against each measure can range from 0% to 200%, with the exception of the Market Share Overlay.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82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Performance Measure</w:t>
            </w:r>
          </w:p>
        </w:tc>
        <w:tc>
          <w:tcPr>
            <w:tcW w:w="842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Alignment with Strategy</w:t>
            </w:r>
          </w:p>
        </w:tc>
        <w:tc>
          <w:tcPr>
            <w:tcW w:w="20" w:type="dxa"/>
            <w:vAlign w:val="bottom"/>
            <w:tcBorders>
              <w:bottom w:val="single" w:sz="8" w:color="582C83"/>
            </w:tcBorders>
          </w:tcPr>
          <w:p>
            <w:pPr>
              <w:spacing w:after="0"/>
              <w:rPr>
                <w:sz w:val="24"/>
                <w:szCs w:val="24"/>
                <w:color w:val="auto"/>
              </w:rPr>
            </w:pPr>
          </w:p>
        </w:tc>
      </w:tr>
      <w:tr>
        <w:trPr>
          <w:trHeight w:val="271"/>
        </w:trPr>
        <w:tc>
          <w:tcPr>
            <w:tcW w:w="2820" w:type="dxa"/>
            <w:vAlign w:val="bottom"/>
            <w:shd w:val="clear" w:color="auto" w:fill="EBE6F0"/>
          </w:tcPr>
          <w:p>
            <w:pPr>
              <w:ind w:left="80"/>
              <w:spacing w:after="0"/>
              <w:rPr>
                <w:sz w:val="20"/>
                <w:szCs w:val="20"/>
                <w:color w:val="auto"/>
              </w:rPr>
            </w:pPr>
            <w:r>
              <w:rPr>
                <w:rFonts w:ascii="Arial" w:cs="Arial" w:eastAsia="Arial" w:hAnsi="Arial"/>
                <w:sz w:val="22"/>
                <w:szCs w:val="22"/>
                <w:color w:val="auto"/>
              </w:rPr>
              <w:t>Organic Volume Growth</w:t>
            </w:r>
          </w:p>
        </w:tc>
        <w:tc>
          <w:tcPr>
            <w:tcW w:w="8420" w:type="dxa"/>
            <w:vAlign w:val="bottom"/>
            <w:shd w:val="clear" w:color="auto" w:fill="EBE6F0"/>
          </w:tcPr>
          <w:p>
            <w:pPr>
              <w:ind w:left="80"/>
              <w:spacing w:after="0"/>
              <w:rPr>
                <w:sz w:val="20"/>
                <w:szCs w:val="20"/>
                <w:color w:val="auto"/>
              </w:rPr>
            </w:pPr>
            <w:r>
              <w:rPr>
                <w:rFonts w:ascii="Arial" w:cs="Arial" w:eastAsia="Arial" w:hAnsi="Arial"/>
                <w:sz w:val="22"/>
                <w:szCs w:val="22"/>
                <w:color w:val="auto"/>
              </w:rPr>
              <w:t>Incentivizes balanced, high-quality, top-line growth and improved margin leverage</w:t>
            </w:r>
          </w:p>
        </w:tc>
        <w:tc>
          <w:tcPr>
            <w:tcW w:w="20" w:type="dxa"/>
            <w:vAlign w:val="bottom"/>
            <w:shd w:val="clear" w:color="auto" w:fill="EBE6F0"/>
          </w:tcPr>
          <w:p>
            <w:pPr>
              <w:spacing w:after="0"/>
              <w:rPr>
                <w:sz w:val="23"/>
                <w:szCs w:val="23"/>
                <w:color w:val="auto"/>
              </w:rPr>
            </w:pPr>
          </w:p>
        </w:tc>
      </w:tr>
      <w:tr>
        <w:trPr>
          <w:trHeight w:val="317"/>
        </w:trPr>
        <w:tc>
          <w:tcPr>
            <w:tcW w:w="28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through higher capacity utilization.</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1"/>
        </w:trPr>
        <w:tc>
          <w:tcPr>
            <w:tcW w:w="2820" w:type="dxa"/>
            <w:vAlign w:val="bottom"/>
          </w:tcPr>
          <w:p>
            <w:pPr>
              <w:ind w:left="80"/>
              <w:spacing w:after="0"/>
              <w:rPr>
                <w:sz w:val="20"/>
                <w:szCs w:val="20"/>
                <w:color w:val="auto"/>
              </w:rPr>
            </w:pPr>
            <w:r>
              <w:rPr>
                <w:rFonts w:ascii="Arial" w:cs="Arial" w:eastAsia="Arial" w:hAnsi="Arial"/>
                <w:sz w:val="22"/>
                <w:szCs w:val="22"/>
                <w:color w:val="auto"/>
              </w:rPr>
              <w:t>Organic Net Revenue</w:t>
            </w:r>
          </w:p>
        </w:tc>
        <w:tc>
          <w:tcPr>
            <w:tcW w:w="8420" w:type="dxa"/>
            <w:vAlign w:val="bottom"/>
          </w:tcPr>
          <w:p>
            <w:pPr>
              <w:ind w:left="60"/>
              <w:spacing w:after="0"/>
              <w:rPr>
                <w:sz w:val="20"/>
                <w:szCs w:val="20"/>
                <w:color w:val="auto"/>
              </w:rPr>
            </w:pPr>
            <w:r>
              <w:rPr>
                <w:rFonts w:ascii="Arial" w:cs="Arial" w:eastAsia="Arial" w:hAnsi="Arial"/>
                <w:sz w:val="22"/>
                <w:szCs w:val="22"/>
                <w:color w:val="auto"/>
              </w:rPr>
              <w:t>Focuses on high-quality revenue growth through market share, volume gains and</w:t>
            </w:r>
          </w:p>
        </w:tc>
        <w:tc>
          <w:tcPr>
            <w:tcW w:w="20" w:type="dxa"/>
            <w:vAlign w:val="bottom"/>
          </w:tcPr>
          <w:p>
            <w:pPr>
              <w:spacing w:after="0"/>
              <w:rPr>
                <w:sz w:val="23"/>
                <w:szCs w:val="23"/>
                <w:color w:val="auto"/>
              </w:rPr>
            </w:pPr>
          </w:p>
        </w:tc>
      </w:tr>
      <w:tr>
        <w:trPr>
          <w:trHeight w:val="283"/>
        </w:trPr>
        <w:tc>
          <w:tcPr>
            <w:tcW w:w="2820" w:type="dxa"/>
            <w:vAlign w:val="bottom"/>
          </w:tcPr>
          <w:p>
            <w:pPr>
              <w:ind w:left="80"/>
              <w:spacing w:after="0"/>
              <w:rPr>
                <w:sz w:val="20"/>
                <w:szCs w:val="20"/>
                <w:color w:val="auto"/>
              </w:rPr>
            </w:pPr>
            <w:r>
              <w:rPr>
                <w:rFonts w:ascii="Arial" w:cs="Arial" w:eastAsia="Arial" w:hAnsi="Arial"/>
                <w:sz w:val="22"/>
                <w:szCs w:val="22"/>
                <w:color w:val="auto"/>
              </w:rPr>
              <w:t>Growth</w:t>
            </w:r>
          </w:p>
        </w:tc>
        <w:tc>
          <w:tcPr>
            <w:tcW w:w="8420" w:type="dxa"/>
            <w:vAlign w:val="bottom"/>
          </w:tcPr>
          <w:p>
            <w:pPr>
              <w:ind w:left="60"/>
              <w:spacing w:after="0"/>
              <w:rPr>
                <w:sz w:val="20"/>
                <w:szCs w:val="20"/>
                <w:color w:val="auto"/>
              </w:rPr>
            </w:pPr>
            <w:r>
              <w:rPr>
                <w:rFonts w:ascii="Arial" w:cs="Arial" w:eastAsia="Arial" w:hAnsi="Arial"/>
                <w:sz w:val="22"/>
                <w:szCs w:val="22"/>
                <w:color w:val="auto"/>
              </w:rPr>
              <w:t>price-mix optimization.</w:t>
            </w:r>
          </w:p>
        </w:tc>
        <w:tc>
          <w:tcPr>
            <w:tcW w:w="20" w:type="dxa"/>
            <w:vAlign w:val="bottom"/>
          </w:tcPr>
          <w:p>
            <w:pPr>
              <w:spacing w:after="0"/>
              <w:rPr>
                <w:sz w:val="24"/>
                <w:szCs w:val="24"/>
                <w:color w:val="auto"/>
              </w:rPr>
            </w:pPr>
          </w:p>
        </w:tc>
      </w:tr>
      <w:tr>
        <w:trPr>
          <w:trHeight w:val="40"/>
        </w:trPr>
        <w:tc>
          <w:tcPr>
            <w:tcW w:w="2820" w:type="dxa"/>
            <w:vAlign w:val="bottom"/>
          </w:tcPr>
          <w:p>
            <w:pPr>
              <w:spacing w:after="0"/>
              <w:rPr>
                <w:sz w:val="3"/>
                <w:szCs w:val="3"/>
                <w:color w:val="auto"/>
              </w:rPr>
            </w:pPr>
          </w:p>
        </w:tc>
        <w:tc>
          <w:tcPr>
            <w:tcW w:w="84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4"/>
        </w:trPr>
        <w:tc>
          <w:tcPr>
            <w:tcW w:w="2820" w:type="dxa"/>
            <w:vAlign w:val="bottom"/>
            <w:shd w:val="clear" w:color="auto" w:fill="EBE6F0"/>
          </w:tcPr>
          <w:p>
            <w:pPr>
              <w:ind w:left="80"/>
              <w:spacing w:after="0"/>
              <w:rPr>
                <w:sz w:val="20"/>
                <w:szCs w:val="20"/>
                <w:color w:val="auto"/>
              </w:rPr>
            </w:pPr>
            <w:r>
              <w:rPr>
                <w:rFonts w:ascii="Arial" w:cs="Arial" w:eastAsia="Arial" w:hAnsi="Arial"/>
                <w:sz w:val="22"/>
                <w:szCs w:val="22"/>
                <w:color w:val="auto"/>
              </w:rPr>
              <w:t>Defined Gross Profit</w:t>
            </w:r>
          </w:p>
        </w:tc>
        <w:tc>
          <w:tcPr>
            <w:tcW w:w="8420" w:type="dxa"/>
            <w:vAlign w:val="bottom"/>
            <w:shd w:val="clear" w:color="auto" w:fill="EBE6F0"/>
          </w:tcPr>
          <w:p>
            <w:pPr>
              <w:ind w:left="80"/>
              <w:spacing w:after="0"/>
              <w:rPr>
                <w:sz w:val="20"/>
                <w:szCs w:val="20"/>
                <w:color w:val="auto"/>
              </w:rPr>
            </w:pPr>
            <w:r>
              <w:rPr>
                <w:rFonts w:ascii="Arial" w:cs="Arial" w:eastAsia="Arial" w:hAnsi="Arial"/>
                <w:sz w:val="22"/>
                <w:szCs w:val="22"/>
                <w:color w:val="auto"/>
              </w:rPr>
              <w:t>Measures the Company’s ability to manage and balance trade-offs among volume,</w:t>
            </w:r>
          </w:p>
        </w:tc>
        <w:tc>
          <w:tcPr>
            <w:tcW w:w="20" w:type="dxa"/>
            <w:vAlign w:val="bottom"/>
            <w:shd w:val="clear" w:color="auto" w:fill="EBE6F0"/>
          </w:tcPr>
          <w:p>
            <w:pPr>
              <w:spacing w:after="0"/>
              <w:rPr>
                <w:sz w:val="24"/>
                <w:szCs w:val="24"/>
                <w:color w:val="auto"/>
              </w:rPr>
            </w:pPr>
          </w:p>
        </w:tc>
      </w:tr>
      <w:tr>
        <w:trPr>
          <w:trHeight w:val="243"/>
        </w:trPr>
        <w:tc>
          <w:tcPr>
            <w:tcW w:w="28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Dollars</w:t>
            </w:r>
          </w:p>
        </w:tc>
        <w:tc>
          <w:tcPr>
            <w:tcW w:w="84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mix, pricing and costs, and enables investment to drive earnings and Free Cash Flow</w:t>
            </w:r>
          </w:p>
        </w:tc>
        <w:tc>
          <w:tcPr>
            <w:tcW w:w="20" w:type="dxa"/>
            <w:vAlign w:val="bottom"/>
            <w:shd w:val="clear" w:color="auto" w:fill="EBE6F0"/>
          </w:tcPr>
          <w:p>
            <w:pPr>
              <w:spacing w:after="0"/>
              <w:rPr>
                <w:sz w:val="21"/>
                <w:szCs w:val="21"/>
                <w:color w:val="auto"/>
              </w:rPr>
            </w:pPr>
          </w:p>
        </w:tc>
      </w:tr>
      <w:tr>
        <w:trPr>
          <w:trHeight w:val="317"/>
        </w:trPr>
        <w:tc>
          <w:tcPr>
            <w:tcW w:w="28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through investing in people and brands.</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1"/>
        </w:trPr>
        <w:tc>
          <w:tcPr>
            <w:tcW w:w="2820" w:type="dxa"/>
            <w:vAlign w:val="bottom"/>
          </w:tcPr>
          <w:p>
            <w:pPr>
              <w:ind w:left="80"/>
              <w:spacing w:after="0"/>
              <w:rPr>
                <w:sz w:val="20"/>
                <w:szCs w:val="20"/>
                <w:color w:val="auto"/>
              </w:rPr>
            </w:pPr>
            <w:r>
              <w:rPr>
                <w:rFonts w:ascii="Arial" w:cs="Arial" w:eastAsia="Arial" w:hAnsi="Arial"/>
                <w:sz w:val="22"/>
                <w:szCs w:val="22"/>
                <w:color w:val="auto"/>
              </w:rPr>
              <w:t>Defined Operating Income</w:t>
            </w:r>
          </w:p>
        </w:tc>
        <w:tc>
          <w:tcPr>
            <w:tcW w:w="8420" w:type="dxa"/>
            <w:vAlign w:val="bottom"/>
          </w:tcPr>
          <w:p>
            <w:pPr>
              <w:ind w:left="60"/>
              <w:spacing w:after="0"/>
              <w:rPr>
                <w:sz w:val="20"/>
                <w:szCs w:val="20"/>
                <w:color w:val="auto"/>
              </w:rPr>
            </w:pPr>
            <w:r>
              <w:rPr>
                <w:rFonts w:ascii="Arial" w:cs="Arial" w:eastAsia="Arial" w:hAnsi="Arial"/>
                <w:sz w:val="22"/>
                <w:szCs w:val="22"/>
                <w:color w:val="auto"/>
              </w:rPr>
              <w:t>Demonstrates if our business is operating successfully by capturing all operating</w:t>
            </w:r>
          </w:p>
        </w:tc>
        <w:tc>
          <w:tcPr>
            <w:tcW w:w="20" w:type="dxa"/>
            <w:vAlign w:val="bottom"/>
          </w:tcPr>
          <w:p>
            <w:pPr>
              <w:spacing w:after="0"/>
              <w:rPr>
                <w:sz w:val="23"/>
                <w:szCs w:val="23"/>
                <w:color w:val="auto"/>
              </w:rPr>
            </w:pPr>
          </w:p>
        </w:tc>
      </w:tr>
      <w:tr>
        <w:trPr>
          <w:trHeight w:val="283"/>
        </w:trPr>
        <w:tc>
          <w:tcPr>
            <w:tcW w:w="282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22"/>
                <w:szCs w:val="22"/>
                <w:color w:val="auto"/>
              </w:rPr>
              <w:t>costs.</w:t>
            </w:r>
          </w:p>
        </w:tc>
        <w:tc>
          <w:tcPr>
            <w:tcW w:w="20" w:type="dxa"/>
            <w:vAlign w:val="bottom"/>
          </w:tcPr>
          <w:p>
            <w:pPr>
              <w:spacing w:after="0"/>
              <w:rPr>
                <w:sz w:val="24"/>
                <w:szCs w:val="24"/>
                <w:color w:val="auto"/>
              </w:rPr>
            </w:pPr>
          </w:p>
        </w:tc>
      </w:tr>
      <w:tr>
        <w:trPr>
          <w:trHeight w:val="40"/>
        </w:trPr>
        <w:tc>
          <w:tcPr>
            <w:tcW w:w="2820" w:type="dxa"/>
            <w:vAlign w:val="bottom"/>
          </w:tcPr>
          <w:p>
            <w:pPr>
              <w:spacing w:after="0"/>
              <w:rPr>
                <w:sz w:val="3"/>
                <w:szCs w:val="3"/>
                <w:color w:val="auto"/>
              </w:rPr>
            </w:pPr>
          </w:p>
        </w:tc>
        <w:tc>
          <w:tcPr>
            <w:tcW w:w="84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84"/>
        </w:trPr>
        <w:tc>
          <w:tcPr>
            <w:tcW w:w="2820" w:type="dxa"/>
            <w:vAlign w:val="bottom"/>
            <w:shd w:val="clear" w:color="auto" w:fill="EBE6F0"/>
          </w:tcPr>
          <w:p>
            <w:pPr>
              <w:ind w:left="80"/>
              <w:spacing w:after="0"/>
              <w:rPr>
                <w:sz w:val="20"/>
                <w:szCs w:val="20"/>
                <w:color w:val="auto"/>
              </w:rPr>
            </w:pPr>
            <w:r>
              <w:rPr>
                <w:rFonts w:ascii="Arial" w:cs="Arial" w:eastAsia="Arial" w:hAnsi="Arial"/>
                <w:sz w:val="22"/>
                <w:szCs w:val="22"/>
                <w:color w:val="auto"/>
              </w:rPr>
              <w:t>Free Cash Flow</w:t>
            </w:r>
          </w:p>
        </w:tc>
        <w:tc>
          <w:tcPr>
            <w:tcW w:w="8420" w:type="dxa"/>
            <w:vAlign w:val="bottom"/>
            <w:shd w:val="clear" w:color="auto" w:fill="EBE6F0"/>
          </w:tcPr>
          <w:p>
            <w:pPr>
              <w:ind w:left="80"/>
              <w:spacing w:after="0"/>
              <w:rPr>
                <w:sz w:val="20"/>
                <w:szCs w:val="20"/>
                <w:color w:val="auto"/>
              </w:rPr>
            </w:pPr>
            <w:r>
              <w:rPr>
                <w:rFonts w:ascii="Arial" w:cs="Arial" w:eastAsia="Arial" w:hAnsi="Arial"/>
                <w:sz w:val="22"/>
                <w:szCs w:val="22"/>
                <w:color w:val="auto"/>
              </w:rPr>
              <w:t>Key metric that influences our ability to invest for future growth, drive operational</w:t>
            </w:r>
          </w:p>
        </w:tc>
        <w:tc>
          <w:tcPr>
            <w:tcW w:w="20" w:type="dxa"/>
            <w:vAlign w:val="bottom"/>
            <w:shd w:val="clear" w:color="auto" w:fill="EBE6F0"/>
          </w:tcPr>
          <w:p>
            <w:pPr>
              <w:spacing w:after="0"/>
              <w:rPr>
                <w:sz w:val="24"/>
                <w:szCs w:val="24"/>
                <w:color w:val="auto"/>
              </w:rPr>
            </w:pPr>
          </w:p>
        </w:tc>
      </w:tr>
      <w:tr>
        <w:trPr>
          <w:trHeight w:val="317"/>
        </w:trPr>
        <w:tc>
          <w:tcPr>
            <w:tcW w:w="2820" w:type="dxa"/>
            <w:vAlign w:val="bottom"/>
            <w:tcBorders>
              <w:bottom w:val="single" w:sz="8" w:color="EBE6F0"/>
            </w:tcBorders>
            <w:shd w:val="clear" w:color="auto" w:fill="EBE6F0"/>
          </w:tcPr>
          <w:p>
            <w:pPr>
              <w:spacing w:after="0"/>
              <w:rPr>
                <w:sz w:val="24"/>
                <w:szCs w:val="24"/>
                <w:color w:val="auto"/>
              </w:rPr>
            </w:pPr>
          </w:p>
        </w:tc>
        <w:tc>
          <w:tcPr>
            <w:tcW w:w="84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excellence and return cash to shareholders.</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1"/>
        </w:trPr>
        <w:tc>
          <w:tcPr>
            <w:tcW w:w="2820" w:type="dxa"/>
            <w:vAlign w:val="bottom"/>
          </w:tcPr>
          <w:p>
            <w:pPr>
              <w:ind w:left="80"/>
              <w:spacing w:after="0"/>
              <w:rPr>
                <w:sz w:val="20"/>
                <w:szCs w:val="20"/>
                <w:color w:val="auto"/>
              </w:rPr>
            </w:pPr>
            <w:r>
              <w:rPr>
                <w:rFonts w:ascii="Arial" w:cs="Arial" w:eastAsia="Arial" w:hAnsi="Arial"/>
                <w:sz w:val="22"/>
                <w:szCs w:val="22"/>
                <w:color w:val="auto"/>
              </w:rPr>
              <w:t>Market Share Overlay</w:t>
            </w:r>
          </w:p>
        </w:tc>
        <w:tc>
          <w:tcPr>
            <w:tcW w:w="8420" w:type="dxa"/>
            <w:vAlign w:val="bottom"/>
          </w:tcPr>
          <w:p>
            <w:pPr>
              <w:ind w:left="60"/>
              <w:spacing w:after="0"/>
              <w:rPr>
                <w:sz w:val="20"/>
                <w:szCs w:val="20"/>
                <w:color w:val="auto"/>
              </w:rPr>
            </w:pPr>
            <w:r>
              <w:rPr>
                <w:rFonts w:ascii="Arial" w:cs="Arial" w:eastAsia="Arial" w:hAnsi="Arial"/>
                <w:sz w:val="22"/>
                <w:szCs w:val="22"/>
                <w:color w:val="auto"/>
              </w:rPr>
              <w:t>Reward top-line performance ahead of peers, a key component of the growth pillar of</w:t>
            </w:r>
          </w:p>
        </w:tc>
        <w:tc>
          <w:tcPr>
            <w:tcW w:w="20" w:type="dxa"/>
            <w:vAlign w:val="bottom"/>
          </w:tcPr>
          <w:p>
            <w:pPr>
              <w:spacing w:after="0"/>
              <w:rPr>
                <w:sz w:val="23"/>
                <w:szCs w:val="23"/>
                <w:color w:val="auto"/>
              </w:rPr>
            </w:pPr>
          </w:p>
        </w:tc>
      </w:tr>
      <w:tr>
        <w:trPr>
          <w:trHeight w:val="243"/>
        </w:trPr>
        <w:tc>
          <w:tcPr>
            <w:tcW w:w="2820" w:type="dxa"/>
            <w:vAlign w:val="bottom"/>
          </w:tcPr>
          <w:p>
            <w:pPr>
              <w:spacing w:after="0"/>
              <w:rPr>
                <w:sz w:val="21"/>
                <w:szCs w:val="21"/>
                <w:color w:val="auto"/>
              </w:rPr>
            </w:pPr>
          </w:p>
        </w:tc>
        <w:tc>
          <w:tcPr>
            <w:tcW w:w="8420" w:type="dxa"/>
            <w:vAlign w:val="bottom"/>
          </w:tcPr>
          <w:p>
            <w:pPr>
              <w:ind w:left="60"/>
              <w:spacing w:after="0" w:line="243" w:lineRule="exact"/>
              <w:rPr>
                <w:sz w:val="20"/>
                <w:szCs w:val="20"/>
                <w:color w:val="auto"/>
              </w:rPr>
            </w:pPr>
            <w:r>
              <w:rPr>
                <w:rFonts w:ascii="Arial" w:cs="Arial" w:eastAsia="Arial" w:hAnsi="Arial"/>
                <w:sz w:val="22"/>
                <w:szCs w:val="22"/>
                <w:color w:val="auto"/>
              </w:rPr>
              <w:t>our strategy, and promotes the Company driving broad-based growth and maintaining</w:t>
            </w:r>
          </w:p>
        </w:tc>
        <w:tc>
          <w:tcPr>
            <w:tcW w:w="20" w:type="dxa"/>
            <w:vAlign w:val="bottom"/>
          </w:tcPr>
          <w:p>
            <w:pPr>
              <w:spacing w:after="0"/>
              <w:rPr>
                <w:sz w:val="21"/>
                <w:szCs w:val="21"/>
                <w:color w:val="auto"/>
              </w:rPr>
            </w:pPr>
          </w:p>
        </w:tc>
      </w:tr>
      <w:tr>
        <w:trPr>
          <w:trHeight w:val="283"/>
        </w:trPr>
        <w:tc>
          <w:tcPr>
            <w:tcW w:w="2820" w:type="dxa"/>
            <w:vAlign w:val="bottom"/>
          </w:tcPr>
          <w:p>
            <w:pPr>
              <w:spacing w:after="0"/>
              <w:rPr>
                <w:sz w:val="24"/>
                <w:szCs w:val="24"/>
                <w:color w:val="auto"/>
              </w:rPr>
            </w:pPr>
          </w:p>
        </w:tc>
        <w:tc>
          <w:tcPr>
            <w:tcW w:w="8420" w:type="dxa"/>
            <w:vAlign w:val="bottom"/>
          </w:tcPr>
          <w:p>
            <w:pPr>
              <w:ind w:left="60"/>
              <w:spacing w:after="0"/>
              <w:rPr>
                <w:sz w:val="20"/>
                <w:szCs w:val="20"/>
                <w:color w:val="auto"/>
              </w:rPr>
            </w:pPr>
            <w:r>
              <w:rPr>
                <w:rFonts w:ascii="Arial" w:cs="Arial" w:eastAsia="Arial" w:hAnsi="Arial"/>
                <w:sz w:val="22"/>
                <w:szCs w:val="22"/>
                <w:color w:val="auto"/>
              </w:rPr>
              <w:t>market leadership positions.</w:t>
            </w:r>
          </w:p>
        </w:tc>
        <w:tc>
          <w:tcPr>
            <w:tcW w:w="20" w:type="dxa"/>
            <w:vAlign w:val="bottom"/>
          </w:tcPr>
          <w:p>
            <w:pPr>
              <w:spacing w:after="0"/>
              <w:rPr>
                <w:sz w:val="24"/>
                <w:szCs w:val="24"/>
                <w:color w:val="auto"/>
              </w:rPr>
            </w:pPr>
          </w:p>
        </w:tc>
      </w:tr>
      <w:tr>
        <w:trPr>
          <w:trHeight w:val="47"/>
        </w:trPr>
        <w:tc>
          <w:tcPr>
            <w:tcW w:w="2820" w:type="dxa"/>
            <w:vAlign w:val="bottom"/>
            <w:tcBorders>
              <w:bottom w:val="single" w:sz="8" w:color="582C83"/>
            </w:tcBorders>
          </w:tcPr>
          <w:p>
            <w:pPr>
              <w:spacing w:after="0"/>
              <w:rPr>
                <w:sz w:val="4"/>
                <w:szCs w:val="4"/>
                <w:color w:val="auto"/>
              </w:rPr>
            </w:pPr>
          </w:p>
        </w:tc>
        <w:tc>
          <w:tcPr>
            <w:tcW w:w="8420" w:type="dxa"/>
            <w:vAlign w:val="bottom"/>
            <w:tcBorders>
              <w:bottom w:val="single" w:sz="8" w:color="582C83"/>
            </w:tcBorders>
          </w:tcPr>
          <w:p>
            <w:pPr>
              <w:spacing w:after="0"/>
              <w:rPr>
                <w:sz w:val="4"/>
                <w:szCs w:val="4"/>
                <w:color w:val="auto"/>
              </w:rPr>
            </w:pPr>
          </w:p>
        </w:tc>
        <w:tc>
          <w:tcPr>
            <w:tcW w:w="20" w:type="dxa"/>
            <w:vAlign w:val="bottom"/>
          </w:tcPr>
          <w:p>
            <w:pPr>
              <w:spacing w:after="0"/>
              <w:rPr>
                <w:sz w:val="4"/>
                <w:szCs w:val="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Target-Setting Process</w:t>
      </w:r>
    </w:p>
    <w:p>
      <w:pPr>
        <w:spacing w:after="0" w:line="5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Board recognizes the importance of establishing realistic but rigorous targets that continue to motivate and retain executives. As such, the Board approves annual operating targets after a thorough review and discussion. The targets set in the annual operating budget are the same targets approved by the People and Compensation Committee as targets for the AIP. The Board sets targets as stretch goals, which would also reflect above average performance within our industry if achieved. AIP targets were approved in February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Targets and Corporate Financial Rating</w:t>
      </w:r>
    </w:p>
    <w:p>
      <w:pPr>
        <w:spacing w:after="0" w:line="51" w:lineRule="exact"/>
        <w:rPr>
          <w:sz w:val="20"/>
          <w:szCs w:val="20"/>
          <w:color w:val="auto"/>
        </w:rPr>
      </w:pPr>
    </w:p>
    <w:p>
      <w:pPr>
        <w:jc w:val="both"/>
        <w:ind w:right="60"/>
        <w:spacing w:after="0" w:line="262" w:lineRule="auto"/>
        <w:rPr>
          <w:sz w:val="20"/>
          <w:szCs w:val="20"/>
          <w:color w:val="auto"/>
        </w:rPr>
      </w:pPr>
      <w:r>
        <w:rPr>
          <w:rFonts w:ascii="Arial" w:cs="Arial" w:eastAsia="Arial" w:hAnsi="Arial"/>
          <w:sz w:val="21"/>
          <w:szCs w:val="21"/>
          <w:color w:val="auto"/>
        </w:rPr>
        <w:t>To determine awards for Messrs. Van de Put and Zaramella and Ms. Stein, the People and Compensation Committee first evaluated the 2021 Company results against the 2021 Company performance goals listed below (U.S. dollars in millions). Overall, we achieved a below target Company performance rating of 89% under the 2021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332105</wp:posOffset>
            </wp:positionV>
            <wp:extent cx="6052185" cy="37287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5218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See definitions in Annex A.</w:t>
      </w:r>
    </w:p>
    <w:p>
      <w:pPr>
        <w:spacing w:after="0" w:line="45" w:lineRule="exact"/>
        <w:rPr>
          <w:rFonts w:ascii="Arial" w:cs="Arial" w:eastAsia="Arial" w:hAnsi="Arial"/>
          <w:sz w:val="16"/>
          <w:szCs w:val="16"/>
          <w:color w:val="auto"/>
        </w:rPr>
      </w:pPr>
    </w:p>
    <w:p>
      <w:pPr>
        <w:ind w:left="360" w:hanging="352"/>
        <w:spacing w:after="0"/>
        <w:tabs>
          <w:tab w:leader="none" w:pos="3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Reflects a decrease in global market share measured on a net revenue weighted basis across all of our categories.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AMEA and Europe Financial Ratings</w:t>
      </w:r>
    </w:p>
    <w:p>
      <w:pPr>
        <w:spacing w:after="0" w:line="51" w:lineRule="exact"/>
        <w:rPr>
          <w:sz w:val="20"/>
          <w:szCs w:val="20"/>
          <w:color w:val="auto"/>
        </w:rPr>
      </w:pPr>
    </w:p>
    <w:p>
      <w:pPr>
        <w:ind w:right="640"/>
        <w:spacing w:after="0" w:line="245" w:lineRule="auto"/>
        <w:rPr>
          <w:sz w:val="20"/>
          <w:szCs w:val="20"/>
          <w:color w:val="auto"/>
        </w:rPr>
      </w:pPr>
      <w:r>
        <w:rPr>
          <w:rFonts w:ascii="Arial" w:cs="Arial" w:eastAsia="Arial" w:hAnsi="Arial"/>
          <w:sz w:val="22"/>
          <w:szCs w:val="22"/>
          <w:color w:val="auto"/>
        </w:rPr>
        <w:t>To determine the annual incentive awards for Messrs. Brusadelli and Gruber, the People and Compensation Committee evaluated the weighted average of the performance of the business units in each of their respective regions against the performance measures and determined a final region performance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220"/>
        <w:spacing w:after="0" w:line="262" w:lineRule="auto"/>
        <w:rPr>
          <w:sz w:val="20"/>
          <w:szCs w:val="20"/>
          <w:color w:val="auto"/>
        </w:rPr>
      </w:pPr>
      <w:r>
        <w:rPr>
          <w:rFonts w:ascii="Arial" w:cs="Arial" w:eastAsia="Arial" w:hAnsi="Arial"/>
          <w:sz w:val="21"/>
          <w:szCs w:val="21"/>
          <w:color w:val="auto"/>
        </w:rPr>
        <w:t>The People and Compensation Committee then considered targets, actual results and overall financial performance ratings for both the region and Corporate to determine a final blended financial performance rating (AMEA: 70% region, 30% Corporate; Europe: 80% region, 20% Corporate) for each region president, as shown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6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120" w:type="dxa"/>
            <w:vAlign w:val="bottom"/>
            <w:tcBorders>
              <w:bottom w:val="single" w:sz="8" w:color="582C83"/>
            </w:tcBorders>
          </w:tcPr>
          <w:p>
            <w:pPr>
              <w:jc w:val="right"/>
              <w:ind w:right="132"/>
              <w:spacing w:after="0"/>
              <w:rPr>
                <w:sz w:val="20"/>
                <w:szCs w:val="20"/>
                <w:color w:val="auto"/>
              </w:rPr>
            </w:pPr>
            <w:r>
              <w:rPr>
                <w:rFonts w:ascii="Arial" w:cs="Arial" w:eastAsia="Arial" w:hAnsi="Arial"/>
                <w:sz w:val="18"/>
                <w:szCs w:val="18"/>
                <w:b w:val="1"/>
                <w:bCs w:val="1"/>
                <w:color w:val="auto"/>
              </w:rPr>
              <w:t>Performance Rating</w:t>
            </w:r>
            <w:r>
              <w:rPr>
                <w:rFonts w:ascii="Arial" w:cs="Arial" w:eastAsia="Arial" w:hAnsi="Arial"/>
                <w:sz w:val="21"/>
                <w:szCs w:val="21"/>
                <w:b w:val="1"/>
                <w:bCs w:val="1"/>
                <w:color w:val="auto"/>
                <w:vertAlign w:val="superscript"/>
              </w:rPr>
              <w:t>(1)</w:t>
            </w:r>
          </w:p>
        </w:tc>
        <w:tc>
          <w:tcPr>
            <w:tcW w:w="900" w:type="dxa"/>
            <w:vAlign w:val="bottom"/>
            <w:tcBorders>
              <w:bottom w:val="single" w:sz="8" w:color="582C83"/>
            </w:tcBorders>
          </w:tcPr>
          <w:p>
            <w:pPr>
              <w:spacing w:after="0"/>
              <w:rPr>
                <w:sz w:val="23"/>
                <w:szCs w:val="23"/>
                <w:color w:val="auto"/>
              </w:rPr>
            </w:pPr>
          </w:p>
        </w:tc>
        <w:tc>
          <w:tcPr>
            <w:tcW w:w="20" w:type="dxa"/>
            <w:vAlign w:val="bottom"/>
          </w:tcPr>
          <w:p>
            <w:pPr>
              <w:spacing w:after="0"/>
              <w:rPr>
                <w:sz w:val="23"/>
                <w:szCs w:val="23"/>
                <w:color w:val="auto"/>
              </w:rPr>
            </w:pPr>
          </w:p>
        </w:tc>
      </w:tr>
      <w:tr>
        <w:trPr>
          <w:trHeight w:val="304"/>
        </w:trPr>
        <w:tc>
          <w:tcPr>
            <w:tcW w:w="462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Performance Measures</w:t>
            </w:r>
            <w:r>
              <w:rPr>
                <w:rFonts w:ascii="Arial" w:cs="Arial" w:eastAsia="Arial" w:hAnsi="Arial"/>
                <w:sz w:val="21"/>
                <w:szCs w:val="21"/>
                <w:b w:val="1"/>
                <w:bCs w:val="1"/>
                <w:color w:val="auto"/>
                <w:vertAlign w:val="superscript"/>
              </w:rPr>
              <w:t>(1)</w:t>
            </w:r>
          </w:p>
        </w:tc>
        <w:tc>
          <w:tcPr>
            <w:tcW w:w="2600" w:type="dxa"/>
            <w:vAlign w:val="bottom"/>
            <w:tcBorders>
              <w:bottom w:val="single" w:sz="8" w:color="582C83"/>
            </w:tcBorders>
          </w:tcPr>
          <w:p>
            <w:pPr>
              <w:jc w:val="right"/>
              <w:ind w:right="212"/>
              <w:spacing w:after="0"/>
              <w:rPr>
                <w:sz w:val="20"/>
                <w:szCs w:val="20"/>
                <w:color w:val="auto"/>
              </w:rPr>
            </w:pPr>
            <w:r>
              <w:rPr>
                <w:rFonts w:ascii="Arial" w:cs="Arial" w:eastAsia="Arial" w:hAnsi="Arial"/>
                <w:sz w:val="18"/>
                <w:szCs w:val="18"/>
                <w:b w:val="1"/>
                <w:bCs w:val="1"/>
                <w:color w:val="auto"/>
              </w:rPr>
              <w:t>Weighting</w:t>
            </w:r>
          </w:p>
        </w:tc>
        <w:tc>
          <w:tcPr>
            <w:tcW w:w="3120" w:type="dxa"/>
            <w:vAlign w:val="bottom"/>
            <w:tcBorders>
              <w:bottom w:val="single" w:sz="8" w:color="582C83"/>
            </w:tcBorders>
          </w:tcPr>
          <w:p>
            <w:pPr>
              <w:jc w:val="right"/>
              <w:ind w:right="1432"/>
              <w:spacing w:after="0"/>
              <w:rPr>
                <w:sz w:val="20"/>
                <w:szCs w:val="20"/>
                <w:color w:val="auto"/>
              </w:rPr>
            </w:pPr>
            <w:r>
              <w:rPr>
                <w:rFonts w:ascii="Arial" w:cs="Arial" w:eastAsia="Arial" w:hAnsi="Arial"/>
                <w:sz w:val="18"/>
                <w:szCs w:val="18"/>
                <w:b w:val="1"/>
                <w:bCs w:val="1"/>
                <w:color w:val="auto"/>
              </w:rPr>
              <w:t>AMEA</w:t>
            </w:r>
          </w:p>
        </w:tc>
        <w:tc>
          <w:tcPr>
            <w:tcW w:w="9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Europe</w:t>
            </w:r>
          </w:p>
        </w:tc>
        <w:tc>
          <w:tcPr>
            <w:tcW w:w="20" w:type="dxa"/>
            <w:vAlign w:val="bottom"/>
            <w:tcBorders>
              <w:bottom w:val="single" w:sz="8" w:color="582C83"/>
            </w:tcBorders>
          </w:tcPr>
          <w:p>
            <w:pPr>
              <w:spacing w:after="0"/>
              <w:rPr>
                <w:sz w:val="24"/>
                <w:szCs w:val="24"/>
                <w:color w:val="auto"/>
              </w:rPr>
            </w:pPr>
          </w:p>
        </w:tc>
      </w:tr>
      <w:tr>
        <w:trPr>
          <w:trHeight w:val="323"/>
        </w:trPr>
        <w:tc>
          <w:tcPr>
            <w:tcW w:w="46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Organic Volume Growth</w:t>
            </w:r>
          </w:p>
        </w:tc>
        <w:tc>
          <w:tcPr>
            <w:tcW w:w="260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15%</w:t>
            </w:r>
          </w:p>
        </w:tc>
        <w:tc>
          <w:tcPr>
            <w:tcW w:w="3120" w:type="dxa"/>
            <w:vAlign w:val="bottom"/>
            <w:tcBorders>
              <w:bottom w:val="single" w:sz="8" w:color="EBE6F0"/>
            </w:tcBorders>
            <w:shd w:val="clear" w:color="auto" w:fill="EBE6F0"/>
          </w:tcPr>
          <w:p>
            <w:pPr>
              <w:jc w:val="right"/>
              <w:ind w:right="1432"/>
              <w:spacing w:after="0"/>
              <w:rPr>
                <w:sz w:val="20"/>
                <w:szCs w:val="20"/>
                <w:color w:val="auto"/>
              </w:rPr>
            </w:pPr>
            <w:r>
              <w:rPr>
                <w:rFonts w:ascii="Arial" w:cs="Arial" w:eastAsia="Arial" w:hAnsi="Arial"/>
                <w:sz w:val="18"/>
                <w:szCs w:val="18"/>
                <w:color w:val="auto"/>
              </w:rPr>
              <w:t>147%</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46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Organic Net Revenue Growth</w:t>
            </w:r>
          </w:p>
        </w:tc>
        <w:tc>
          <w:tcPr>
            <w:tcW w:w="2600" w:type="dxa"/>
            <w:vAlign w:val="bottom"/>
            <w:tcBorders>
              <w:top w:val="single" w:sz="8" w:color="582C83"/>
            </w:tcBorders>
          </w:tcPr>
          <w:p>
            <w:pPr>
              <w:jc w:val="right"/>
              <w:ind w:right="212"/>
              <w:spacing w:after="0"/>
              <w:rPr>
                <w:sz w:val="20"/>
                <w:szCs w:val="20"/>
                <w:color w:val="auto"/>
              </w:rPr>
            </w:pPr>
            <w:r>
              <w:rPr>
                <w:rFonts w:ascii="Arial" w:cs="Arial" w:eastAsia="Arial" w:hAnsi="Arial"/>
                <w:sz w:val="18"/>
                <w:szCs w:val="18"/>
                <w:color w:val="auto"/>
              </w:rPr>
              <w:t>15%</w:t>
            </w:r>
          </w:p>
        </w:tc>
        <w:tc>
          <w:tcPr>
            <w:tcW w:w="3120" w:type="dxa"/>
            <w:vAlign w:val="bottom"/>
            <w:tcBorders>
              <w:top w:val="single" w:sz="8" w:color="582C83"/>
            </w:tcBorders>
          </w:tcPr>
          <w:p>
            <w:pPr>
              <w:jc w:val="right"/>
              <w:ind w:right="1432"/>
              <w:spacing w:after="0"/>
              <w:rPr>
                <w:sz w:val="20"/>
                <w:szCs w:val="20"/>
                <w:color w:val="auto"/>
              </w:rPr>
            </w:pPr>
            <w:r>
              <w:rPr>
                <w:rFonts w:ascii="Arial" w:cs="Arial" w:eastAsia="Arial" w:hAnsi="Arial"/>
                <w:sz w:val="18"/>
                <w:szCs w:val="18"/>
                <w:color w:val="auto"/>
              </w:rPr>
              <w:t>158%</w:t>
            </w:r>
          </w:p>
        </w:tc>
        <w:tc>
          <w:tcPr>
            <w:tcW w:w="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top w:val="single" w:sz="8" w:color="582C83"/>
            </w:tcBorders>
          </w:tcPr>
          <w:p>
            <w:pPr>
              <w:spacing w:after="0"/>
              <w:rPr>
                <w:sz w:val="23"/>
                <w:szCs w:val="23"/>
                <w:color w:val="auto"/>
              </w:rPr>
            </w:pPr>
          </w:p>
        </w:tc>
      </w:tr>
      <w:tr>
        <w:trPr>
          <w:trHeight w:val="46"/>
        </w:trPr>
        <w:tc>
          <w:tcPr>
            <w:tcW w:w="4620" w:type="dxa"/>
            <w:vAlign w:val="bottom"/>
            <w:tcBorders>
              <w:bottom w:val="single" w:sz="8" w:color="582C83"/>
            </w:tcBorders>
          </w:tcPr>
          <w:p>
            <w:pPr>
              <w:spacing w:after="0"/>
              <w:rPr>
                <w:sz w:val="3"/>
                <w:szCs w:val="3"/>
                <w:color w:val="auto"/>
              </w:rPr>
            </w:pPr>
          </w:p>
        </w:tc>
        <w:tc>
          <w:tcPr>
            <w:tcW w:w="2600" w:type="dxa"/>
            <w:vAlign w:val="bottom"/>
            <w:tcBorders>
              <w:bottom w:val="single" w:sz="8" w:color="582C83"/>
            </w:tcBorders>
          </w:tcPr>
          <w:p>
            <w:pPr>
              <w:spacing w:after="0"/>
              <w:rPr>
                <w:sz w:val="3"/>
                <w:szCs w:val="3"/>
                <w:color w:val="auto"/>
              </w:rPr>
            </w:pPr>
          </w:p>
        </w:tc>
        <w:tc>
          <w:tcPr>
            <w:tcW w:w="312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46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Defined Gross Profit Dollars</w:t>
            </w:r>
          </w:p>
        </w:tc>
        <w:tc>
          <w:tcPr>
            <w:tcW w:w="260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30%</w:t>
            </w:r>
          </w:p>
        </w:tc>
        <w:tc>
          <w:tcPr>
            <w:tcW w:w="3120" w:type="dxa"/>
            <w:vAlign w:val="bottom"/>
            <w:tcBorders>
              <w:bottom w:val="single" w:sz="8" w:color="EBE6F0"/>
            </w:tcBorders>
            <w:shd w:val="clear" w:color="auto" w:fill="EBE6F0"/>
          </w:tcPr>
          <w:p>
            <w:pPr>
              <w:jc w:val="right"/>
              <w:ind w:right="1432"/>
              <w:spacing w:after="0"/>
              <w:rPr>
                <w:sz w:val="20"/>
                <w:szCs w:val="20"/>
                <w:color w:val="auto"/>
              </w:rPr>
            </w:pPr>
            <w:r>
              <w:rPr>
                <w:rFonts w:ascii="Arial" w:cs="Arial" w:eastAsia="Arial" w:hAnsi="Arial"/>
                <w:sz w:val="18"/>
                <w:szCs w:val="18"/>
                <w:color w:val="auto"/>
              </w:rPr>
              <w:t>135%</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46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Defined Operating Income</w:t>
            </w:r>
          </w:p>
        </w:tc>
        <w:tc>
          <w:tcPr>
            <w:tcW w:w="2600" w:type="dxa"/>
            <w:vAlign w:val="bottom"/>
            <w:tcBorders>
              <w:top w:val="single" w:sz="8" w:color="582C83"/>
            </w:tcBorders>
          </w:tcPr>
          <w:p>
            <w:pPr>
              <w:jc w:val="right"/>
              <w:ind w:right="212"/>
              <w:spacing w:after="0"/>
              <w:rPr>
                <w:sz w:val="20"/>
                <w:szCs w:val="20"/>
                <w:color w:val="auto"/>
              </w:rPr>
            </w:pPr>
            <w:r>
              <w:rPr>
                <w:rFonts w:ascii="Arial" w:cs="Arial" w:eastAsia="Arial" w:hAnsi="Arial"/>
                <w:sz w:val="18"/>
                <w:szCs w:val="18"/>
                <w:color w:val="auto"/>
              </w:rPr>
              <w:t>20%</w:t>
            </w:r>
          </w:p>
        </w:tc>
        <w:tc>
          <w:tcPr>
            <w:tcW w:w="3120" w:type="dxa"/>
            <w:vAlign w:val="bottom"/>
            <w:tcBorders>
              <w:top w:val="single" w:sz="8" w:color="582C83"/>
            </w:tcBorders>
          </w:tcPr>
          <w:p>
            <w:pPr>
              <w:jc w:val="right"/>
              <w:ind w:right="1432"/>
              <w:spacing w:after="0"/>
              <w:rPr>
                <w:sz w:val="20"/>
                <w:szCs w:val="20"/>
                <w:color w:val="auto"/>
              </w:rPr>
            </w:pPr>
            <w:r>
              <w:rPr>
                <w:rFonts w:ascii="Arial" w:cs="Arial" w:eastAsia="Arial" w:hAnsi="Arial"/>
                <w:sz w:val="18"/>
                <w:szCs w:val="18"/>
                <w:color w:val="auto"/>
              </w:rPr>
              <w:t>121%</w:t>
            </w:r>
          </w:p>
        </w:tc>
        <w:tc>
          <w:tcPr>
            <w:tcW w:w="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582C83"/>
            </w:tcBorders>
          </w:tcPr>
          <w:p>
            <w:pPr>
              <w:spacing w:after="0"/>
              <w:rPr>
                <w:sz w:val="23"/>
                <w:szCs w:val="23"/>
                <w:color w:val="auto"/>
              </w:rPr>
            </w:pPr>
          </w:p>
        </w:tc>
      </w:tr>
      <w:tr>
        <w:trPr>
          <w:trHeight w:val="46"/>
        </w:trPr>
        <w:tc>
          <w:tcPr>
            <w:tcW w:w="4620" w:type="dxa"/>
            <w:vAlign w:val="bottom"/>
            <w:tcBorders>
              <w:bottom w:val="single" w:sz="8" w:color="582C83"/>
            </w:tcBorders>
          </w:tcPr>
          <w:p>
            <w:pPr>
              <w:spacing w:after="0"/>
              <w:rPr>
                <w:sz w:val="3"/>
                <w:szCs w:val="3"/>
                <w:color w:val="auto"/>
              </w:rPr>
            </w:pPr>
          </w:p>
        </w:tc>
        <w:tc>
          <w:tcPr>
            <w:tcW w:w="2600" w:type="dxa"/>
            <w:vAlign w:val="bottom"/>
            <w:tcBorders>
              <w:bottom w:val="single" w:sz="8" w:color="582C83"/>
            </w:tcBorders>
          </w:tcPr>
          <w:p>
            <w:pPr>
              <w:spacing w:after="0"/>
              <w:rPr>
                <w:sz w:val="3"/>
                <w:szCs w:val="3"/>
                <w:color w:val="auto"/>
              </w:rPr>
            </w:pPr>
          </w:p>
        </w:tc>
        <w:tc>
          <w:tcPr>
            <w:tcW w:w="312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46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Free Cash Flow</w:t>
            </w:r>
          </w:p>
        </w:tc>
        <w:tc>
          <w:tcPr>
            <w:tcW w:w="260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20%</w:t>
            </w:r>
          </w:p>
        </w:tc>
        <w:tc>
          <w:tcPr>
            <w:tcW w:w="3120" w:type="dxa"/>
            <w:vAlign w:val="bottom"/>
            <w:tcBorders>
              <w:bottom w:val="single" w:sz="8" w:color="EBE6F0"/>
            </w:tcBorders>
            <w:shd w:val="clear" w:color="auto" w:fill="EBE6F0"/>
          </w:tcPr>
          <w:p>
            <w:pPr>
              <w:jc w:val="right"/>
              <w:ind w:right="1432"/>
              <w:spacing w:after="0"/>
              <w:rPr>
                <w:sz w:val="20"/>
                <w:szCs w:val="20"/>
                <w:color w:val="auto"/>
              </w:rPr>
            </w:pPr>
            <w:r>
              <w:rPr>
                <w:rFonts w:ascii="Arial" w:cs="Arial" w:eastAsia="Arial" w:hAnsi="Arial"/>
                <w:sz w:val="18"/>
                <w:szCs w:val="18"/>
                <w:color w:val="auto"/>
              </w:rPr>
              <w:t>200%</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462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Market Share Overlay</w:t>
            </w:r>
          </w:p>
        </w:tc>
        <w:tc>
          <w:tcPr>
            <w:tcW w:w="2600" w:type="dxa"/>
            <w:vAlign w:val="bottom"/>
            <w:tcBorders>
              <w:top w:val="single" w:sz="8" w:color="582C83"/>
            </w:tcBorders>
          </w:tcPr>
          <w:p>
            <w:pPr>
              <w:jc w:val="right"/>
              <w:ind w:right="212"/>
              <w:spacing w:after="0"/>
              <w:rPr>
                <w:sz w:val="20"/>
                <w:szCs w:val="20"/>
                <w:color w:val="auto"/>
              </w:rPr>
            </w:pPr>
            <w:r>
              <w:rPr>
                <w:rFonts w:ascii="Arial" w:cs="Arial" w:eastAsia="Arial" w:hAnsi="Arial"/>
                <w:sz w:val="18"/>
                <w:szCs w:val="18"/>
                <w:color w:val="auto"/>
              </w:rPr>
              <w:t>-/+30%</w:t>
            </w:r>
          </w:p>
        </w:tc>
        <w:tc>
          <w:tcPr>
            <w:tcW w:w="3120" w:type="dxa"/>
            <w:vAlign w:val="bottom"/>
            <w:tcBorders>
              <w:top w:val="single" w:sz="8" w:color="582C83"/>
            </w:tcBorders>
          </w:tcPr>
          <w:p>
            <w:pPr>
              <w:jc w:val="right"/>
              <w:ind w:right="1432"/>
              <w:spacing w:after="0"/>
              <w:rPr>
                <w:sz w:val="20"/>
                <w:szCs w:val="20"/>
                <w:color w:val="auto"/>
              </w:rPr>
            </w:pPr>
            <w:r>
              <w:rPr>
                <w:rFonts w:ascii="Arial" w:cs="Arial" w:eastAsia="Arial" w:hAnsi="Arial"/>
                <w:sz w:val="18"/>
                <w:szCs w:val="18"/>
                <w:color w:val="auto"/>
              </w:rPr>
              <w:t>+30pp</w:t>
            </w:r>
          </w:p>
        </w:tc>
        <w:tc>
          <w:tcPr>
            <w:tcW w:w="90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-30pp</w:t>
            </w:r>
          </w:p>
        </w:tc>
        <w:tc>
          <w:tcPr>
            <w:tcW w:w="20" w:type="dxa"/>
            <w:vAlign w:val="bottom"/>
            <w:tcBorders>
              <w:top w:val="single" w:sz="8" w:color="582C83"/>
            </w:tcBorders>
          </w:tcPr>
          <w:p>
            <w:pPr>
              <w:spacing w:after="0"/>
              <w:rPr>
                <w:sz w:val="23"/>
                <w:szCs w:val="23"/>
                <w:color w:val="auto"/>
              </w:rPr>
            </w:pPr>
          </w:p>
        </w:tc>
      </w:tr>
      <w:tr>
        <w:trPr>
          <w:trHeight w:val="46"/>
        </w:trPr>
        <w:tc>
          <w:tcPr>
            <w:tcW w:w="4620" w:type="dxa"/>
            <w:vAlign w:val="bottom"/>
            <w:tcBorders>
              <w:bottom w:val="single" w:sz="8" w:color="582C83"/>
            </w:tcBorders>
          </w:tcPr>
          <w:p>
            <w:pPr>
              <w:spacing w:after="0"/>
              <w:rPr>
                <w:sz w:val="3"/>
                <w:szCs w:val="3"/>
                <w:color w:val="auto"/>
              </w:rPr>
            </w:pPr>
          </w:p>
        </w:tc>
        <w:tc>
          <w:tcPr>
            <w:tcW w:w="2600" w:type="dxa"/>
            <w:vAlign w:val="bottom"/>
            <w:tcBorders>
              <w:bottom w:val="single" w:sz="8" w:color="582C83"/>
            </w:tcBorders>
          </w:tcPr>
          <w:p>
            <w:pPr>
              <w:spacing w:after="0"/>
              <w:rPr>
                <w:sz w:val="3"/>
                <w:szCs w:val="3"/>
                <w:color w:val="auto"/>
              </w:rPr>
            </w:pPr>
          </w:p>
        </w:tc>
        <w:tc>
          <w:tcPr>
            <w:tcW w:w="3120" w:type="dxa"/>
            <w:vAlign w:val="bottom"/>
            <w:tcBorders>
              <w:bottom w:val="single" w:sz="8" w:color="582C83"/>
            </w:tcBorders>
          </w:tcPr>
          <w:p>
            <w:pPr>
              <w:spacing w:after="0"/>
              <w:rPr>
                <w:sz w:val="3"/>
                <w:szCs w:val="3"/>
                <w:color w:val="auto"/>
              </w:rPr>
            </w:pPr>
          </w:p>
        </w:tc>
        <w:tc>
          <w:tcPr>
            <w:tcW w:w="90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46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Region Performance Rating</w:t>
            </w:r>
          </w:p>
        </w:tc>
        <w:tc>
          <w:tcPr>
            <w:tcW w:w="2600" w:type="dxa"/>
            <w:vAlign w:val="bottom"/>
            <w:tcBorders>
              <w:bottom w:val="single" w:sz="8" w:color="EBE6F0"/>
            </w:tcBorders>
            <w:shd w:val="clear" w:color="auto" w:fill="EBE6F0"/>
          </w:tcPr>
          <w:p>
            <w:pPr>
              <w:spacing w:after="0"/>
              <w:rPr>
                <w:sz w:val="24"/>
                <w:szCs w:val="24"/>
                <w:color w:val="auto"/>
              </w:rPr>
            </w:pPr>
          </w:p>
        </w:tc>
        <w:tc>
          <w:tcPr>
            <w:tcW w:w="3120" w:type="dxa"/>
            <w:vAlign w:val="bottom"/>
            <w:tcBorders>
              <w:bottom w:val="single" w:sz="8" w:color="EBE6F0"/>
            </w:tcBorders>
            <w:shd w:val="clear" w:color="auto" w:fill="EBE6F0"/>
          </w:tcPr>
          <w:p>
            <w:pPr>
              <w:jc w:val="right"/>
              <w:ind w:right="1432"/>
              <w:spacing w:after="0"/>
              <w:rPr>
                <w:sz w:val="20"/>
                <w:szCs w:val="20"/>
                <w:color w:val="auto"/>
              </w:rPr>
            </w:pPr>
            <w:r>
              <w:rPr>
                <w:rFonts w:ascii="Arial" w:cs="Arial" w:eastAsia="Arial" w:hAnsi="Arial"/>
                <w:sz w:val="18"/>
                <w:szCs w:val="18"/>
                <w:b w:val="1"/>
                <w:bCs w:val="1"/>
                <w:color w:val="auto"/>
              </w:rPr>
              <w:t>180%</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94%</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80"/>
        </w:trPr>
        <w:tc>
          <w:tcPr>
            <w:tcW w:w="4620" w:type="dxa"/>
            <w:vAlign w:val="bottom"/>
            <w:tcBorders>
              <w:top w:val="single" w:sz="8" w:color="582C83"/>
            </w:tcBorders>
          </w:tcPr>
          <w:p>
            <w:pPr>
              <w:ind w:left="80"/>
              <w:spacing w:after="0"/>
              <w:rPr>
                <w:sz w:val="20"/>
                <w:szCs w:val="20"/>
                <w:color w:val="auto"/>
              </w:rPr>
            </w:pPr>
            <w:r>
              <w:rPr>
                <w:rFonts w:ascii="Arial" w:cs="Arial" w:eastAsia="Arial" w:hAnsi="Arial"/>
                <w:sz w:val="18"/>
                <w:szCs w:val="18"/>
                <w:b w:val="1"/>
                <w:bCs w:val="1"/>
                <w:color w:val="auto"/>
              </w:rPr>
              <w:t>Final Blended Rating</w:t>
            </w:r>
          </w:p>
        </w:tc>
        <w:tc>
          <w:tcPr>
            <w:tcW w:w="2600" w:type="dxa"/>
            <w:vAlign w:val="bottom"/>
            <w:tcBorders>
              <w:top w:val="single" w:sz="8" w:color="582C83"/>
            </w:tcBorders>
          </w:tcPr>
          <w:p>
            <w:pPr>
              <w:spacing w:after="0"/>
              <w:rPr>
                <w:sz w:val="24"/>
                <w:szCs w:val="24"/>
                <w:color w:val="auto"/>
              </w:rPr>
            </w:pPr>
          </w:p>
        </w:tc>
        <w:tc>
          <w:tcPr>
            <w:tcW w:w="3120" w:type="dxa"/>
            <w:vAlign w:val="bottom"/>
            <w:tcBorders>
              <w:top w:val="single" w:sz="8" w:color="582C83"/>
            </w:tcBorders>
          </w:tcPr>
          <w:p>
            <w:pPr>
              <w:jc w:val="right"/>
              <w:ind w:right="1432"/>
              <w:spacing w:after="0"/>
              <w:rPr>
                <w:sz w:val="20"/>
                <w:szCs w:val="20"/>
                <w:color w:val="auto"/>
              </w:rPr>
            </w:pPr>
            <w:r>
              <w:rPr>
                <w:rFonts w:ascii="Arial" w:cs="Arial" w:eastAsia="Arial" w:hAnsi="Arial"/>
                <w:sz w:val="18"/>
                <w:szCs w:val="18"/>
                <w:b w:val="1"/>
                <w:bCs w:val="1"/>
                <w:color w:val="auto"/>
              </w:rPr>
              <w:t>153%</w:t>
            </w:r>
          </w:p>
        </w:tc>
        <w:tc>
          <w:tcPr>
            <w:tcW w:w="900" w:type="dxa"/>
            <w:vAlign w:val="bottom"/>
            <w:tcBorders>
              <w:top w:val="single" w:sz="8" w:color="582C83"/>
            </w:tcBorders>
          </w:tcPr>
          <w:p>
            <w:pPr>
              <w:jc w:val="right"/>
              <w:spacing w:after="0"/>
              <w:rPr>
                <w:sz w:val="20"/>
                <w:szCs w:val="20"/>
                <w:color w:val="auto"/>
              </w:rPr>
            </w:pPr>
            <w:r>
              <w:rPr>
                <w:rFonts w:ascii="Arial" w:cs="Arial" w:eastAsia="Arial" w:hAnsi="Arial"/>
                <w:sz w:val="18"/>
                <w:szCs w:val="18"/>
                <w:b w:val="1"/>
                <w:bCs w:val="1"/>
                <w:color w:val="auto"/>
              </w:rPr>
              <w:t>93%</w:t>
            </w:r>
          </w:p>
        </w:tc>
        <w:tc>
          <w:tcPr>
            <w:tcW w:w="20" w:type="dxa"/>
            <w:vAlign w:val="bottom"/>
            <w:tcBorders>
              <w:top w:val="single" w:sz="8" w:color="582C8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4" w:lineRule="exact"/>
        <w:rPr>
          <w:sz w:val="20"/>
          <w:szCs w:val="20"/>
          <w:color w:val="auto"/>
        </w:rPr>
      </w:pPr>
    </w:p>
    <w:p>
      <w:pPr>
        <w:ind w:left="80"/>
        <w:spacing w:after="0"/>
        <w:tabs>
          <w:tab w:leader="none" w:pos="400" w:val="left"/>
        </w:tabs>
        <w:rPr>
          <w:sz w:val="20"/>
          <w:szCs w:val="20"/>
          <w:color w:val="auto"/>
        </w:rPr>
      </w:pPr>
      <w:r>
        <w:rPr>
          <w:rFonts w:ascii="Arial" w:cs="Arial" w:eastAsia="Arial" w:hAnsi="Arial"/>
          <w:sz w:val="16"/>
          <w:szCs w:val="16"/>
          <w:color w:val="auto"/>
        </w:rPr>
        <w:t>(1)</w:t>
        <w:tab/>
        <w:t>See definitions in Annex A.</w:t>
      </w:r>
    </w:p>
    <w:p>
      <w:pPr>
        <w:spacing w:after="0" w:line="236" w:lineRule="exact"/>
        <w:rPr>
          <w:sz w:val="20"/>
          <w:szCs w:val="20"/>
          <w:color w:val="auto"/>
        </w:rPr>
      </w:pPr>
    </w:p>
    <w:p>
      <w:pPr>
        <w:ind w:right="240"/>
        <w:spacing w:after="0" w:line="245" w:lineRule="auto"/>
        <w:rPr>
          <w:sz w:val="20"/>
          <w:szCs w:val="20"/>
          <w:color w:val="auto"/>
        </w:rPr>
      </w:pPr>
      <w:r>
        <w:rPr>
          <w:rFonts w:ascii="Arial" w:cs="Arial" w:eastAsia="Arial" w:hAnsi="Arial"/>
          <w:sz w:val="22"/>
          <w:szCs w:val="22"/>
          <w:color w:val="auto"/>
        </w:rPr>
        <w:t>This performance resulted in the region financial performance ratings as indicated above. The final blended region rating, together with strategic KPI achievement for the respective region, determined the final 2021 annual incentive award for each region president.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Strategic KPI Objectives (20% Weighting)</w:t>
      </w:r>
    </w:p>
    <w:p>
      <w:pPr>
        <w:spacing w:after="0" w:line="41"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color w:val="auto"/>
        </w:rPr>
        <w:t>When the Company created its strategic plan, it established a number of KPIs directly linked to the Company’s three strategic pillars with the measurement of corresponding long-term goals for each KPI. Twenty percent of the leadership team’s annual incentive award target aligned to these KPIs. It is important to the Company that our progress on the KPIs be assessed annually to stay on track to achieve our long-term strategic goals. This approach aligns the leadership team in delivering the right strategic outcomes for the Company. Achievement on the KPIs can range from 0-200% of target.</w:t>
      </w:r>
    </w:p>
    <w:p>
      <w:pPr>
        <w:spacing w:after="0" w:line="152" w:lineRule="exact"/>
        <w:rPr>
          <w:sz w:val="20"/>
          <w:szCs w:val="20"/>
          <w:color w:val="auto"/>
        </w:rPr>
      </w:pPr>
    </w:p>
    <w:p>
      <w:pPr>
        <w:jc w:val="both"/>
        <w:ind w:right="60"/>
        <w:spacing w:after="0" w:line="245" w:lineRule="auto"/>
        <w:rPr>
          <w:sz w:val="20"/>
          <w:szCs w:val="20"/>
          <w:color w:val="auto"/>
        </w:rPr>
      </w:pPr>
      <w:r>
        <w:rPr>
          <w:rFonts w:ascii="Arial" w:cs="Arial" w:eastAsia="Arial" w:hAnsi="Arial"/>
          <w:sz w:val="22"/>
          <w:szCs w:val="22"/>
          <w:color w:val="auto"/>
        </w:rPr>
        <w:t>Each member of the corporate leadership team is measured on the same KPIs and goals and receives the same KPI rating, while region leaders receive a rating specific to their respective region depending on actual performance of the business units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At the end of the year, the People and Compensation Committee determined a payout percentage based on its assessment of achievement of preset annual progress goals for each KPI. The chart on the following page summarizes the KPI performance considered by the People and Compensation Committee during its assessment of the Company’s global performance against the annual KPI goals.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700" w:type="dxa"/>
            <w:vAlign w:val="bottom"/>
            <w:tcBorders>
              <w:bottom w:val="single" w:sz="8" w:color="582C83"/>
            </w:tcBorders>
          </w:tcPr>
          <w:p>
            <w:pPr>
              <w:jc w:val="center"/>
              <w:spacing w:after="0"/>
              <w:rPr>
                <w:sz w:val="20"/>
                <w:szCs w:val="20"/>
                <w:color w:val="auto"/>
              </w:rPr>
            </w:pPr>
            <w:r>
              <w:rPr>
                <w:rFonts w:ascii="Arial" w:cs="Arial" w:eastAsia="Arial" w:hAnsi="Arial"/>
                <w:sz w:val="22"/>
                <w:szCs w:val="22"/>
                <w:b w:val="1"/>
                <w:bCs w:val="1"/>
                <w:color w:val="auto"/>
                <w:w w:val="97"/>
              </w:rPr>
              <w:t>Strategic Pillar</w:t>
            </w:r>
          </w:p>
        </w:tc>
        <w:tc>
          <w:tcPr>
            <w:tcW w:w="2340" w:type="dxa"/>
            <w:vAlign w:val="bottom"/>
            <w:tcBorders>
              <w:bottom w:val="single" w:sz="8" w:color="582C83"/>
            </w:tcBorders>
          </w:tcPr>
          <w:p>
            <w:pPr>
              <w:spacing w:after="0"/>
              <w:rPr>
                <w:sz w:val="24"/>
                <w:szCs w:val="24"/>
                <w:color w:val="auto"/>
              </w:rPr>
            </w:pPr>
          </w:p>
        </w:tc>
        <w:tc>
          <w:tcPr>
            <w:tcW w:w="7220" w:type="dxa"/>
            <w:vAlign w:val="bottom"/>
            <w:tcBorders>
              <w:bottom w:val="single" w:sz="8" w:color="582C83"/>
            </w:tcBorders>
            <w:gridSpan w:val="3"/>
          </w:tcPr>
          <w:p>
            <w:pPr>
              <w:ind w:left="80"/>
              <w:spacing w:after="0"/>
              <w:rPr>
                <w:sz w:val="20"/>
                <w:szCs w:val="20"/>
                <w:color w:val="auto"/>
              </w:rPr>
            </w:pPr>
            <w:r>
              <w:rPr>
                <w:rFonts w:ascii="Arial" w:cs="Arial" w:eastAsia="Arial" w:hAnsi="Arial"/>
                <w:sz w:val="22"/>
                <w:szCs w:val="22"/>
                <w:b w:val="1"/>
                <w:bCs w:val="1"/>
                <w:color w:val="auto"/>
              </w:rPr>
              <w:t>Assessment</w:t>
            </w:r>
            <w:r>
              <w:rPr>
                <w:rFonts w:ascii="Arial" w:cs="Arial" w:eastAsia="Arial" w:hAnsi="Arial"/>
                <w:sz w:val="24"/>
                <w:szCs w:val="24"/>
                <w:b w:val="1"/>
                <w:bCs w:val="1"/>
                <w:color w:val="auto"/>
                <w:vertAlign w:val="superscript"/>
              </w:rPr>
              <w:t>(1)</w:t>
            </w:r>
            <w:r>
              <w:rPr>
                <w:rFonts w:ascii="Arial" w:cs="Arial" w:eastAsia="Arial" w:hAnsi="Arial"/>
                <w:sz w:val="22"/>
                <w:szCs w:val="22"/>
                <w:b w:val="1"/>
                <w:bCs w:val="1"/>
                <w:color w:val="auto"/>
              </w:rPr>
              <w:t xml:space="preserve">   KPI Annual Progress</w:t>
            </w:r>
          </w:p>
        </w:tc>
        <w:tc>
          <w:tcPr>
            <w:tcW w:w="0" w:type="dxa"/>
            <w:vAlign w:val="bottom"/>
          </w:tcPr>
          <w:p>
            <w:pPr>
              <w:spacing w:after="0"/>
              <w:rPr>
                <w:sz w:val="1"/>
                <w:szCs w:val="1"/>
                <w:color w:val="auto"/>
              </w:rPr>
            </w:pPr>
          </w:p>
        </w:tc>
      </w:tr>
      <w:tr>
        <w:trPr>
          <w:trHeight w:val="271"/>
        </w:trPr>
        <w:tc>
          <w:tcPr>
            <w:tcW w:w="1700" w:type="dxa"/>
            <w:vAlign w:val="bottom"/>
            <w:shd w:val="clear" w:color="auto" w:fill="EBE6F1"/>
          </w:tcPr>
          <w:p>
            <w:pPr>
              <w:spacing w:after="0"/>
              <w:rPr>
                <w:sz w:val="23"/>
                <w:szCs w:val="23"/>
                <w:color w:val="auto"/>
              </w:rPr>
            </w:pPr>
          </w:p>
        </w:tc>
        <w:tc>
          <w:tcPr>
            <w:tcW w:w="2340" w:type="dxa"/>
            <w:vAlign w:val="bottom"/>
            <w:shd w:val="clear" w:color="auto" w:fill="EBE6F1"/>
          </w:tcPr>
          <w:p>
            <w:pPr>
              <w:spacing w:after="0"/>
              <w:rPr>
                <w:sz w:val="23"/>
                <w:szCs w:val="23"/>
                <w:color w:val="auto"/>
              </w:rPr>
            </w:pPr>
          </w:p>
        </w:tc>
        <w:tc>
          <w:tcPr>
            <w:tcW w:w="1600" w:type="dxa"/>
            <w:vAlign w:val="bottom"/>
            <w:shd w:val="clear" w:color="auto" w:fill="EBE6F1"/>
          </w:tcPr>
          <w:p>
            <w:pPr>
              <w:spacing w:after="0"/>
              <w:rPr>
                <w:sz w:val="23"/>
                <w:szCs w:val="23"/>
                <w:color w:val="auto"/>
              </w:rPr>
            </w:pPr>
          </w:p>
        </w:tc>
        <w:tc>
          <w:tcPr>
            <w:tcW w:w="220" w:type="dxa"/>
            <w:vAlign w:val="bottom"/>
            <w:shd w:val="clear" w:color="auto" w:fill="EBE6F1"/>
          </w:tcPr>
          <w:p>
            <w:pPr>
              <w:ind w:left="80"/>
              <w:spacing w:after="0"/>
              <w:rPr>
                <w:sz w:val="20"/>
                <w:szCs w:val="20"/>
                <w:color w:val="auto"/>
              </w:rPr>
            </w:pPr>
            <w:r>
              <w:rPr>
                <w:rFonts w:ascii="Arial" w:cs="Arial" w:eastAsia="Arial" w:hAnsi="Arial"/>
                <w:sz w:val="22"/>
                <w:szCs w:val="22"/>
                <w:color w:val="582C83"/>
              </w:rPr>
              <w:t>•</w:t>
            </w:r>
          </w:p>
        </w:tc>
        <w:tc>
          <w:tcPr>
            <w:tcW w:w="5400" w:type="dxa"/>
            <w:vAlign w:val="bottom"/>
            <w:shd w:val="clear" w:color="auto" w:fill="EBE6F1"/>
          </w:tcPr>
          <w:p>
            <w:pPr>
              <w:ind w:left="80"/>
              <w:spacing w:after="0"/>
              <w:rPr>
                <w:sz w:val="20"/>
                <w:szCs w:val="20"/>
                <w:color w:val="auto"/>
              </w:rPr>
            </w:pPr>
            <w:r>
              <w:rPr>
                <w:rFonts w:ascii="Arial" w:cs="Arial" w:eastAsia="Arial" w:hAnsi="Arial"/>
                <w:sz w:val="22"/>
                <w:szCs w:val="22"/>
                <w:b w:val="1"/>
                <w:bCs w:val="1"/>
                <w:color w:val="auto"/>
              </w:rPr>
              <w:t xml:space="preserve">Priority Market Share: </w:t>
            </w:r>
            <w:r>
              <w:rPr>
                <w:rFonts w:ascii="Arial" w:cs="Arial" w:eastAsia="Arial" w:hAnsi="Arial"/>
                <w:sz w:val="22"/>
                <w:szCs w:val="22"/>
                <w:color w:val="auto"/>
              </w:rPr>
              <w:t>Limited progress on share</w:t>
            </w: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performance; despite declines in 2021, our trend in</w:t>
            </w:r>
          </w:p>
        </w:tc>
        <w:tc>
          <w:tcPr>
            <w:tcW w:w="0" w:type="dxa"/>
            <w:vAlign w:val="bottom"/>
          </w:tcPr>
          <w:p>
            <w:pPr>
              <w:spacing w:after="0"/>
              <w:rPr>
                <w:sz w:val="1"/>
                <w:szCs w:val="1"/>
                <w:color w:val="auto"/>
              </w:rPr>
            </w:pPr>
          </w:p>
        </w:tc>
      </w:tr>
      <w:tr>
        <w:trPr>
          <w:trHeight w:val="282"/>
        </w:trPr>
        <w:tc>
          <w:tcPr>
            <w:tcW w:w="1700" w:type="dxa"/>
            <w:vAlign w:val="bottom"/>
            <w:shd w:val="clear" w:color="auto" w:fill="EBE6F1"/>
          </w:tcPr>
          <w:p>
            <w:pPr>
              <w:spacing w:after="0"/>
              <w:rPr>
                <w:sz w:val="24"/>
                <w:szCs w:val="24"/>
                <w:color w:val="auto"/>
              </w:rPr>
            </w:pPr>
          </w:p>
        </w:tc>
        <w:tc>
          <w:tcPr>
            <w:tcW w:w="2340" w:type="dxa"/>
            <w:vAlign w:val="bottom"/>
            <w:vMerge w:val="restart"/>
            <w:shd w:val="clear" w:color="auto" w:fill="EBE6F1"/>
          </w:tcPr>
          <w:p>
            <w:pPr>
              <w:ind w:left="100"/>
              <w:spacing w:after="0"/>
              <w:rPr>
                <w:sz w:val="20"/>
                <w:szCs w:val="20"/>
                <w:color w:val="auto"/>
              </w:rPr>
            </w:pPr>
            <w:r>
              <w:rPr>
                <w:rFonts w:ascii="Arial" w:cs="Arial" w:eastAsia="Arial" w:hAnsi="Arial"/>
                <w:sz w:val="22"/>
                <w:szCs w:val="22"/>
                <w:color w:val="auto"/>
              </w:rPr>
              <w:t>Accelerating</w:t>
            </w:r>
          </w:p>
        </w:tc>
        <w:tc>
          <w:tcPr>
            <w:tcW w:w="1600" w:type="dxa"/>
            <w:vAlign w:val="bottom"/>
            <w:shd w:val="clear" w:color="auto" w:fill="EBE6F1"/>
          </w:tcPr>
          <w:p>
            <w:pPr>
              <w:spacing w:after="0"/>
              <w:rPr>
                <w:sz w:val="24"/>
                <w:szCs w:val="24"/>
                <w:color w:val="auto"/>
              </w:rPr>
            </w:pPr>
          </w:p>
        </w:tc>
        <w:tc>
          <w:tcPr>
            <w:tcW w:w="220" w:type="dxa"/>
            <w:vAlign w:val="bottom"/>
            <w:shd w:val="clear" w:color="auto" w:fill="EBE6F1"/>
          </w:tcPr>
          <w:p>
            <w:pPr>
              <w:spacing w:after="0"/>
              <w:rPr>
                <w:sz w:val="24"/>
                <w:szCs w:val="24"/>
                <w:color w:val="auto"/>
              </w:rPr>
            </w:pPr>
          </w:p>
        </w:tc>
        <w:tc>
          <w:tcPr>
            <w:tcW w:w="5400" w:type="dxa"/>
            <w:vAlign w:val="bottom"/>
            <w:shd w:val="clear" w:color="auto" w:fill="EBE6F1"/>
          </w:tcPr>
          <w:p>
            <w:pPr>
              <w:ind w:left="80"/>
              <w:spacing w:after="0"/>
              <w:rPr>
                <w:sz w:val="20"/>
                <w:szCs w:val="20"/>
                <w:color w:val="auto"/>
              </w:rPr>
            </w:pPr>
            <w:r>
              <w:rPr>
                <w:rFonts w:ascii="Arial" w:cs="Arial" w:eastAsia="Arial" w:hAnsi="Arial"/>
                <w:sz w:val="22"/>
                <w:szCs w:val="22"/>
                <w:color w:val="auto"/>
              </w:rPr>
              <w:t>share gains is positive since 2018.</w:t>
            </w:r>
          </w:p>
        </w:tc>
        <w:tc>
          <w:tcPr>
            <w:tcW w:w="0" w:type="dxa"/>
            <w:vAlign w:val="bottom"/>
          </w:tcPr>
          <w:p>
            <w:pPr>
              <w:spacing w:after="0"/>
              <w:rPr>
                <w:sz w:val="1"/>
                <w:szCs w:val="1"/>
                <w:color w:val="auto"/>
              </w:rPr>
            </w:pPr>
          </w:p>
        </w:tc>
      </w:tr>
      <w:tr>
        <w:trPr>
          <w:trHeight w:val="123"/>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vMerge w:val="restart"/>
            <w:shd w:val="clear" w:color="auto" w:fill="EBE6F1"/>
          </w:tcPr>
          <w:p>
            <w:pPr>
              <w:ind w:left="80"/>
              <w:spacing w:after="0" w:line="245" w:lineRule="exact"/>
              <w:rPr>
                <w:sz w:val="20"/>
                <w:szCs w:val="20"/>
                <w:color w:val="auto"/>
              </w:rPr>
            </w:pPr>
            <w:r>
              <w:rPr>
                <w:rFonts w:ascii="Arial" w:cs="Arial" w:eastAsia="Arial" w:hAnsi="Arial"/>
                <w:sz w:val="22"/>
                <w:szCs w:val="22"/>
                <w:color w:val="582C83"/>
              </w:rPr>
              <w:t>•</w:t>
            </w:r>
          </w:p>
        </w:tc>
        <w:tc>
          <w:tcPr>
            <w:tcW w:w="5400" w:type="dxa"/>
            <w:vAlign w:val="bottom"/>
            <w:vMerge w:val="restart"/>
            <w:shd w:val="clear" w:color="auto" w:fill="EBE6F1"/>
          </w:tcPr>
          <w:p>
            <w:pPr>
              <w:ind w:left="80"/>
              <w:spacing w:after="0" w:line="245" w:lineRule="exact"/>
              <w:rPr>
                <w:sz w:val="20"/>
                <w:szCs w:val="20"/>
                <w:color w:val="auto"/>
              </w:rPr>
            </w:pPr>
            <w:r>
              <w:rPr>
                <w:rFonts w:ascii="Arial" w:cs="Arial" w:eastAsia="Arial" w:hAnsi="Arial"/>
                <w:sz w:val="22"/>
                <w:szCs w:val="22"/>
                <w:b w:val="1"/>
                <w:bCs w:val="1"/>
                <w:color w:val="auto"/>
              </w:rPr>
              <w:t xml:space="preserve">Growth Channel Progress: </w:t>
            </w:r>
            <w:r>
              <w:rPr>
                <w:rFonts w:ascii="Arial" w:cs="Arial" w:eastAsia="Arial" w:hAnsi="Arial"/>
                <w:sz w:val="22"/>
                <w:szCs w:val="22"/>
                <w:color w:val="auto"/>
              </w:rPr>
              <w:t>In line with expectations</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consumer-centric</w:t>
            </w:r>
          </w:p>
        </w:tc>
        <w:tc>
          <w:tcPr>
            <w:tcW w:w="1600" w:type="dxa"/>
            <w:vAlign w:val="bottom"/>
            <w:shd w:val="clear" w:color="auto" w:fill="EBE6F1"/>
          </w:tcPr>
          <w:p>
            <w:pPr>
              <w:spacing w:after="0"/>
              <w:rPr>
                <w:sz w:val="10"/>
                <w:szCs w:val="10"/>
                <w:color w:val="auto"/>
              </w:rPr>
            </w:pPr>
          </w:p>
        </w:tc>
        <w:tc>
          <w:tcPr>
            <w:tcW w:w="220" w:type="dxa"/>
            <w:vAlign w:val="bottom"/>
            <w:vMerge w:val="continue"/>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though results were mixed; continued high growth in</w:t>
            </w:r>
          </w:p>
        </w:tc>
        <w:tc>
          <w:tcPr>
            <w:tcW w:w="0" w:type="dxa"/>
            <w:vAlign w:val="bottom"/>
          </w:tcPr>
          <w:p>
            <w:pPr>
              <w:spacing w:after="0"/>
              <w:rPr>
                <w:sz w:val="1"/>
                <w:szCs w:val="1"/>
                <w:color w:val="auto"/>
              </w:rPr>
            </w:pPr>
          </w:p>
        </w:tc>
      </w:tr>
      <w:tr>
        <w:trPr>
          <w:trHeight w:val="121"/>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growth by balancing</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our digital commerce channel (+25%) while other key</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our investments</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growth channels recovering after 2020 COVID-19</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across both global</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vMerge w:val="restart"/>
            <w:shd w:val="clear" w:color="auto" w:fill="EBE6F1"/>
          </w:tcPr>
          <w:p>
            <w:pPr>
              <w:jc w:val="center"/>
              <w:spacing w:after="0"/>
              <w:rPr>
                <w:sz w:val="20"/>
                <w:szCs w:val="20"/>
                <w:color w:val="auto"/>
              </w:rPr>
            </w:pPr>
            <w:r>
              <w:rPr>
                <w:rFonts w:ascii="Arial" w:cs="Arial" w:eastAsia="Arial" w:hAnsi="Arial"/>
                <w:sz w:val="23"/>
                <w:szCs w:val="23"/>
                <w:b w:val="1"/>
                <w:bCs w:val="1"/>
                <w:color w:val="auto"/>
                <w:w w:val="99"/>
              </w:rPr>
              <w:t>GROWTH</w:t>
            </w: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rPr>
                <w:sz w:val="20"/>
                <w:szCs w:val="20"/>
                <w:color w:val="auto"/>
              </w:rPr>
            </w:pPr>
            <w:r>
              <w:rPr>
                <w:rFonts w:ascii="Arial" w:cs="Arial" w:eastAsia="Arial" w:hAnsi="Arial"/>
                <w:sz w:val="22"/>
                <w:szCs w:val="22"/>
                <w:color w:val="auto"/>
              </w:rPr>
              <w:t>impact.</w:t>
            </w:r>
          </w:p>
        </w:tc>
        <w:tc>
          <w:tcPr>
            <w:tcW w:w="0" w:type="dxa"/>
            <w:vAlign w:val="bottom"/>
          </w:tcPr>
          <w:p>
            <w:pPr>
              <w:spacing w:after="0"/>
              <w:rPr>
                <w:sz w:val="1"/>
                <w:szCs w:val="1"/>
                <w:color w:val="auto"/>
              </w:rPr>
            </w:pPr>
          </w:p>
        </w:tc>
      </w:tr>
      <w:tr>
        <w:trPr>
          <w:trHeight w:val="215"/>
        </w:trPr>
        <w:tc>
          <w:tcPr>
            <w:tcW w:w="1700" w:type="dxa"/>
            <w:vAlign w:val="bottom"/>
            <w:vMerge w:val="continue"/>
            <w:shd w:val="clear" w:color="auto" w:fill="EBE6F1"/>
          </w:tcPr>
          <w:p>
            <w:pPr>
              <w:spacing w:after="0"/>
              <w:rPr>
                <w:sz w:val="18"/>
                <w:szCs w:val="18"/>
                <w:color w:val="auto"/>
              </w:rPr>
            </w:pPr>
          </w:p>
        </w:tc>
        <w:tc>
          <w:tcPr>
            <w:tcW w:w="2340" w:type="dxa"/>
            <w:vAlign w:val="bottom"/>
            <w:shd w:val="clear" w:color="auto" w:fill="EBE6F1"/>
          </w:tcPr>
          <w:p>
            <w:pPr>
              <w:ind w:left="100"/>
              <w:spacing w:after="0" w:line="216" w:lineRule="exact"/>
              <w:rPr>
                <w:sz w:val="20"/>
                <w:szCs w:val="20"/>
                <w:color w:val="auto"/>
              </w:rPr>
            </w:pPr>
            <w:r>
              <w:rPr>
                <w:rFonts w:ascii="Arial" w:cs="Arial" w:eastAsia="Arial" w:hAnsi="Arial"/>
                <w:sz w:val="22"/>
                <w:szCs w:val="22"/>
                <w:color w:val="auto"/>
              </w:rPr>
              <w:t>and local brands and</w:t>
            </w:r>
          </w:p>
        </w:tc>
        <w:tc>
          <w:tcPr>
            <w:tcW w:w="1600" w:type="dxa"/>
            <w:vAlign w:val="bottom"/>
            <w:shd w:val="clear" w:color="auto" w:fill="EBE6F1"/>
          </w:tcPr>
          <w:p>
            <w:pPr>
              <w:spacing w:after="0"/>
              <w:rPr>
                <w:sz w:val="18"/>
                <w:szCs w:val="18"/>
                <w:color w:val="auto"/>
              </w:rPr>
            </w:pPr>
          </w:p>
        </w:tc>
        <w:tc>
          <w:tcPr>
            <w:tcW w:w="220" w:type="dxa"/>
            <w:vAlign w:val="bottom"/>
            <w:shd w:val="clear" w:color="auto" w:fill="EBE6F1"/>
          </w:tcPr>
          <w:p>
            <w:pPr>
              <w:spacing w:after="0"/>
              <w:rPr>
                <w:sz w:val="18"/>
                <w:szCs w:val="18"/>
                <w:color w:val="auto"/>
              </w:rPr>
            </w:pPr>
          </w:p>
        </w:tc>
        <w:tc>
          <w:tcPr>
            <w:tcW w:w="5400" w:type="dxa"/>
            <w:vAlign w:val="bottom"/>
            <w:vMerge w:val="continue"/>
            <w:shd w:val="clear" w:color="auto" w:fill="EBE6F1"/>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ind w:left="100"/>
              <w:spacing w:after="0" w:line="243" w:lineRule="exact"/>
              <w:rPr>
                <w:sz w:val="20"/>
                <w:szCs w:val="20"/>
                <w:color w:val="auto"/>
              </w:rPr>
            </w:pPr>
            <w:r>
              <w:rPr>
                <w:rFonts w:ascii="Arial" w:cs="Arial" w:eastAsia="Arial" w:hAnsi="Arial"/>
                <w:sz w:val="22"/>
                <w:szCs w:val="22"/>
                <w:color w:val="auto"/>
              </w:rPr>
              <w:t>transforming</w:t>
            </w: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582C83"/>
              </w:rPr>
              <w:t>•</w:t>
            </w: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b w:val="1"/>
                <w:bCs w:val="1"/>
                <w:color w:val="auto"/>
              </w:rPr>
              <w:t xml:space="preserve">Well-being Revenue Growth: </w:t>
            </w:r>
            <w:r>
              <w:rPr>
                <w:rFonts w:ascii="Arial" w:cs="Arial" w:eastAsia="Arial" w:hAnsi="Arial"/>
                <w:sz w:val="22"/>
                <w:szCs w:val="22"/>
                <w:color w:val="auto"/>
              </w:rPr>
              <w:t>Limited progress on</w:t>
            </w:r>
          </w:p>
        </w:tc>
        <w:tc>
          <w:tcPr>
            <w:tcW w:w="0" w:type="dxa"/>
            <w:vAlign w:val="bottom"/>
          </w:tcPr>
          <w:p>
            <w:pPr>
              <w:spacing w:after="0"/>
              <w:rPr>
                <w:sz w:val="1"/>
                <w:szCs w:val="1"/>
                <w:color w:val="auto"/>
              </w:rPr>
            </w:pPr>
          </w:p>
        </w:tc>
      </w:tr>
      <w:tr>
        <w:trPr>
          <w:trHeight w:val="190"/>
        </w:trPr>
        <w:tc>
          <w:tcPr>
            <w:tcW w:w="1700" w:type="dxa"/>
            <w:vAlign w:val="bottom"/>
            <w:shd w:val="clear" w:color="auto" w:fill="EBE6F1"/>
          </w:tcPr>
          <w:p>
            <w:pPr>
              <w:spacing w:after="0"/>
              <w:rPr>
                <w:sz w:val="16"/>
                <w:szCs w:val="16"/>
                <w:color w:val="auto"/>
              </w:rPr>
            </w:pPr>
          </w:p>
        </w:tc>
        <w:tc>
          <w:tcPr>
            <w:tcW w:w="2340" w:type="dxa"/>
            <w:vAlign w:val="bottom"/>
            <w:vMerge w:val="restart"/>
            <w:shd w:val="clear" w:color="auto" w:fill="EBE6F1"/>
          </w:tcPr>
          <w:p>
            <w:pPr>
              <w:ind w:left="100"/>
              <w:spacing w:after="0"/>
              <w:rPr>
                <w:sz w:val="20"/>
                <w:szCs w:val="20"/>
                <w:color w:val="auto"/>
              </w:rPr>
            </w:pPr>
            <w:r>
              <w:rPr>
                <w:rFonts w:ascii="Arial" w:cs="Arial" w:eastAsia="Arial" w:hAnsi="Arial"/>
                <w:sz w:val="22"/>
                <w:szCs w:val="22"/>
                <w:color w:val="auto"/>
              </w:rPr>
              <w:t>marketing</w:t>
            </w:r>
          </w:p>
        </w:tc>
        <w:tc>
          <w:tcPr>
            <w:tcW w:w="1600" w:type="dxa"/>
            <w:vAlign w:val="bottom"/>
            <w:shd w:val="clear" w:color="auto" w:fill="EBE6F1"/>
          </w:tcPr>
          <w:p>
            <w:pPr>
              <w:spacing w:after="0"/>
              <w:rPr>
                <w:sz w:val="16"/>
                <w:szCs w:val="16"/>
                <w:color w:val="auto"/>
              </w:rPr>
            </w:pPr>
          </w:p>
        </w:tc>
        <w:tc>
          <w:tcPr>
            <w:tcW w:w="220" w:type="dxa"/>
            <w:vAlign w:val="bottom"/>
            <w:shd w:val="clear" w:color="auto" w:fill="EBE6F1"/>
          </w:tcPr>
          <w:p>
            <w:pPr>
              <w:spacing w:after="0"/>
              <w:rPr>
                <w:sz w:val="16"/>
                <w:szCs w:val="16"/>
                <w:color w:val="auto"/>
              </w:rPr>
            </w:pPr>
          </w:p>
        </w:tc>
        <w:tc>
          <w:tcPr>
            <w:tcW w:w="5400" w:type="dxa"/>
            <w:vAlign w:val="bottom"/>
            <w:shd w:val="clear" w:color="auto" w:fill="EBE6F1"/>
          </w:tcPr>
          <w:p>
            <w:pPr>
              <w:ind w:left="80"/>
              <w:spacing w:after="0" w:line="190" w:lineRule="exact"/>
              <w:rPr>
                <w:sz w:val="20"/>
                <w:szCs w:val="20"/>
                <w:color w:val="auto"/>
              </w:rPr>
            </w:pPr>
            <w:r>
              <w:rPr>
                <w:rFonts w:ascii="Arial" w:cs="Arial" w:eastAsia="Arial" w:hAnsi="Arial"/>
                <w:sz w:val="21"/>
                <w:szCs w:val="21"/>
                <w:color w:val="auto"/>
              </w:rPr>
              <w:t>Well-being growth although success with specific</w:t>
            </w:r>
          </w:p>
        </w:tc>
        <w:tc>
          <w:tcPr>
            <w:tcW w:w="0" w:type="dxa"/>
            <w:vAlign w:val="bottom"/>
          </w:tcPr>
          <w:p>
            <w:pPr>
              <w:spacing w:after="0"/>
              <w:rPr>
                <w:sz w:val="1"/>
                <w:szCs w:val="1"/>
                <w:color w:val="auto"/>
              </w:rPr>
            </w:pPr>
          </w:p>
        </w:tc>
      </w:tr>
      <w:tr>
        <w:trPr>
          <w:trHeight w:val="121"/>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platforms; due to the COVID-19 pandemic, key</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 xml:space="preserve">segments of our Well-being portfolio (e.g., </w:t>
            </w:r>
            <w:r>
              <w:rPr>
                <w:rFonts w:ascii="Arial" w:cs="Arial" w:eastAsia="Arial" w:hAnsi="Arial"/>
                <w:sz w:val="22"/>
                <w:szCs w:val="22"/>
                <w:i w:val="1"/>
                <w:iCs w:val="1"/>
                <w:color w:val="auto"/>
              </w:rPr>
              <w:t>belVita,</w:t>
            </w:r>
          </w:p>
        </w:tc>
        <w:tc>
          <w:tcPr>
            <w:tcW w:w="0" w:type="dxa"/>
            <w:vAlign w:val="bottom"/>
          </w:tcPr>
          <w:p>
            <w:pPr>
              <w:spacing w:after="0"/>
              <w:rPr>
                <w:sz w:val="1"/>
                <w:szCs w:val="1"/>
                <w:color w:val="auto"/>
              </w:rPr>
            </w:pPr>
          </w:p>
        </w:tc>
      </w:tr>
      <w:tr>
        <w:trPr>
          <w:trHeight w:val="335"/>
        </w:trPr>
        <w:tc>
          <w:tcPr>
            <w:tcW w:w="1700" w:type="dxa"/>
            <w:vAlign w:val="bottom"/>
            <w:tcBorders>
              <w:bottom w:val="single" w:sz="8" w:color="EBE6F1"/>
            </w:tcBorders>
            <w:shd w:val="clear" w:color="auto" w:fill="EBE6F1"/>
          </w:tcPr>
          <w:p>
            <w:pPr>
              <w:spacing w:after="0"/>
              <w:rPr>
                <w:sz w:val="24"/>
                <w:szCs w:val="24"/>
                <w:color w:val="auto"/>
              </w:rPr>
            </w:pPr>
          </w:p>
        </w:tc>
        <w:tc>
          <w:tcPr>
            <w:tcW w:w="2340" w:type="dxa"/>
            <w:vAlign w:val="bottom"/>
            <w:tcBorders>
              <w:bottom w:val="single" w:sz="8" w:color="EBE6F1"/>
            </w:tcBorders>
            <w:shd w:val="clear" w:color="auto" w:fill="EBE6F1"/>
          </w:tcPr>
          <w:p>
            <w:pPr>
              <w:spacing w:after="0"/>
              <w:rPr>
                <w:sz w:val="24"/>
                <w:szCs w:val="24"/>
                <w:color w:val="auto"/>
              </w:rPr>
            </w:pPr>
          </w:p>
        </w:tc>
        <w:tc>
          <w:tcPr>
            <w:tcW w:w="1600" w:type="dxa"/>
            <w:vAlign w:val="bottom"/>
            <w:tcBorders>
              <w:bottom w:val="single" w:sz="8" w:color="EBE6F1"/>
            </w:tcBorders>
            <w:shd w:val="clear" w:color="auto" w:fill="EBE6F1"/>
          </w:tcPr>
          <w:p>
            <w:pPr>
              <w:spacing w:after="0"/>
              <w:rPr>
                <w:sz w:val="24"/>
                <w:szCs w:val="24"/>
                <w:color w:val="auto"/>
              </w:rPr>
            </w:pPr>
          </w:p>
        </w:tc>
        <w:tc>
          <w:tcPr>
            <w:tcW w:w="220" w:type="dxa"/>
            <w:vAlign w:val="bottom"/>
            <w:tcBorders>
              <w:bottom w:val="single" w:sz="8" w:color="EBE6F1"/>
            </w:tcBorders>
            <w:shd w:val="clear" w:color="auto" w:fill="EBE6F1"/>
          </w:tcPr>
          <w:p>
            <w:pPr>
              <w:spacing w:after="0"/>
              <w:rPr>
                <w:sz w:val="24"/>
                <w:szCs w:val="24"/>
                <w:color w:val="auto"/>
              </w:rPr>
            </w:pPr>
          </w:p>
        </w:tc>
        <w:tc>
          <w:tcPr>
            <w:tcW w:w="5400" w:type="dxa"/>
            <w:vAlign w:val="bottom"/>
            <w:tcBorders>
              <w:bottom w:val="single" w:sz="8" w:color="EBE6F1"/>
            </w:tcBorders>
            <w:shd w:val="clear" w:color="auto" w:fill="EBE6F1"/>
          </w:tcPr>
          <w:p>
            <w:pPr>
              <w:ind w:left="80"/>
              <w:spacing w:after="0"/>
              <w:rPr>
                <w:sz w:val="20"/>
                <w:szCs w:val="20"/>
                <w:color w:val="auto"/>
              </w:rPr>
            </w:pPr>
            <w:r>
              <w:rPr>
                <w:rFonts w:ascii="Arial" w:cs="Arial" w:eastAsia="Arial" w:hAnsi="Arial"/>
                <w:sz w:val="22"/>
                <w:szCs w:val="22"/>
                <w:i w:val="1"/>
                <w:iCs w:val="1"/>
                <w:color w:val="auto"/>
              </w:rPr>
              <w:t xml:space="preserve">Perfect Snacks, </w:t>
            </w:r>
            <w:r>
              <w:rPr>
                <w:rFonts w:ascii="Arial" w:cs="Arial" w:eastAsia="Arial" w:hAnsi="Arial"/>
                <w:sz w:val="22"/>
                <w:szCs w:val="22"/>
                <w:color w:val="auto"/>
              </w:rPr>
              <w:t>portion control) were impacted.</w:t>
            </w:r>
          </w:p>
        </w:tc>
        <w:tc>
          <w:tcPr>
            <w:tcW w:w="0" w:type="dxa"/>
            <w:vAlign w:val="bottom"/>
          </w:tcPr>
          <w:p>
            <w:pPr>
              <w:spacing w:after="0"/>
              <w:rPr>
                <w:sz w:val="1"/>
                <w:szCs w:val="1"/>
                <w:color w:val="auto"/>
              </w:rPr>
            </w:pPr>
          </w:p>
        </w:tc>
      </w:tr>
      <w:tr>
        <w:trPr>
          <w:trHeight w:val="271"/>
        </w:trPr>
        <w:tc>
          <w:tcPr>
            <w:tcW w:w="1700" w:type="dxa"/>
            <w:vAlign w:val="bottom"/>
            <w:tcBorders>
              <w:top w:val="single" w:sz="8" w:color="582C83"/>
            </w:tcBorders>
          </w:tcPr>
          <w:p>
            <w:pPr>
              <w:spacing w:after="0"/>
              <w:rPr>
                <w:sz w:val="23"/>
                <w:szCs w:val="23"/>
                <w:color w:val="auto"/>
              </w:rPr>
            </w:pPr>
          </w:p>
        </w:tc>
        <w:tc>
          <w:tcPr>
            <w:tcW w:w="2340" w:type="dxa"/>
            <w:vAlign w:val="bottom"/>
            <w:tcBorders>
              <w:top w:val="single" w:sz="8" w:color="582C83"/>
            </w:tcBorders>
          </w:tcPr>
          <w:p>
            <w:pPr>
              <w:spacing w:after="0"/>
              <w:rPr>
                <w:sz w:val="23"/>
                <w:szCs w:val="23"/>
                <w:color w:val="auto"/>
              </w:rPr>
            </w:pPr>
          </w:p>
        </w:tc>
        <w:tc>
          <w:tcPr>
            <w:tcW w:w="1600" w:type="dxa"/>
            <w:vAlign w:val="bottom"/>
            <w:tcBorders>
              <w:top w:val="single" w:sz="8" w:color="582C83"/>
            </w:tcBorders>
          </w:tcPr>
          <w:p>
            <w:pPr>
              <w:spacing w:after="0"/>
              <w:rPr>
                <w:sz w:val="23"/>
                <w:szCs w:val="23"/>
                <w:color w:val="auto"/>
              </w:rPr>
            </w:pPr>
          </w:p>
        </w:tc>
        <w:tc>
          <w:tcPr>
            <w:tcW w:w="220" w:type="dxa"/>
            <w:vAlign w:val="bottom"/>
            <w:tcBorders>
              <w:top w:val="single" w:sz="8" w:color="582C83"/>
            </w:tcBorders>
          </w:tcPr>
          <w:p>
            <w:pPr>
              <w:ind w:left="60"/>
              <w:spacing w:after="0"/>
              <w:rPr>
                <w:sz w:val="20"/>
                <w:szCs w:val="20"/>
                <w:color w:val="auto"/>
              </w:rPr>
            </w:pPr>
            <w:r>
              <w:rPr>
                <w:rFonts w:ascii="Arial" w:cs="Arial" w:eastAsia="Arial" w:hAnsi="Arial"/>
                <w:sz w:val="22"/>
                <w:szCs w:val="22"/>
                <w:color w:val="582C83"/>
              </w:rPr>
              <w:t>•</w:t>
            </w:r>
          </w:p>
        </w:tc>
        <w:tc>
          <w:tcPr>
            <w:tcW w:w="5400" w:type="dxa"/>
            <w:vAlign w:val="bottom"/>
            <w:tcBorders>
              <w:top w:val="single" w:sz="8" w:color="582C83"/>
            </w:tcBorders>
          </w:tcPr>
          <w:p>
            <w:pPr>
              <w:ind w:left="60"/>
              <w:spacing w:after="0"/>
              <w:rPr>
                <w:sz w:val="20"/>
                <w:szCs w:val="20"/>
                <w:color w:val="auto"/>
              </w:rPr>
            </w:pPr>
            <w:r>
              <w:rPr>
                <w:rFonts w:ascii="Arial" w:cs="Arial" w:eastAsia="Arial" w:hAnsi="Arial"/>
                <w:sz w:val="22"/>
                <w:szCs w:val="22"/>
                <w:b w:val="1"/>
                <w:bCs w:val="1"/>
                <w:color w:val="auto"/>
              </w:rPr>
              <w:t xml:space="preserve">Pricing to Offset Cost of Goods Sold: </w:t>
            </w:r>
            <w:r>
              <w:rPr>
                <w:rFonts w:ascii="Arial" w:cs="Arial" w:eastAsia="Arial" w:hAnsi="Arial"/>
                <w:sz w:val="22"/>
                <w:szCs w:val="22"/>
                <w:color w:val="auto"/>
              </w:rPr>
              <w:t>Limited</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progress due to delays in pricing actions to mitigate</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higher than expected inflation in the second half of</w:t>
            </w:r>
          </w:p>
        </w:tc>
        <w:tc>
          <w:tcPr>
            <w:tcW w:w="0" w:type="dxa"/>
            <w:vAlign w:val="bottom"/>
          </w:tcPr>
          <w:p>
            <w:pPr>
              <w:spacing w:after="0"/>
              <w:rPr>
                <w:sz w:val="1"/>
                <w:szCs w:val="1"/>
                <w:color w:val="auto"/>
              </w:rPr>
            </w:pPr>
          </w:p>
        </w:tc>
      </w:tr>
      <w:tr>
        <w:trPr>
          <w:trHeight w:val="282"/>
        </w:trPr>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ind w:left="60"/>
              <w:spacing w:after="0"/>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2340" w:type="dxa"/>
            <w:vAlign w:val="bottom"/>
          </w:tcPr>
          <w:p>
            <w:pPr>
              <w:ind w:left="80"/>
              <w:spacing w:after="0" w:line="245" w:lineRule="exact"/>
              <w:rPr>
                <w:sz w:val="20"/>
                <w:szCs w:val="20"/>
                <w:color w:val="auto"/>
              </w:rPr>
            </w:pPr>
            <w:r>
              <w:rPr>
                <w:rFonts w:ascii="Arial" w:cs="Arial" w:eastAsia="Arial" w:hAnsi="Arial"/>
                <w:sz w:val="22"/>
                <w:szCs w:val="22"/>
                <w:color w:val="auto"/>
              </w:rPr>
              <w:t>Driving operational</w:t>
            </w:r>
          </w:p>
        </w:tc>
        <w:tc>
          <w:tcPr>
            <w:tcW w:w="1600" w:type="dxa"/>
            <w:vAlign w:val="bottom"/>
          </w:tcPr>
          <w:p>
            <w:pPr>
              <w:spacing w:after="0"/>
              <w:rPr>
                <w:sz w:val="21"/>
                <w:szCs w:val="21"/>
                <w:color w:val="auto"/>
              </w:rPr>
            </w:pPr>
          </w:p>
        </w:tc>
        <w:tc>
          <w:tcPr>
            <w:tcW w:w="220" w:type="dxa"/>
            <w:vAlign w:val="bottom"/>
          </w:tcPr>
          <w:p>
            <w:pPr>
              <w:ind w:left="60"/>
              <w:spacing w:after="0" w:line="245" w:lineRule="exact"/>
              <w:rPr>
                <w:sz w:val="20"/>
                <w:szCs w:val="20"/>
                <w:color w:val="auto"/>
              </w:rPr>
            </w:pPr>
            <w:r>
              <w:rPr>
                <w:rFonts w:ascii="Arial" w:cs="Arial" w:eastAsia="Arial" w:hAnsi="Arial"/>
                <w:sz w:val="22"/>
                <w:szCs w:val="22"/>
                <w:color w:val="582C83"/>
              </w:rPr>
              <w:t>•</w:t>
            </w:r>
          </w:p>
        </w:tc>
        <w:tc>
          <w:tcPr>
            <w:tcW w:w="5400" w:type="dxa"/>
            <w:vAlign w:val="bottom"/>
          </w:tcPr>
          <w:p>
            <w:pPr>
              <w:ind w:left="60"/>
              <w:spacing w:after="0" w:line="245" w:lineRule="exact"/>
              <w:rPr>
                <w:sz w:val="20"/>
                <w:szCs w:val="20"/>
                <w:color w:val="auto"/>
              </w:rPr>
            </w:pPr>
            <w:r>
              <w:rPr>
                <w:rFonts w:ascii="Arial" w:cs="Arial" w:eastAsia="Arial" w:hAnsi="Arial"/>
                <w:sz w:val="22"/>
                <w:szCs w:val="22"/>
                <w:b w:val="1"/>
                <w:bCs w:val="1"/>
                <w:color w:val="auto"/>
              </w:rPr>
              <w:t xml:space="preserve">Productivity: </w:t>
            </w:r>
            <w:r>
              <w:rPr>
                <w:rFonts w:ascii="Arial" w:cs="Arial" w:eastAsia="Arial" w:hAnsi="Arial"/>
                <w:sz w:val="22"/>
                <w:szCs w:val="22"/>
                <w:color w:val="auto"/>
              </w:rPr>
              <w:t>Although we delivered the highest net</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Arial" w:cs="Arial" w:eastAsia="Arial" w:hAnsi="Arial"/>
                <w:sz w:val="22"/>
                <w:szCs w:val="22"/>
                <w:color w:val="auto"/>
              </w:rPr>
              <w:t>excellence in sales</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productivity in three years, annual progress was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Arial" w:cs="Arial" w:eastAsia="Arial" w:hAnsi="Arial"/>
                <w:sz w:val="22"/>
                <w:szCs w:val="22"/>
                <w:color w:val="auto"/>
              </w:rPr>
              <w:t>execution, marketing</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limited relative to our expectations due to additional</w:t>
            </w:r>
          </w:p>
        </w:tc>
        <w:tc>
          <w:tcPr>
            <w:tcW w:w="0" w:type="dxa"/>
            <w:vAlign w:val="bottom"/>
          </w:tcPr>
          <w:p>
            <w:pPr>
              <w:spacing w:after="0"/>
              <w:rPr>
                <w:sz w:val="1"/>
                <w:szCs w:val="1"/>
                <w:color w:val="auto"/>
              </w:rPr>
            </w:pPr>
          </w:p>
        </w:tc>
      </w:tr>
      <w:tr>
        <w:trPr>
          <w:trHeight w:val="243"/>
        </w:trPr>
        <w:tc>
          <w:tcPr>
            <w:tcW w:w="1700" w:type="dxa"/>
            <w:vAlign w:val="bottom"/>
            <w:vMerge w:val="restart"/>
          </w:tcPr>
          <w:p>
            <w:pPr>
              <w:jc w:val="center"/>
              <w:spacing w:after="0"/>
              <w:rPr>
                <w:sz w:val="20"/>
                <w:szCs w:val="20"/>
                <w:color w:val="auto"/>
              </w:rPr>
            </w:pPr>
            <w:r>
              <w:rPr>
                <w:rFonts w:ascii="Arial" w:cs="Arial" w:eastAsia="Arial" w:hAnsi="Arial"/>
                <w:sz w:val="23"/>
                <w:szCs w:val="23"/>
                <w:b w:val="1"/>
                <w:bCs w:val="1"/>
                <w:color w:val="auto"/>
                <w:w w:val="99"/>
              </w:rPr>
              <w:t>EXECUTION</w:t>
            </w:r>
          </w:p>
        </w:tc>
        <w:tc>
          <w:tcPr>
            <w:tcW w:w="2340" w:type="dxa"/>
            <w:vAlign w:val="bottom"/>
          </w:tcPr>
          <w:p>
            <w:pPr>
              <w:ind w:left="80"/>
              <w:spacing w:after="0" w:line="243" w:lineRule="exact"/>
              <w:rPr>
                <w:sz w:val="20"/>
                <w:szCs w:val="20"/>
                <w:color w:val="auto"/>
              </w:rPr>
            </w:pPr>
            <w:r>
              <w:rPr>
                <w:rFonts w:ascii="Arial" w:cs="Arial" w:eastAsia="Arial" w:hAnsi="Arial"/>
                <w:sz w:val="22"/>
                <w:szCs w:val="22"/>
                <w:color w:val="auto"/>
              </w:rPr>
              <w:t>and supply chain while</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unexpected expenses related to the COVID-19</w:t>
            </w:r>
          </w:p>
        </w:tc>
        <w:tc>
          <w:tcPr>
            <w:tcW w:w="0" w:type="dxa"/>
            <w:vAlign w:val="bottom"/>
          </w:tcPr>
          <w:p>
            <w:pPr>
              <w:spacing w:after="0"/>
              <w:rPr>
                <w:sz w:val="1"/>
                <w:szCs w:val="1"/>
                <w:color w:val="auto"/>
              </w:rPr>
            </w:pPr>
          </w:p>
        </w:tc>
      </w:tr>
      <w:tr>
        <w:trPr>
          <w:trHeight w:val="243"/>
        </w:trPr>
        <w:tc>
          <w:tcPr>
            <w:tcW w:w="1700" w:type="dxa"/>
            <w:vAlign w:val="bottom"/>
            <w:vMerge w:val="continue"/>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Arial" w:cs="Arial" w:eastAsia="Arial" w:hAnsi="Arial"/>
                <w:sz w:val="22"/>
                <w:szCs w:val="22"/>
                <w:color w:val="auto"/>
              </w:rPr>
              <w:t>generating continuous</w:t>
            </w: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pandemic.</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Arial" w:cs="Arial" w:eastAsia="Arial" w:hAnsi="Arial"/>
                <w:sz w:val="22"/>
                <w:szCs w:val="22"/>
                <w:color w:val="auto"/>
              </w:rPr>
              <w:t>improvement</w:t>
            </w:r>
          </w:p>
        </w:tc>
        <w:tc>
          <w:tcPr>
            <w:tcW w:w="160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22"/>
                <w:szCs w:val="22"/>
                <w:color w:val="582C83"/>
              </w:rPr>
              <w:t>•</w:t>
            </w:r>
          </w:p>
        </w:tc>
        <w:tc>
          <w:tcPr>
            <w:tcW w:w="5400" w:type="dxa"/>
            <w:vAlign w:val="bottom"/>
          </w:tcPr>
          <w:p>
            <w:pPr>
              <w:ind w:left="60"/>
              <w:spacing w:after="0"/>
              <w:rPr>
                <w:sz w:val="20"/>
                <w:szCs w:val="20"/>
                <w:color w:val="auto"/>
              </w:rPr>
            </w:pPr>
            <w:r>
              <w:rPr>
                <w:rFonts w:ascii="Arial" w:cs="Arial" w:eastAsia="Arial" w:hAnsi="Arial"/>
                <w:sz w:val="22"/>
                <w:szCs w:val="22"/>
                <w:b w:val="1"/>
                <w:bCs w:val="1"/>
                <w:color w:val="auto"/>
              </w:rPr>
              <w:t xml:space="preserve">Sustainability: </w:t>
            </w:r>
            <w:r>
              <w:rPr>
                <w:rFonts w:ascii="Arial" w:cs="Arial" w:eastAsia="Arial" w:hAnsi="Arial"/>
                <w:sz w:val="22"/>
                <w:szCs w:val="22"/>
                <w:color w:val="auto"/>
              </w:rPr>
              <w:t>In line with expectations on</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recyclability as approximately 95% of our packaging is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now designed to be recyclable and the percentage of</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0" w:type="dxa"/>
            <w:vAlign w:val="bottom"/>
          </w:tcPr>
          <w:p>
            <w:pPr>
              <w:ind w:left="60"/>
              <w:spacing w:after="0" w:line="243" w:lineRule="exact"/>
              <w:rPr>
                <w:sz w:val="20"/>
                <w:szCs w:val="20"/>
                <w:color w:val="auto"/>
              </w:rPr>
            </w:pPr>
            <w:r>
              <w:rPr>
                <w:rFonts w:ascii="Arial" w:cs="Arial" w:eastAsia="Arial" w:hAnsi="Arial"/>
                <w:sz w:val="22"/>
                <w:szCs w:val="22"/>
                <w:color w:val="auto"/>
              </w:rPr>
              <w:t>cocoa volume for our chocolate brands sourced</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tcPr>
          <w:p>
            <w:pPr>
              <w:ind w:left="60"/>
              <w:spacing w:after="0"/>
              <w:rPr>
                <w:sz w:val="20"/>
                <w:szCs w:val="20"/>
                <w:color w:val="auto"/>
              </w:rPr>
            </w:pPr>
            <w:r>
              <w:rPr>
                <w:rFonts w:ascii="Arial" w:cs="Arial" w:eastAsia="Arial" w:hAnsi="Arial"/>
                <w:sz w:val="22"/>
                <w:szCs w:val="22"/>
                <w:color w:val="auto"/>
              </w:rPr>
              <w:t>through our Cocoa Life program grew to 75%.</w:t>
            </w:r>
          </w:p>
        </w:tc>
        <w:tc>
          <w:tcPr>
            <w:tcW w:w="0" w:type="dxa"/>
            <w:vAlign w:val="bottom"/>
          </w:tcPr>
          <w:p>
            <w:pPr>
              <w:spacing w:after="0"/>
              <w:rPr>
                <w:sz w:val="1"/>
                <w:szCs w:val="1"/>
                <w:color w:val="auto"/>
              </w:rPr>
            </w:pPr>
          </w:p>
        </w:tc>
      </w:tr>
      <w:tr>
        <w:trPr>
          <w:trHeight w:val="47"/>
        </w:trPr>
        <w:tc>
          <w:tcPr>
            <w:tcW w:w="1700" w:type="dxa"/>
            <w:vAlign w:val="bottom"/>
            <w:tcBorders>
              <w:bottom w:val="single" w:sz="8" w:color="582C83"/>
            </w:tcBorders>
          </w:tcPr>
          <w:p>
            <w:pPr>
              <w:spacing w:after="0"/>
              <w:rPr>
                <w:sz w:val="4"/>
                <w:szCs w:val="4"/>
                <w:color w:val="auto"/>
              </w:rPr>
            </w:pPr>
          </w:p>
        </w:tc>
        <w:tc>
          <w:tcPr>
            <w:tcW w:w="2340" w:type="dxa"/>
            <w:vAlign w:val="bottom"/>
            <w:tcBorders>
              <w:bottom w:val="single" w:sz="8" w:color="582C83"/>
            </w:tcBorders>
          </w:tcPr>
          <w:p>
            <w:pPr>
              <w:spacing w:after="0"/>
              <w:rPr>
                <w:sz w:val="4"/>
                <w:szCs w:val="4"/>
                <w:color w:val="auto"/>
              </w:rPr>
            </w:pPr>
          </w:p>
        </w:tc>
        <w:tc>
          <w:tcPr>
            <w:tcW w:w="1600" w:type="dxa"/>
            <w:vAlign w:val="bottom"/>
            <w:tcBorders>
              <w:bottom w:val="single" w:sz="8" w:color="582C83"/>
            </w:tcBorders>
          </w:tcPr>
          <w:p>
            <w:pPr>
              <w:spacing w:after="0"/>
              <w:rPr>
                <w:sz w:val="4"/>
                <w:szCs w:val="4"/>
                <w:color w:val="auto"/>
              </w:rPr>
            </w:pPr>
          </w:p>
        </w:tc>
        <w:tc>
          <w:tcPr>
            <w:tcW w:w="220" w:type="dxa"/>
            <w:vAlign w:val="bottom"/>
            <w:tcBorders>
              <w:bottom w:val="single" w:sz="8" w:color="582C83"/>
            </w:tcBorders>
          </w:tcPr>
          <w:p>
            <w:pPr>
              <w:spacing w:after="0"/>
              <w:rPr>
                <w:sz w:val="4"/>
                <w:szCs w:val="4"/>
                <w:color w:val="auto"/>
              </w:rPr>
            </w:pPr>
          </w:p>
        </w:tc>
        <w:tc>
          <w:tcPr>
            <w:tcW w:w="5400" w:type="dxa"/>
            <w:vAlign w:val="bottom"/>
            <w:tcBorders>
              <w:bottom w:val="single" w:sz="8" w:color="582C83"/>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00" w:type="dxa"/>
            <w:vAlign w:val="bottom"/>
            <w:shd w:val="clear" w:color="auto" w:fill="EBE6F1"/>
          </w:tcPr>
          <w:p>
            <w:pPr>
              <w:spacing w:after="0"/>
              <w:rPr>
                <w:sz w:val="23"/>
                <w:szCs w:val="23"/>
                <w:color w:val="auto"/>
              </w:rPr>
            </w:pPr>
          </w:p>
        </w:tc>
        <w:tc>
          <w:tcPr>
            <w:tcW w:w="2340" w:type="dxa"/>
            <w:vAlign w:val="bottom"/>
            <w:shd w:val="clear" w:color="auto" w:fill="EBE6F1"/>
          </w:tcPr>
          <w:p>
            <w:pPr>
              <w:spacing w:after="0"/>
              <w:rPr>
                <w:sz w:val="23"/>
                <w:szCs w:val="23"/>
                <w:color w:val="auto"/>
              </w:rPr>
            </w:pPr>
          </w:p>
        </w:tc>
        <w:tc>
          <w:tcPr>
            <w:tcW w:w="1600" w:type="dxa"/>
            <w:vAlign w:val="bottom"/>
            <w:shd w:val="clear" w:color="auto" w:fill="EBE6F1"/>
          </w:tcPr>
          <w:p>
            <w:pPr>
              <w:spacing w:after="0"/>
              <w:rPr>
                <w:sz w:val="23"/>
                <w:szCs w:val="23"/>
                <w:color w:val="auto"/>
              </w:rPr>
            </w:pPr>
          </w:p>
        </w:tc>
        <w:tc>
          <w:tcPr>
            <w:tcW w:w="220" w:type="dxa"/>
            <w:vAlign w:val="bottom"/>
            <w:shd w:val="clear" w:color="auto" w:fill="EBE6F1"/>
          </w:tcPr>
          <w:p>
            <w:pPr>
              <w:ind w:left="80"/>
              <w:spacing w:after="0"/>
              <w:rPr>
                <w:sz w:val="20"/>
                <w:szCs w:val="20"/>
                <w:color w:val="auto"/>
              </w:rPr>
            </w:pPr>
            <w:r>
              <w:rPr>
                <w:rFonts w:ascii="Arial" w:cs="Arial" w:eastAsia="Arial" w:hAnsi="Arial"/>
                <w:sz w:val="22"/>
                <w:szCs w:val="22"/>
                <w:color w:val="582C83"/>
              </w:rPr>
              <w:t>•</w:t>
            </w:r>
          </w:p>
        </w:tc>
        <w:tc>
          <w:tcPr>
            <w:tcW w:w="5400" w:type="dxa"/>
            <w:vAlign w:val="bottom"/>
            <w:shd w:val="clear" w:color="auto" w:fill="EBE6F1"/>
          </w:tcPr>
          <w:p>
            <w:pPr>
              <w:ind w:left="80"/>
              <w:spacing w:after="0"/>
              <w:rPr>
                <w:sz w:val="20"/>
                <w:szCs w:val="20"/>
                <w:color w:val="auto"/>
              </w:rPr>
            </w:pPr>
            <w:r>
              <w:rPr>
                <w:rFonts w:ascii="Arial" w:cs="Arial" w:eastAsia="Arial" w:hAnsi="Arial"/>
                <w:sz w:val="22"/>
                <w:szCs w:val="22"/>
                <w:b w:val="1"/>
                <w:bCs w:val="1"/>
                <w:color w:val="auto"/>
              </w:rPr>
              <w:t xml:space="preserve">Depth of Talent: </w:t>
            </w:r>
            <w:r>
              <w:rPr>
                <w:rFonts w:ascii="Arial" w:cs="Arial" w:eastAsia="Arial" w:hAnsi="Arial"/>
                <w:sz w:val="22"/>
                <w:szCs w:val="22"/>
                <w:color w:val="auto"/>
              </w:rPr>
              <w:t>In line with expectations as we</w:t>
            </w: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improved our internal talent bench by 5pp from the</w:t>
            </w: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prior year with the majority of critical roles having an</w:t>
            </w:r>
          </w:p>
        </w:tc>
        <w:tc>
          <w:tcPr>
            <w:tcW w:w="0" w:type="dxa"/>
            <w:vAlign w:val="bottom"/>
          </w:tcPr>
          <w:p>
            <w:pPr>
              <w:spacing w:after="0"/>
              <w:rPr>
                <w:sz w:val="1"/>
                <w:szCs w:val="1"/>
                <w:color w:val="auto"/>
              </w:rPr>
            </w:pPr>
          </w:p>
        </w:tc>
      </w:tr>
      <w:tr>
        <w:trPr>
          <w:trHeight w:val="281"/>
        </w:trPr>
        <w:tc>
          <w:tcPr>
            <w:tcW w:w="1700" w:type="dxa"/>
            <w:vAlign w:val="bottom"/>
            <w:shd w:val="clear" w:color="auto" w:fill="EBE6F1"/>
          </w:tcPr>
          <w:p>
            <w:pPr>
              <w:spacing w:after="0"/>
              <w:rPr>
                <w:sz w:val="24"/>
                <w:szCs w:val="24"/>
                <w:color w:val="auto"/>
              </w:rPr>
            </w:pPr>
          </w:p>
        </w:tc>
        <w:tc>
          <w:tcPr>
            <w:tcW w:w="2340" w:type="dxa"/>
            <w:vAlign w:val="bottom"/>
            <w:shd w:val="clear" w:color="auto" w:fill="EBE6F1"/>
          </w:tcPr>
          <w:p>
            <w:pPr>
              <w:spacing w:after="0"/>
              <w:rPr>
                <w:sz w:val="24"/>
                <w:szCs w:val="24"/>
                <w:color w:val="auto"/>
              </w:rPr>
            </w:pPr>
          </w:p>
        </w:tc>
        <w:tc>
          <w:tcPr>
            <w:tcW w:w="1600" w:type="dxa"/>
            <w:vAlign w:val="bottom"/>
            <w:shd w:val="clear" w:color="auto" w:fill="EBE6F1"/>
          </w:tcPr>
          <w:p>
            <w:pPr>
              <w:spacing w:after="0"/>
              <w:rPr>
                <w:sz w:val="24"/>
                <w:szCs w:val="24"/>
                <w:color w:val="auto"/>
              </w:rPr>
            </w:pPr>
          </w:p>
        </w:tc>
        <w:tc>
          <w:tcPr>
            <w:tcW w:w="220" w:type="dxa"/>
            <w:vAlign w:val="bottom"/>
            <w:shd w:val="clear" w:color="auto" w:fill="EBE6F1"/>
          </w:tcPr>
          <w:p>
            <w:pPr>
              <w:spacing w:after="0"/>
              <w:rPr>
                <w:sz w:val="24"/>
                <w:szCs w:val="24"/>
                <w:color w:val="auto"/>
              </w:rPr>
            </w:pPr>
          </w:p>
        </w:tc>
        <w:tc>
          <w:tcPr>
            <w:tcW w:w="5400" w:type="dxa"/>
            <w:vAlign w:val="bottom"/>
            <w:shd w:val="clear" w:color="auto" w:fill="EBE6F1"/>
          </w:tcPr>
          <w:p>
            <w:pPr>
              <w:ind w:left="80"/>
              <w:spacing w:after="0"/>
              <w:rPr>
                <w:sz w:val="20"/>
                <w:szCs w:val="20"/>
                <w:color w:val="auto"/>
              </w:rPr>
            </w:pPr>
            <w:r>
              <w:rPr>
                <w:rFonts w:ascii="Arial" w:cs="Arial" w:eastAsia="Arial" w:hAnsi="Arial"/>
                <w:sz w:val="22"/>
                <w:szCs w:val="22"/>
                <w:color w:val="auto"/>
              </w:rPr>
              <w:t>identified internal successor.</w:t>
            </w:r>
          </w:p>
        </w:tc>
        <w:tc>
          <w:tcPr>
            <w:tcW w:w="0" w:type="dxa"/>
            <w:vAlign w:val="bottom"/>
          </w:tcPr>
          <w:p>
            <w:pPr>
              <w:spacing w:after="0"/>
              <w:rPr>
                <w:sz w:val="1"/>
                <w:szCs w:val="1"/>
                <w:color w:val="auto"/>
              </w:rPr>
            </w:pPr>
          </w:p>
        </w:tc>
      </w:tr>
      <w:tr>
        <w:trPr>
          <w:trHeight w:val="245"/>
        </w:trPr>
        <w:tc>
          <w:tcPr>
            <w:tcW w:w="1700" w:type="dxa"/>
            <w:vAlign w:val="bottom"/>
            <w:shd w:val="clear" w:color="auto" w:fill="EBE6F1"/>
          </w:tcPr>
          <w:p>
            <w:pPr>
              <w:spacing w:after="0"/>
              <w:rPr>
                <w:sz w:val="21"/>
                <w:szCs w:val="21"/>
                <w:color w:val="auto"/>
              </w:rPr>
            </w:pPr>
          </w:p>
        </w:tc>
        <w:tc>
          <w:tcPr>
            <w:tcW w:w="2340" w:type="dxa"/>
            <w:vAlign w:val="bottom"/>
            <w:vMerge w:val="restart"/>
            <w:shd w:val="clear" w:color="auto" w:fill="EBE6F1"/>
          </w:tcPr>
          <w:p>
            <w:pPr>
              <w:ind w:left="100"/>
              <w:spacing w:after="0"/>
              <w:rPr>
                <w:sz w:val="20"/>
                <w:szCs w:val="20"/>
                <w:color w:val="auto"/>
              </w:rPr>
            </w:pPr>
            <w:r>
              <w:rPr>
                <w:rFonts w:ascii="Arial" w:cs="Arial" w:eastAsia="Arial" w:hAnsi="Arial"/>
                <w:sz w:val="22"/>
                <w:szCs w:val="22"/>
                <w:color w:val="auto"/>
              </w:rPr>
              <w:t>Building a winning</w:t>
            </w: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ind w:left="80"/>
              <w:spacing w:after="0" w:line="245" w:lineRule="exact"/>
              <w:rPr>
                <w:sz w:val="20"/>
                <w:szCs w:val="20"/>
                <w:color w:val="auto"/>
              </w:rPr>
            </w:pPr>
            <w:r>
              <w:rPr>
                <w:rFonts w:ascii="Arial" w:cs="Arial" w:eastAsia="Arial" w:hAnsi="Arial"/>
                <w:sz w:val="22"/>
                <w:szCs w:val="22"/>
                <w:color w:val="582C83"/>
              </w:rPr>
              <w:t>•</w:t>
            </w:r>
          </w:p>
        </w:tc>
        <w:tc>
          <w:tcPr>
            <w:tcW w:w="5400" w:type="dxa"/>
            <w:vAlign w:val="bottom"/>
            <w:shd w:val="clear" w:color="auto" w:fill="EBE6F1"/>
          </w:tcPr>
          <w:p>
            <w:pPr>
              <w:ind w:left="80"/>
              <w:spacing w:after="0" w:line="245" w:lineRule="exact"/>
              <w:rPr>
                <w:sz w:val="20"/>
                <w:szCs w:val="20"/>
                <w:color w:val="auto"/>
              </w:rPr>
            </w:pPr>
            <w:r>
              <w:rPr>
                <w:rFonts w:ascii="Arial" w:cs="Arial" w:eastAsia="Arial" w:hAnsi="Arial"/>
                <w:sz w:val="22"/>
                <w:szCs w:val="22"/>
                <w:b w:val="1"/>
                <w:bCs w:val="1"/>
                <w:color w:val="auto"/>
              </w:rPr>
              <w:t xml:space="preserve">DEI in Leadership: </w:t>
            </w:r>
            <w:r>
              <w:rPr>
                <w:rFonts w:ascii="Arial" w:cs="Arial" w:eastAsia="Arial" w:hAnsi="Arial"/>
                <w:sz w:val="22"/>
                <w:szCs w:val="22"/>
                <w:color w:val="auto"/>
              </w:rPr>
              <w:t>Well ahead of expectations as</w:t>
            </w:r>
          </w:p>
        </w:tc>
        <w:tc>
          <w:tcPr>
            <w:tcW w:w="0" w:type="dxa"/>
            <w:vAlign w:val="bottom"/>
          </w:tcPr>
          <w:p>
            <w:pPr>
              <w:spacing w:after="0"/>
              <w:rPr>
                <w:sz w:val="1"/>
                <w:szCs w:val="1"/>
                <w:color w:val="auto"/>
              </w:rPr>
            </w:pPr>
          </w:p>
        </w:tc>
      </w:tr>
      <w:tr>
        <w:trPr>
          <w:trHeight w:val="121"/>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women held 39% of executive leadership roles as of</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growth and ownership</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December 31, 2021, significantly closing the gap to</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culture that leverages</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the balance of the organization. We also made strong</w:t>
            </w:r>
          </w:p>
        </w:tc>
        <w:tc>
          <w:tcPr>
            <w:tcW w:w="0" w:type="dxa"/>
            <w:vAlign w:val="bottom"/>
          </w:tcPr>
          <w:p>
            <w:pPr>
              <w:spacing w:after="0"/>
              <w:rPr>
                <w:sz w:val="1"/>
                <w:szCs w:val="1"/>
                <w:color w:val="auto"/>
              </w:rPr>
            </w:pPr>
          </w:p>
        </w:tc>
      </w:tr>
      <w:tr>
        <w:trPr>
          <w:trHeight w:val="121"/>
        </w:trPr>
        <w:tc>
          <w:tcPr>
            <w:tcW w:w="1700" w:type="dxa"/>
            <w:vAlign w:val="bottom"/>
            <w:shd w:val="clear" w:color="auto" w:fill="EBE6F1"/>
          </w:tcPr>
          <w:p>
            <w:pPr>
              <w:spacing w:after="0"/>
              <w:rPr>
                <w:sz w:val="10"/>
                <w:szCs w:val="10"/>
                <w:color w:val="auto"/>
              </w:rPr>
            </w:pPr>
          </w:p>
        </w:tc>
        <w:tc>
          <w:tcPr>
            <w:tcW w:w="2340" w:type="dxa"/>
            <w:vAlign w:val="bottom"/>
            <w:vMerge w:val="restart"/>
            <w:shd w:val="clear" w:color="auto" w:fill="EBE6F1"/>
          </w:tcPr>
          <w:p>
            <w:pPr>
              <w:ind w:left="100"/>
              <w:spacing w:after="0" w:line="243" w:lineRule="exact"/>
              <w:rPr>
                <w:sz w:val="20"/>
                <w:szCs w:val="20"/>
                <w:color w:val="auto"/>
              </w:rPr>
            </w:pPr>
            <w:r>
              <w:rPr>
                <w:rFonts w:ascii="Arial" w:cs="Arial" w:eastAsia="Arial" w:hAnsi="Arial"/>
                <w:sz w:val="22"/>
                <w:szCs w:val="22"/>
                <w:color w:val="auto"/>
              </w:rPr>
              <w:t>local commercial</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restart"/>
            <w:shd w:val="clear" w:color="auto" w:fill="EBE6F1"/>
          </w:tcPr>
          <w:p>
            <w:pPr>
              <w:ind w:left="80"/>
              <w:spacing w:after="0" w:line="243" w:lineRule="exact"/>
              <w:rPr>
                <w:sz w:val="20"/>
                <w:szCs w:val="20"/>
                <w:color w:val="auto"/>
              </w:rPr>
            </w:pPr>
            <w:r>
              <w:rPr>
                <w:rFonts w:ascii="Arial" w:cs="Arial" w:eastAsia="Arial" w:hAnsi="Arial"/>
                <w:sz w:val="22"/>
                <w:szCs w:val="22"/>
                <w:color w:val="auto"/>
              </w:rPr>
              <w:t>progress (+1.9pp) on increasing our Black</w:t>
            </w:r>
          </w:p>
        </w:tc>
        <w:tc>
          <w:tcPr>
            <w:tcW w:w="0" w:type="dxa"/>
            <w:vAlign w:val="bottom"/>
          </w:tcPr>
          <w:p>
            <w:pPr>
              <w:spacing w:after="0"/>
              <w:rPr>
                <w:sz w:val="1"/>
                <w:szCs w:val="1"/>
                <w:color w:val="auto"/>
              </w:rPr>
            </w:pPr>
          </w:p>
        </w:tc>
      </w:tr>
      <w:tr>
        <w:trPr>
          <w:trHeight w:val="121"/>
        </w:trPr>
        <w:tc>
          <w:tcPr>
            <w:tcW w:w="1700" w:type="dxa"/>
            <w:vAlign w:val="bottom"/>
            <w:vMerge w:val="restart"/>
            <w:shd w:val="clear" w:color="auto" w:fill="EBE6F1"/>
          </w:tcPr>
          <w:p>
            <w:pPr>
              <w:jc w:val="center"/>
              <w:spacing w:after="0"/>
              <w:rPr>
                <w:sz w:val="20"/>
                <w:szCs w:val="20"/>
                <w:color w:val="auto"/>
              </w:rPr>
            </w:pPr>
            <w:r>
              <w:rPr>
                <w:rFonts w:ascii="Arial" w:cs="Arial" w:eastAsia="Arial" w:hAnsi="Arial"/>
                <w:sz w:val="23"/>
                <w:szCs w:val="23"/>
                <w:b w:val="1"/>
                <w:bCs w:val="1"/>
                <w:color w:val="auto"/>
                <w:w w:val="98"/>
              </w:rPr>
              <w:t>CULTURE</w:t>
            </w:r>
          </w:p>
        </w:tc>
        <w:tc>
          <w:tcPr>
            <w:tcW w:w="2340" w:type="dxa"/>
            <w:vAlign w:val="bottom"/>
            <w:vMerge w:val="restart"/>
            <w:shd w:val="clear" w:color="auto" w:fill="EBE6F1"/>
          </w:tcPr>
          <w:p>
            <w:pPr>
              <w:ind w:left="100"/>
              <w:spacing w:after="0"/>
              <w:rPr>
                <w:sz w:val="20"/>
                <w:szCs w:val="20"/>
                <w:color w:val="auto"/>
              </w:rPr>
            </w:pPr>
            <w:r>
              <w:rPr>
                <w:rFonts w:ascii="Arial" w:cs="Arial" w:eastAsia="Arial" w:hAnsi="Arial"/>
                <w:sz w:val="22"/>
                <w:szCs w:val="22"/>
                <w:color w:val="auto"/>
              </w:rPr>
              <w:t>expertise and invests</w:t>
            </w:r>
          </w:p>
        </w:tc>
        <w:tc>
          <w:tcPr>
            <w:tcW w:w="1600" w:type="dxa"/>
            <w:vAlign w:val="bottom"/>
            <w:shd w:val="clear" w:color="auto" w:fill="EBE6F1"/>
          </w:tcPr>
          <w:p>
            <w:pPr>
              <w:spacing w:after="0"/>
              <w:rPr>
                <w:sz w:val="10"/>
                <w:szCs w:val="10"/>
                <w:color w:val="auto"/>
              </w:rPr>
            </w:pPr>
          </w:p>
        </w:tc>
        <w:tc>
          <w:tcPr>
            <w:tcW w:w="220" w:type="dxa"/>
            <w:vAlign w:val="bottom"/>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700" w:type="dxa"/>
            <w:vAlign w:val="bottom"/>
            <w:vMerge w:val="continue"/>
            <w:shd w:val="clear" w:color="auto" w:fill="EBE6F1"/>
          </w:tcPr>
          <w:p>
            <w:pPr>
              <w:spacing w:after="0"/>
              <w:rPr>
                <w:sz w:val="18"/>
                <w:szCs w:val="18"/>
                <w:color w:val="auto"/>
              </w:rPr>
            </w:pPr>
          </w:p>
        </w:tc>
        <w:tc>
          <w:tcPr>
            <w:tcW w:w="2340" w:type="dxa"/>
            <w:vAlign w:val="bottom"/>
            <w:vMerge w:val="continue"/>
            <w:shd w:val="clear" w:color="auto" w:fill="EBE6F1"/>
          </w:tcPr>
          <w:p>
            <w:pPr>
              <w:spacing w:after="0"/>
              <w:rPr>
                <w:sz w:val="18"/>
                <w:szCs w:val="18"/>
                <w:color w:val="auto"/>
              </w:rPr>
            </w:pPr>
          </w:p>
        </w:tc>
        <w:tc>
          <w:tcPr>
            <w:tcW w:w="1600" w:type="dxa"/>
            <w:vAlign w:val="bottom"/>
            <w:shd w:val="clear" w:color="auto" w:fill="EBE6F1"/>
          </w:tcPr>
          <w:p>
            <w:pPr>
              <w:spacing w:after="0"/>
              <w:rPr>
                <w:sz w:val="18"/>
                <w:szCs w:val="18"/>
                <w:color w:val="auto"/>
              </w:rPr>
            </w:pPr>
          </w:p>
        </w:tc>
        <w:tc>
          <w:tcPr>
            <w:tcW w:w="220" w:type="dxa"/>
            <w:vAlign w:val="bottom"/>
            <w:shd w:val="clear" w:color="auto" w:fill="EBE6F1"/>
          </w:tcPr>
          <w:p>
            <w:pPr>
              <w:spacing w:after="0"/>
              <w:rPr>
                <w:sz w:val="18"/>
                <w:szCs w:val="18"/>
                <w:color w:val="auto"/>
              </w:rPr>
            </w:pPr>
          </w:p>
        </w:tc>
        <w:tc>
          <w:tcPr>
            <w:tcW w:w="5400" w:type="dxa"/>
            <w:vAlign w:val="bottom"/>
            <w:shd w:val="clear" w:color="auto" w:fill="EBE6F1"/>
          </w:tcPr>
          <w:p>
            <w:pPr>
              <w:ind w:left="80"/>
              <w:spacing w:after="0" w:line="216" w:lineRule="exact"/>
              <w:rPr>
                <w:sz w:val="20"/>
                <w:szCs w:val="20"/>
                <w:color w:val="auto"/>
              </w:rPr>
            </w:pPr>
            <w:r>
              <w:rPr>
                <w:rFonts w:ascii="Arial" w:cs="Arial" w:eastAsia="Arial" w:hAnsi="Arial"/>
                <w:sz w:val="22"/>
                <w:szCs w:val="22"/>
                <w:color w:val="auto"/>
              </w:rPr>
              <w:t>representation in management in the U.S., ending the</w:t>
            </w:r>
          </w:p>
        </w:tc>
        <w:tc>
          <w:tcPr>
            <w:tcW w:w="0" w:type="dxa"/>
            <w:vAlign w:val="bottom"/>
          </w:tcPr>
          <w:p>
            <w:pPr>
              <w:spacing w:after="0"/>
              <w:rPr>
                <w:sz w:val="1"/>
                <w:szCs w:val="1"/>
                <w:color w:val="auto"/>
              </w:rPr>
            </w:pPr>
          </w:p>
        </w:tc>
      </w:tr>
      <w:tr>
        <w:trPr>
          <w:trHeight w:val="149"/>
        </w:trPr>
        <w:tc>
          <w:tcPr>
            <w:tcW w:w="1700" w:type="dxa"/>
            <w:vAlign w:val="bottom"/>
            <w:shd w:val="clear" w:color="auto" w:fill="EBE6F1"/>
          </w:tcPr>
          <w:p>
            <w:pPr>
              <w:spacing w:after="0"/>
              <w:rPr>
                <w:sz w:val="12"/>
                <w:szCs w:val="12"/>
                <w:color w:val="auto"/>
              </w:rPr>
            </w:pPr>
          </w:p>
        </w:tc>
        <w:tc>
          <w:tcPr>
            <w:tcW w:w="2340" w:type="dxa"/>
            <w:vAlign w:val="bottom"/>
            <w:shd w:val="clear" w:color="auto" w:fill="EBE6F1"/>
          </w:tcPr>
          <w:p>
            <w:pPr>
              <w:ind w:left="100"/>
              <w:spacing w:after="0" w:line="149" w:lineRule="exact"/>
              <w:rPr>
                <w:sz w:val="20"/>
                <w:szCs w:val="20"/>
                <w:color w:val="auto"/>
              </w:rPr>
            </w:pPr>
            <w:r>
              <w:rPr>
                <w:rFonts w:ascii="Arial" w:cs="Arial" w:eastAsia="Arial" w:hAnsi="Arial"/>
                <w:sz w:val="17"/>
                <w:szCs w:val="17"/>
                <w:color w:val="auto"/>
              </w:rPr>
              <w:t>in talent and key</w:t>
            </w:r>
          </w:p>
        </w:tc>
        <w:tc>
          <w:tcPr>
            <w:tcW w:w="1600" w:type="dxa"/>
            <w:vAlign w:val="bottom"/>
            <w:shd w:val="clear" w:color="auto" w:fill="EBE6F1"/>
          </w:tcPr>
          <w:p>
            <w:pPr>
              <w:spacing w:after="0"/>
              <w:rPr>
                <w:sz w:val="12"/>
                <w:szCs w:val="12"/>
                <w:color w:val="auto"/>
              </w:rPr>
            </w:pPr>
          </w:p>
        </w:tc>
        <w:tc>
          <w:tcPr>
            <w:tcW w:w="220" w:type="dxa"/>
            <w:vAlign w:val="bottom"/>
            <w:shd w:val="clear" w:color="auto" w:fill="EBE6F1"/>
          </w:tcPr>
          <w:p>
            <w:pPr>
              <w:spacing w:after="0"/>
              <w:rPr>
                <w:sz w:val="12"/>
                <w:szCs w:val="12"/>
                <w:color w:val="auto"/>
              </w:rPr>
            </w:pPr>
          </w:p>
        </w:tc>
        <w:tc>
          <w:tcPr>
            <w:tcW w:w="5400" w:type="dxa"/>
            <w:vAlign w:val="bottom"/>
            <w:vMerge w:val="restart"/>
            <w:shd w:val="clear" w:color="auto" w:fill="EBE6F1"/>
          </w:tcPr>
          <w:p>
            <w:pPr>
              <w:ind w:left="80"/>
              <w:spacing w:after="0"/>
              <w:rPr>
                <w:sz w:val="20"/>
                <w:szCs w:val="20"/>
                <w:color w:val="auto"/>
              </w:rPr>
            </w:pPr>
            <w:r>
              <w:rPr>
                <w:rFonts w:ascii="Arial" w:cs="Arial" w:eastAsia="Arial" w:hAnsi="Arial"/>
                <w:sz w:val="22"/>
                <w:szCs w:val="22"/>
                <w:color w:val="auto"/>
              </w:rPr>
              <w:t>year at 5.1%.</w:t>
            </w:r>
          </w:p>
        </w:tc>
        <w:tc>
          <w:tcPr>
            <w:tcW w:w="0" w:type="dxa"/>
            <w:vAlign w:val="bottom"/>
          </w:tcPr>
          <w:p>
            <w:pPr>
              <w:spacing w:after="0"/>
              <w:rPr>
                <w:sz w:val="1"/>
                <w:szCs w:val="1"/>
                <w:color w:val="auto"/>
              </w:rPr>
            </w:pPr>
          </w:p>
        </w:tc>
      </w:tr>
      <w:tr>
        <w:trPr>
          <w:trHeight w:val="160"/>
        </w:trPr>
        <w:tc>
          <w:tcPr>
            <w:tcW w:w="1700" w:type="dxa"/>
            <w:vAlign w:val="bottom"/>
            <w:shd w:val="clear" w:color="auto" w:fill="EBE6F1"/>
          </w:tcPr>
          <w:p>
            <w:pPr>
              <w:spacing w:after="0"/>
              <w:rPr>
                <w:sz w:val="13"/>
                <w:szCs w:val="13"/>
                <w:color w:val="auto"/>
              </w:rPr>
            </w:pPr>
          </w:p>
        </w:tc>
        <w:tc>
          <w:tcPr>
            <w:tcW w:w="2340" w:type="dxa"/>
            <w:vAlign w:val="bottom"/>
            <w:vMerge w:val="restart"/>
            <w:shd w:val="clear" w:color="auto" w:fill="EBE6F1"/>
          </w:tcPr>
          <w:p>
            <w:pPr>
              <w:ind w:left="100"/>
              <w:spacing w:after="0"/>
              <w:rPr>
                <w:sz w:val="20"/>
                <w:szCs w:val="20"/>
                <w:color w:val="auto"/>
              </w:rPr>
            </w:pPr>
            <w:r>
              <w:rPr>
                <w:rFonts w:ascii="Arial" w:cs="Arial" w:eastAsia="Arial" w:hAnsi="Arial"/>
                <w:sz w:val="22"/>
                <w:szCs w:val="22"/>
                <w:color w:val="auto"/>
              </w:rPr>
              <w:t>capabilities</w:t>
            </w:r>
          </w:p>
        </w:tc>
        <w:tc>
          <w:tcPr>
            <w:tcW w:w="1600" w:type="dxa"/>
            <w:vAlign w:val="bottom"/>
            <w:shd w:val="clear" w:color="auto" w:fill="EBE6F1"/>
          </w:tcPr>
          <w:p>
            <w:pPr>
              <w:spacing w:after="0"/>
              <w:rPr>
                <w:sz w:val="13"/>
                <w:szCs w:val="13"/>
                <w:color w:val="auto"/>
              </w:rPr>
            </w:pPr>
          </w:p>
        </w:tc>
        <w:tc>
          <w:tcPr>
            <w:tcW w:w="220" w:type="dxa"/>
            <w:vAlign w:val="bottom"/>
            <w:shd w:val="clear" w:color="auto" w:fill="EBE6F1"/>
          </w:tcPr>
          <w:p>
            <w:pPr>
              <w:spacing w:after="0"/>
              <w:rPr>
                <w:sz w:val="13"/>
                <w:szCs w:val="13"/>
                <w:color w:val="auto"/>
              </w:rPr>
            </w:pPr>
          </w:p>
        </w:tc>
        <w:tc>
          <w:tcPr>
            <w:tcW w:w="5400" w:type="dxa"/>
            <w:vAlign w:val="bottom"/>
            <w:vMerge w:val="continue"/>
            <w:shd w:val="clear" w:color="auto" w:fill="EBE6F1"/>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700" w:type="dxa"/>
            <w:vAlign w:val="bottom"/>
            <w:shd w:val="clear" w:color="auto" w:fill="EBE6F1"/>
          </w:tcPr>
          <w:p>
            <w:pPr>
              <w:spacing w:after="0"/>
              <w:rPr>
                <w:sz w:val="10"/>
                <w:szCs w:val="10"/>
                <w:color w:val="auto"/>
              </w:rPr>
            </w:pPr>
          </w:p>
        </w:tc>
        <w:tc>
          <w:tcPr>
            <w:tcW w:w="2340" w:type="dxa"/>
            <w:vAlign w:val="bottom"/>
            <w:vMerge w:val="continue"/>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vMerge w:val="restart"/>
            <w:shd w:val="clear" w:color="auto" w:fill="EBE6F1"/>
          </w:tcPr>
          <w:p>
            <w:pPr>
              <w:ind w:left="80"/>
              <w:spacing w:after="0" w:line="245" w:lineRule="exact"/>
              <w:rPr>
                <w:sz w:val="20"/>
                <w:szCs w:val="20"/>
                <w:color w:val="auto"/>
              </w:rPr>
            </w:pPr>
            <w:r>
              <w:rPr>
                <w:rFonts w:ascii="Arial" w:cs="Arial" w:eastAsia="Arial" w:hAnsi="Arial"/>
                <w:sz w:val="22"/>
                <w:szCs w:val="22"/>
                <w:color w:val="582C83"/>
              </w:rPr>
              <w:t>•</w:t>
            </w:r>
          </w:p>
        </w:tc>
        <w:tc>
          <w:tcPr>
            <w:tcW w:w="5400" w:type="dxa"/>
            <w:vAlign w:val="bottom"/>
            <w:vMerge w:val="restart"/>
            <w:shd w:val="clear" w:color="auto" w:fill="EBE6F1"/>
          </w:tcPr>
          <w:p>
            <w:pPr>
              <w:ind w:left="80"/>
              <w:spacing w:after="0" w:line="245" w:lineRule="exact"/>
              <w:rPr>
                <w:sz w:val="20"/>
                <w:szCs w:val="20"/>
                <w:color w:val="auto"/>
              </w:rPr>
            </w:pPr>
            <w:r>
              <w:rPr>
                <w:rFonts w:ascii="Arial" w:cs="Arial" w:eastAsia="Arial" w:hAnsi="Arial"/>
                <w:sz w:val="22"/>
                <w:szCs w:val="22"/>
                <w:b w:val="1"/>
                <w:bCs w:val="1"/>
                <w:color w:val="auto"/>
              </w:rPr>
              <w:t xml:space="preserve">Employee Engagement: </w:t>
            </w:r>
            <w:r>
              <w:rPr>
                <w:rFonts w:ascii="Arial" w:cs="Arial" w:eastAsia="Arial" w:hAnsi="Arial"/>
                <w:sz w:val="22"/>
                <w:szCs w:val="22"/>
                <w:color w:val="auto"/>
              </w:rPr>
              <w:t>In line with expectations on</w:t>
            </w:r>
          </w:p>
        </w:tc>
        <w:tc>
          <w:tcPr>
            <w:tcW w:w="0" w:type="dxa"/>
            <w:vAlign w:val="bottom"/>
          </w:tcPr>
          <w:p>
            <w:pPr>
              <w:spacing w:after="0"/>
              <w:rPr>
                <w:sz w:val="1"/>
                <w:szCs w:val="1"/>
                <w:color w:val="auto"/>
              </w:rPr>
            </w:pPr>
          </w:p>
        </w:tc>
      </w:tr>
      <w:tr>
        <w:trPr>
          <w:trHeight w:val="122"/>
        </w:trPr>
        <w:tc>
          <w:tcPr>
            <w:tcW w:w="1700" w:type="dxa"/>
            <w:vAlign w:val="bottom"/>
            <w:shd w:val="clear" w:color="auto" w:fill="EBE6F1"/>
          </w:tcPr>
          <w:p>
            <w:pPr>
              <w:spacing w:after="0"/>
              <w:rPr>
                <w:sz w:val="10"/>
                <w:szCs w:val="10"/>
                <w:color w:val="auto"/>
              </w:rPr>
            </w:pPr>
          </w:p>
        </w:tc>
        <w:tc>
          <w:tcPr>
            <w:tcW w:w="2340" w:type="dxa"/>
            <w:vAlign w:val="bottom"/>
            <w:shd w:val="clear" w:color="auto" w:fill="EBE6F1"/>
          </w:tcPr>
          <w:p>
            <w:pPr>
              <w:spacing w:after="0"/>
              <w:rPr>
                <w:sz w:val="10"/>
                <w:szCs w:val="10"/>
                <w:color w:val="auto"/>
              </w:rPr>
            </w:pPr>
          </w:p>
        </w:tc>
        <w:tc>
          <w:tcPr>
            <w:tcW w:w="1600" w:type="dxa"/>
            <w:vAlign w:val="bottom"/>
            <w:shd w:val="clear" w:color="auto" w:fill="EBE6F1"/>
          </w:tcPr>
          <w:p>
            <w:pPr>
              <w:spacing w:after="0"/>
              <w:rPr>
                <w:sz w:val="10"/>
                <w:szCs w:val="10"/>
                <w:color w:val="auto"/>
              </w:rPr>
            </w:pPr>
          </w:p>
        </w:tc>
        <w:tc>
          <w:tcPr>
            <w:tcW w:w="220" w:type="dxa"/>
            <w:vAlign w:val="bottom"/>
            <w:vMerge w:val="continue"/>
            <w:shd w:val="clear" w:color="auto" w:fill="EBE6F1"/>
          </w:tcPr>
          <w:p>
            <w:pPr>
              <w:spacing w:after="0"/>
              <w:rPr>
                <w:sz w:val="10"/>
                <w:szCs w:val="10"/>
                <w:color w:val="auto"/>
              </w:rPr>
            </w:pPr>
          </w:p>
        </w:tc>
        <w:tc>
          <w:tcPr>
            <w:tcW w:w="5400" w:type="dxa"/>
            <w:vAlign w:val="bottom"/>
            <w:vMerge w:val="continue"/>
            <w:shd w:val="clear" w:color="auto" w:fill="EBE6F1"/>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employee engagement with most of our strong</w:t>
            </w: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progress in 2020 carried over into 2021. Employee</w:t>
            </w:r>
          </w:p>
        </w:tc>
        <w:tc>
          <w:tcPr>
            <w:tcW w:w="0" w:type="dxa"/>
            <w:vAlign w:val="bottom"/>
          </w:tcPr>
          <w:p>
            <w:pPr>
              <w:spacing w:after="0"/>
              <w:rPr>
                <w:sz w:val="1"/>
                <w:szCs w:val="1"/>
                <w:color w:val="auto"/>
              </w:rPr>
            </w:pPr>
          </w:p>
        </w:tc>
      </w:tr>
      <w:tr>
        <w:trPr>
          <w:trHeight w:val="243"/>
        </w:trPr>
        <w:tc>
          <w:tcPr>
            <w:tcW w:w="1700" w:type="dxa"/>
            <w:vAlign w:val="bottom"/>
            <w:shd w:val="clear" w:color="auto" w:fill="EBE6F1"/>
          </w:tcPr>
          <w:p>
            <w:pPr>
              <w:spacing w:after="0"/>
              <w:rPr>
                <w:sz w:val="21"/>
                <w:szCs w:val="21"/>
                <w:color w:val="auto"/>
              </w:rPr>
            </w:pPr>
          </w:p>
        </w:tc>
        <w:tc>
          <w:tcPr>
            <w:tcW w:w="2340" w:type="dxa"/>
            <w:vAlign w:val="bottom"/>
            <w:shd w:val="clear" w:color="auto" w:fill="EBE6F1"/>
          </w:tcPr>
          <w:p>
            <w:pPr>
              <w:spacing w:after="0"/>
              <w:rPr>
                <w:sz w:val="21"/>
                <w:szCs w:val="21"/>
                <w:color w:val="auto"/>
              </w:rPr>
            </w:pPr>
          </w:p>
        </w:tc>
        <w:tc>
          <w:tcPr>
            <w:tcW w:w="1600" w:type="dxa"/>
            <w:vAlign w:val="bottom"/>
            <w:shd w:val="clear" w:color="auto" w:fill="EBE6F1"/>
          </w:tcPr>
          <w:p>
            <w:pPr>
              <w:spacing w:after="0"/>
              <w:rPr>
                <w:sz w:val="21"/>
                <w:szCs w:val="21"/>
                <w:color w:val="auto"/>
              </w:rPr>
            </w:pPr>
          </w:p>
        </w:tc>
        <w:tc>
          <w:tcPr>
            <w:tcW w:w="220" w:type="dxa"/>
            <w:vAlign w:val="bottom"/>
            <w:shd w:val="clear" w:color="auto" w:fill="EBE6F1"/>
          </w:tcPr>
          <w:p>
            <w:pPr>
              <w:spacing w:after="0"/>
              <w:rPr>
                <w:sz w:val="21"/>
                <w:szCs w:val="21"/>
                <w:color w:val="auto"/>
              </w:rPr>
            </w:pPr>
          </w:p>
        </w:tc>
        <w:tc>
          <w:tcPr>
            <w:tcW w:w="5400" w:type="dxa"/>
            <w:vAlign w:val="bottom"/>
            <w:shd w:val="clear" w:color="auto" w:fill="EBE6F1"/>
          </w:tcPr>
          <w:p>
            <w:pPr>
              <w:ind w:left="80"/>
              <w:spacing w:after="0" w:line="243" w:lineRule="exact"/>
              <w:rPr>
                <w:sz w:val="20"/>
                <w:szCs w:val="20"/>
                <w:color w:val="auto"/>
              </w:rPr>
            </w:pPr>
            <w:r>
              <w:rPr>
                <w:rFonts w:ascii="Arial" w:cs="Arial" w:eastAsia="Arial" w:hAnsi="Arial"/>
                <w:sz w:val="22"/>
                <w:szCs w:val="22"/>
                <w:color w:val="auto"/>
              </w:rPr>
              <w:t>engagement results remain higher than 2019 and</w:t>
            </w:r>
          </w:p>
        </w:tc>
        <w:tc>
          <w:tcPr>
            <w:tcW w:w="0" w:type="dxa"/>
            <w:vAlign w:val="bottom"/>
          </w:tcPr>
          <w:p>
            <w:pPr>
              <w:spacing w:after="0"/>
              <w:rPr>
                <w:sz w:val="1"/>
                <w:szCs w:val="1"/>
                <w:color w:val="auto"/>
              </w:rPr>
            </w:pPr>
          </w:p>
        </w:tc>
      </w:tr>
      <w:tr>
        <w:trPr>
          <w:trHeight w:val="335"/>
        </w:trPr>
        <w:tc>
          <w:tcPr>
            <w:tcW w:w="1700" w:type="dxa"/>
            <w:vAlign w:val="bottom"/>
            <w:tcBorders>
              <w:bottom w:val="single" w:sz="8" w:color="EBE6F1"/>
            </w:tcBorders>
            <w:shd w:val="clear" w:color="auto" w:fill="EBE6F1"/>
          </w:tcPr>
          <w:p>
            <w:pPr>
              <w:spacing w:after="0"/>
              <w:rPr>
                <w:sz w:val="24"/>
                <w:szCs w:val="24"/>
                <w:color w:val="auto"/>
              </w:rPr>
            </w:pPr>
          </w:p>
        </w:tc>
        <w:tc>
          <w:tcPr>
            <w:tcW w:w="2340" w:type="dxa"/>
            <w:vAlign w:val="bottom"/>
            <w:tcBorders>
              <w:bottom w:val="single" w:sz="8" w:color="EBE6F1"/>
            </w:tcBorders>
            <w:shd w:val="clear" w:color="auto" w:fill="EBE6F1"/>
          </w:tcPr>
          <w:p>
            <w:pPr>
              <w:spacing w:after="0"/>
              <w:rPr>
                <w:sz w:val="24"/>
                <w:szCs w:val="24"/>
                <w:color w:val="auto"/>
              </w:rPr>
            </w:pPr>
          </w:p>
        </w:tc>
        <w:tc>
          <w:tcPr>
            <w:tcW w:w="1600" w:type="dxa"/>
            <w:vAlign w:val="bottom"/>
            <w:tcBorders>
              <w:bottom w:val="single" w:sz="8" w:color="EBE6F1"/>
            </w:tcBorders>
            <w:shd w:val="clear" w:color="auto" w:fill="EBE6F1"/>
          </w:tcPr>
          <w:p>
            <w:pPr>
              <w:spacing w:after="0"/>
              <w:rPr>
                <w:sz w:val="24"/>
                <w:szCs w:val="24"/>
                <w:color w:val="auto"/>
              </w:rPr>
            </w:pPr>
          </w:p>
        </w:tc>
        <w:tc>
          <w:tcPr>
            <w:tcW w:w="220" w:type="dxa"/>
            <w:vAlign w:val="bottom"/>
            <w:tcBorders>
              <w:bottom w:val="single" w:sz="8" w:color="EBE6F1"/>
            </w:tcBorders>
            <w:shd w:val="clear" w:color="auto" w:fill="EBE6F1"/>
          </w:tcPr>
          <w:p>
            <w:pPr>
              <w:spacing w:after="0"/>
              <w:rPr>
                <w:sz w:val="24"/>
                <w:szCs w:val="24"/>
                <w:color w:val="auto"/>
              </w:rPr>
            </w:pPr>
          </w:p>
        </w:tc>
        <w:tc>
          <w:tcPr>
            <w:tcW w:w="5400" w:type="dxa"/>
            <w:vAlign w:val="bottom"/>
            <w:tcBorders>
              <w:bottom w:val="single" w:sz="8" w:color="EBE6F1"/>
            </w:tcBorders>
            <w:shd w:val="clear" w:color="auto" w:fill="EBE6F1"/>
          </w:tcPr>
          <w:p>
            <w:pPr>
              <w:ind w:left="80"/>
              <w:spacing w:after="0"/>
              <w:rPr>
                <w:sz w:val="20"/>
                <w:szCs w:val="20"/>
                <w:color w:val="auto"/>
              </w:rPr>
            </w:pPr>
            <w:r>
              <w:rPr>
                <w:rFonts w:ascii="Arial" w:cs="Arial" w:eastAsia="Arial" w:hAnsi="Arial"/>
                <w:sz w:val="22"/>
                <w:szCs w:val="22"/>
                <w:color w:val="auto"/>
              </w:rPr>
              <w:t>higher than benchmark companies.</w:t>
            </w:r>
          </w:p>
        </w:tc>
        <w:tc>
          <w:tcPr>
            <w:tcW w:w="0" w:type="dxa"/>
            <w:vAlign w:val="bottom"/>
          </w:tcPr>
          <w:p>
            <w:pPr>
              <w:spacing w:after="0"/>
              <w:rPr>
                <w:sz w:val="1"/>
                <w:szCs w:val="1"/>
                <w:color w:val="auto"/>
              </w:rPr>
            </w:pPr>
          </w:p>
        </w:tc>
      </w:tr>
      <w:tr>
        <w:trPr>
          <w:trHeight w:val="323"/>
        </w:trPr>
        <w:tc>
          <w:tcPr>
            <w:tcW w:w="4040" w:type="dxa"/>
            <w:vAlign w:val="bottom"/>
            <w:tcBorders>
              <w:top w:val="single" w:sz="8" w:color="582C83"/>
            </w:tcBorders>
            <w:gridSpan w:val="2"/>
          </w:tcPr>
          <w:p>
            <w:pPr>
              <w:ind w:left="80"/>
              <w:spacing w:after="0"/>
              <w:rPr>
                <w:sz w:val="20"/>
                <w:szCs w:val="20"/>
                <w:color w:val="auto"/>
              </w:rPr>
            </w:pPr>
            <w:r>
              <w:rPr>
                <w:rFonts w:ascii="Arial" w:cs="Arial" w:eastAsia="Arial" w:hAnsi="Arial"/>
                <w:sz w:val="22"/>
                <w:szCs w:val="22"/>
                <w:b w:val="1"/>
                <w:bCs w:val="1"/>
                <w:color w:val="auto"/>
              </w:rPr>
              <w:t>Strategic KPI Rating</w:t>
            </w:r>
          </w:p>
        </w:tc>
        <w:tc>
          <w:tcPr>
            <w:tcW w:w="1600" w:type="dxa"/>
            <w:vAlign w:val="bottom"/>
            <w:tcBorders>
              <w:top w:val="single" w:sz="8" w:color="582C83"/>
            </w:tcBorders>
          </w:tcPr>
          <w:p>
            <w:pPr>
              <w:spacing w:after="0"/>
              <w:rPr>
                <w:sz w:val="24"/>
                <w:szCs w:val="24"/>
                <w:color w:val="auto"/>
              </w:rPr>
            </w:pPr>
          </w:p>
        </w:tc>
        <w:tc>
          <w:tcPr>
            <w:tcW w:w="220" w:type="dxa"/>
            <w:vAlign w:val="bottom"/>
            <w:tcBorders>
              <w:top w:val="single" w:sz="8" w:color="582C83"/>
            </w:tcBorders>
          </w:tcPr>
          <w:p>
            <w:pPr>
              <w:spacing w:after="0"/>
              <w:rPr>
                <w:sz w:val="24"/>
                <w:szCs w:val="24"/>
                <w:color w:val="auto"/>
              </w:rPr>
            </w:pPr>
          </w:p>
        </w:tc>
        <w:tc>
          <w:tcPr>
            <w:tcW w:w="5400" w:type="dxa"/>
            <w:vAlign w:val="bottom"/>
            <w:tcBorders>
              <w:top w:val="single" w:sz="8" w:color="582C83"/>
            </w:tcBorders>
          </w:tcPr>
          <w:p>
            <w:pPr>
              <w:ind w:left="4740"/>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-6522720</wp:posOffset>
            </wp:positionV>
            <wp:extent cx="377190" cy="4546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77190" cy="45466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-6393815</wp:posOffset>
            </wp:positionV>
            <wp:extent cx="188595" cy="3860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88595" cy="38608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-4293870</wp:posOffset>
            </wp:positionV>
            <wp:extent cx="514350" cy="4114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 cy="41148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-4070985</wp:posOffset>
            </wp:positionV>
            <wp:extent cx="386080"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6080" cy="18859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-1842135</wp:posOffset>
            </wp:positionV>
            <wp:extent cx="548640" cy="4368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8640" cy="43688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-1730375</wp:posOffset>
            </wp:positionV>
            <wp:extent cx="205740" cy="4286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05740" cy="428625"/>
                    </a:xfrm>
                    <a:prstGeom prst="rect">
                      <a:avLst/>
                    </a:prstGeom>
                    <a:noFill/>
                  </pic:spPr>
                </pic:pic>
              </a:graphicData>
            </a:graphic>
          </wp:anchor>
        </w:drawing>
      </w:r>
    </w:p>
    <w:p>
      <w:pPr>
        <w:spacing w:after="0" w:line="75" w:lineRule="exact"/>
        <w:rPr>
          <w:sz w:val="20"/>
          <w:szCs w:val="20"/>
          <w:color w:val="auto"/>
        </w:rPr>
      </w:pPr>
    </w:p>
    <w:p>
      <w:pPr>
        <w:ind w:left="80"/>
        <w:spacing w:after="0"/>
        <w:tabs>
          <w:tab w:leader="none" w:pos="420" w:val="left"/>
        </w:tabs>
        <w:rPr>
          <w:sz w:val="20"/>
          <w:szCs w:val="20"/>
          <w:color w:val="auto"/>
        </w:rPr>
      </w:pPr>
      <w:r>
        <w:rPr>
          <w:rFonts w:ascii="Arial" w:cs="Arial" w:eastAsia="Arial" w:hAnsi="Arial"/>
          <w:sz w:val="16"/>
          <w:szCs w:val="16"/>
          <w:color w:val="auto"/>
        </w:rPr>
        <w:t>(1)</w:t>
        <w:tab/>
        <w:t>Arrow up = above expected progress; sideways arrow = at or near expected progress; arrow down = limited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KPI Rating</w:t>
      </w:r>
    </w:p>
    <w:p>
      <w:pPr>
        <w:spacing w:after="0" w:line="51"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region strategic KPI ratings are a weighted average (on a net revenue basis) of the final KPI rating for each business unit in the region. After reviewing annual progress toward each of the long-term KPI goals for the business units in the region, the Compensation Committee determined that the appropriate payout ratings for the strategic KPI goals were: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540" w:type="dxa"/>
            <w:vAlign w:val="bottom"/>
            <w:tcBorders>
              <w:bottom w:val="single" w:sz="8" w:color="582C83"/>
            </w:tcBorders>
          </w:tcPr>
          <w:p>
            <w:pPr>
              <w:spacing w:after="0"/>
              <w:rPr>
                <w:sz w:val="23"/>
                <w:szCs w:val="23"/>
                <w:color w:val="auto"/>
              </w:rPr>
            </w:pPr>
          </w:p>
        </w:tc>
        <w:tc>
          <w:tcPr>
            <w:tcW w:w="37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Final KPI Rating</w:t>
            </w:r>
          </w:p>
        </w:tc>
      </w:tr>
      <w:tr>
        <w:trPr>
          <w:trHeight w:val="323"/>
        </w:trPr>
        <w:tc>
          <w:tcPr>
            <w:tcW w:w="7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Corporate</w:t>
            </w:r>
          </w:p>
        </w:tc>
        <w:tc>
          <w:tcPr>
            <w:tcW w:w="3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100%</w:t>
            </w:r>
          </w:p>
        </w:tc>
      </w:tr>
      <w:tr>
        <w:trPr>
          <w:trHeight w:val="272"/>
        </w:trPr>
        <w:tc>
          <w:tcPr>
            <w:tcW w:w="754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AMEA</w:t>
            </w:r>
          </w:p>
        </w:tc>
        <w:tc>
          <w:tcPr>
            <w:tcW w:w="37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133%</w:t>
            </w:r>
          </w:p>
        </w:tc>
      </w:tr>
      <w:tr>
        <w:trPr>
          <w:trHeight w:val="46"/>
        </w:trPr>
        <w:tc>
          <w:tcPr>
            <w:tcW w:w="7540" w:type="dxa"/>
            <w:vAlign w:val="bottom"/>
            <w:tcBorders>
              <w:bottom w:val="single" w:sz="8" w:color="582C83"/>
            </w:tcBorders>
          </w:tcPr>
          <w:p>
            <w:pPr>
              <w:spacing w:after="0"/>
              <w:rPr>
                <w:sz w:val="3"/>
                <w:szCs w:val="3"/>
                <w:color w:val="auto"/>
              </w:rPr>
            </w:pPr>
          </w:p>
        </w:tc>
        <w:tc>
          <w:tcPr>
            <w:tcW w:w="3720" w:type="dxa"/>
            <w:vAlign w:val="bottom"/>
            <w:tcBorders>
              <w:bottom w:val="single" w:sz="8" w:color="582C83"/>
            </w:tcBorders>
          </w:tcPr>
          <w:p>
            <w:pPr>
              <w:spacing w:after="0"/>
              <w:rPr>
                <w:sz w:val="3"/>
                <w:szCs w:val="3"/>
                <w:color w:val="auto"/>
              </w:rPr>
            </w:pPr>
          </w:p>
        </w:tc>
      </w:tr>
      <w:tr>
        <w:trPr>
          <w:trHeight w:val="291"/>
        </w:trPr>
        <w:tc>
          <w:tcPr>
            <w:tcW w:w="75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Europe</w:t>
            </w:r>
          </w:p>
        </w:tc>
        <w:tc>
          <w:tcPr>
            <w:tcW w:w="3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540" w:type="dxa"/>
            <w:vAlign w:val="bottom"/>
            <w:shd w:val="clear" w:color="auto" w:fill="582C83"/>
          </w:tcPr>
          <w:p>
            <w:pPr>
              <w:spacing w:after="0"/>
              <w:rPr>
                <w:sz w:val="2"/>
                <w:szCs w:val="2"/>
                <w:color w:val="auto"/>
              </w:rPr>
            </w:pPr>
          </w:p>
        </w:tc>
        <w:tc>
          <w:tcPr>
            <w:tcW w:w="3720" w:type="dxa"/>
            <w:vAlign w:val="bottom"/>
            <w:shd w:val="clear" w:color="auto" w:fill="582C83"/>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Annual Cash Incentive Program Decisions</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After determining the 2021 Corporate, AMEA, Europe and North America financial payout percentages and strategic</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KPI ratings, the People and Compensation Committee approved the following annual incentive cash payments: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Financial</w:t>
            </w:r>
          </w:p>
        </w:tc>
        <w:tc>
          <w:tcPr>
            <w:tcW w:w="1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b w:val="1"/>
                <w:bCs w:val="1"/>
                <w:color w:val="auto"/>
              </w:rPr>
              <w:t>Total Incentive</w:t>
            </w:r>
          </w:p>
        </w:tc>
      </w:tr>
      <w:tr>
        <w:trPr>
          <w:trHeight w:val="243"/>
        </w:trPr>
        <w:tc>
          <w:tcPr>
            <w:tcW w:w="2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Target</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Performance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Strategic KPI</w:t>
            </w:r>
          </w:p>
        </w:tc>
        <w:tc>
          <w:tcPr>
            <w:tcW w:w="8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Total Incentive</w:t>
            </w:r>
          </w:p>
        </w:tc>
        <w:tc>
          <w:tcPr>
            <w:tcW w:w="1700" w:type="dxa"/>
            <w:vAlign w:val="bottom"/>
          </w:tcPr>
          <w:p>
            <w:pPr>
              <w:jc w:val="right"/>
              <w:ind w:right="12"/>
              <w:spacing w:after="0"/>
              <w:rPr>
                <w:sz w:val="20"/>
                <w:szCs w:val="20"/>
                <w:color w:val="auto"/>
              </w:rPr>
            </w:pPr>
            <w:r>
              <w:rPr>
                <w:rFonts w:ascii="Arial" w:cs="Arial" w:eastAsia="Arial" w:hAnsi="Arial"/>
                <w:sz w:val="18"/>
                <w:szCs w:val="18"/>
                <w:b w:val="1"/>
                <w:bCs w:val="1"/>
                <w:color w:val="auto"/>
              </w:rPr>
              <w:t>Payment as % of</w:t>
            </w:r>
          </w:p>
        </w:tc>
      </w:tr>
      <w:tr>
        <w:trPr>
          <w:trHeight w:val="265"/>
        </w:trPr>
        <w:tc>
          <w:tcPr>
            <w:tcW w:w="204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560" w:type="dxa"/>
            <w:vAlign w:val="bottom"/>
            <w:tcBorders>
              <w:bottom w:val="single" w:sz="8" w:color="582C83"/>
            </w:tcBorders>
          </w:tcPr>
          <w:p>
            <w:pPr>
              <w:spacing w:after="0"/>
              <w:rPr>
                <w:sz w:val="23"/>
                <w:szCs w:val="23"/>
                <w:color w:val="auto"/>
              </w:rPr>
            </w:pPr>
          </w:p>
        </w:tc>
        <w:tc>
          <w:tcPr>
            <w:tcW w:w="13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Incentive</w:t>
            </w:r>
          </w:p>
        </w:tc>
        <w:tc>
          <w:tcPr>
            <w:tcW w:w="18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Rating</w:t>
            </w: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Rating</w:t>
            </w:r>
          </w:p>
        </w:tc>
        <w:tc>
          <w:tcPr>
            <w:tcW w:w="880" w:type="dxa"/>
            <w:vAlign w:val="bottom"/>
            <w:tcBorders>
              <w:bottom w:val="single" w:sz="8" w:color="582C83"/>
            </w:tcBorders>
          </w:tcPr>
          <w:p>
            <w:pPr>
              <w:spacing w:after="0"/>
              <w:rPr>
                <w:sz w:val="23"/>
                <w:szCs w:val="23"/>
                <w:color w:val="auto"/>
              </w:rPr>
            </w:pP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Payment</w:t>
            </w:r>
          </w:p>
        </w:tc>
        <w:tc>
          <w:tcPr>
            <w:tcW w:w="1700" w:type="dxa"/>
            <w:vAlign w:val="bottom"/>
            <w:tcBorders>
              <w:bottom w:val="single" w:sz="8" w:color="582C83"/>
            </w:tcBorders>
          </w:tcPr>
          <w:p>
            <w:pPr>
              <w:jc w:val="right"/>
              <w:ind w:right="12"/>
              <w:spacing w:after="0"/>
              <w:rPr>
                <w:sz w:val="20"/>
                <w:szCs w:val="20"/>
                <w:color w:val="auto"/>
              </w:rPr>
            </w:pPr>
            <w:r>
              <w:rPr>
                <w:rFonts w:ascii="Arial" w:cs="Arial" w:eastAsia="Arial" w:hAnsi="Arial"/>
                <w:sz w:val="18"/>
                <w:szCs w:val="18"/>
                <w:b w:val="1"/>
                <w:bCs w:val="1"/>
                <w:color w:val="auto"/>
              </w:rPr>
              <w:t>Target</w:t>
            </w:r>
          </w:p>
        </w:tc>
      </w:tr>
      <w:tr>
        <w:trPr>
          <w:trHeight w:val="323"/>
        </w:trPr>
        <w:tc>
          <w:tcPr>
            <w:tcW w:w="204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Mr. Van de Put</w:t>
            </w:r>
          </w:p>
        </w:tc>
        <w:tc>
          <w:tcPr>
            <w:tcW w:w="5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2,775,000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89%</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2,525,250</w:t>
            </w:r>
          </w:p>
        </w:tc>
        <w:tc>
          <w:tcPr>
            <w:tcW w:w="170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91%</w:t>
            </w:r>
          </w:p>
        </w:tc>
      </w:tr>
      <w:tr>
        <w:trPr>
          <w:trHeight w:val="272"/>
        </w:trPr>
        <w:tc>
          <w:tcPr>
            <w:tcW w:w="204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Zaramella</w:t>
            </w:r>
          </w:p>
        </w:tc>
        <w:tc>
          <w:tcPr>
            <w:tcW w:w="5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850,000</w:t>
            </w:r>
          </w:p>
        </w:tc>
        <w:tc>
          <w:tcPr>
            <w:tcW w:w="1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89%</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773,500</w:t>
            </w:r>
          </w:p>
        </w:tc>
        <w:tc>
          <w:tcPr>
            <w:tcW w:w="170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91%</w:t>
            </w:r>
          </w:p>
        </w:tc>
      </w:tr>
      <w:tr>
        <w:trPr>
          <w:trHeight w:val="46"/>
        </w:trPr>
        <w:tc>
          <w:tcPr>
            <w:tcW w:w="204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134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1700" w:type="dxa"/>
            <w:vAlign w:val="bottom"/>
            <w:tcBorders>
              <w:bottom w:val="single" w:sz="8" w:color="582C83"/>
            </w:tcBorders>
          </w:tcPr>
          <w:p>
            <w:pPr>
              <w:spacing w:after="0"/>
              <w:rPr>
                <w:sz w:val="3"/>
                <w:szCs w:val="3"/>
                <w:color w:val="auto"/>
              </w:rPr>
            </w:pPr>
          </w:p>
        </w:tc>
      </w:tr>
      <w:tr>
        <w:trPr>
          <w:trHeight w:val="323"/>
        </w:trPr>
        <w:tc>
          <w:tcPr>
            <w:tcW w:w="204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Mr. Brusadelli</w:t>
            </w:r>
          </w:p>
        </w:tc>
        <w:tc>
          <w:tcPr>
            <w:tcW w:w="5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542,430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153%</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133%</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808,221</w:t>
            </w:r>
          </w:p>
        </w:tc>
        <w:tc>
          <w:tcPr>
            <w:tcW w:w="170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149%</w:t>
            </w:r>
          </w:p>
        </w:tc>
      </w:tr>
      <w:tr>
        <w:trPr>
          <w:trHeight w:val="272"/>
        </w:trPr>
        <w:tc>
          <w:tcPr>
            <w:tcW w:w="204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Gruber</w:t>
            </w:r>
          </w:p>
        </w:tc>
        <w:tc>
          <w:tcPr>
            <w:tcW w:w="5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CHF</w:t>
            </w:r>
          </w:p>
        </w:tc>
        <w:tc>
          <w:tcPr>
            <w:tcW w:w="134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639,720</w:t>
            </w:r>
          </w:p>
        </w:tc>
        <w:tc>
          <w:tcPr>
            <w:tcW w:w="182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93%</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125%</w:t>
            </w:r>
          </w:p>
        </w:tc>
        <w:tc>
          <w:tcPr>
            <w:tcW w:w="88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CHF</w:t>
            </w:r>
          </w:p>
        </w:tc>
        <w:tc>
          <w:tcPr>
            <w:tcW w:w="14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633,323</w:t>
            </w:r>
          </w:p>
        </w:tc>
        <w:tc>
          <w:tcPr>
            <w:tcW w:w="1700" w:type="dxa"/>
            <w:vAlign w:val="bottom"/>
            <w:tcBorders>
              <w:top w:val="single" w:sz="8" w:color="582C83"/>
            </w:tcBorders>
          </w:tcPr>
          <w:p>
            <w:pPr>
              <w:jc w:val="right"/>
              <w:ind w:right="12"/>
              <w:spacing w:after="0"/>
              <w:rPr>
                <w:sz w:val="20"/>
                <w:szCs w:val="20"/>
                <w:color w:val="auto"/>
              </w:rPr>
            </w:pPr>
            <w:r>
              <w:rPr>
                <w:rFonts w:ascii="Arial" w:cs="Arial" w:eastAsia="Arial" w:hAnsi="Arial"/>
                <w:sz w:val="18"/>
                <w:szCs w:val="18"/>
                <w:color w:val="auto"/>
              </w:rPr>
              <w:t>99%</w:t>
            </w:r>
          </w:p>
        </w:tc>
      </w:tr>
      <w:tr>
        <w:trPr>
          <w:trHeight w:val="45"/>
        </w:trPr>
        <w:tc>
          <w:tcPr>
            <w:tcW w:w="2040" w:type="dxa"/>
            <w:vAlign w:val="bottom"/>
            <w:tcBorders>
              <w:bottom w:val="single" w:sz="8" w:color="582C83"/>
            </w:tcBorders>
          </w:tcPr>
          <w:p>
            <w:pPr>
              <w:spacing w:after="0"/>
              <w:rPr>
                <w:sz w:val="3"/>
                <w:szCs w:val="3"/>
                <w:color w:val="auto"/>
              </w:rPr>
            </w:pPr>
          </w:p>
        </w:tc>
        <w:tc>
          <w:tcPr>
            <w:tcW w:w="560" w:type="dxa"/>
            <w:vAlign w:val="bottom"/>
            <w:tcBorders>
              <w:bottom w:val="single" w:sz="8" w:color="582C83"/>
            </w:tcBorders>
          </w:tcPr>
          <w:p>
            <w:pPr>
              <w:spacing w:after="0"/>
              <w:rPr>
                <w:sz w:val="3"/>
                <w:szCs w:val="3"/>
                <w:color w:val="auto"/>
              </w:rPr>
            </w:pPr>
          </w:p>
        </w:tc>
        <w:tc>
          <w:tcPr>
            <w:tcW w:w="1340" w:type="dxa"/>
            <w:vAlign w:val="bottom"/>
            <w:tcBorders>
              <w:bottom w:val="single" w:sz="8" w:color="582C83"/>
            </w:tcBorders>
          </w:tcPr>
          <w:p>
            <w:pPr>
              <w:spacing w:after="0"/>
              <w:rPr>
                <w:sz w:val="3"/>
                <w:szCs w:val="3"/>
                <w:color w:val="auto"/>
              </w:rPr>
            </w:pPr>
          </w:p>
        </w:tc>
        <w:tc>
          <w:tcPr>
            <w:tcW w:w="182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880" w:type="dxa"/>
            <w:vAlign w:val="bottom"/>
            <w:tcBorders>
              <w:bottom w:val="single" w:sz="8" w:color="582C83"/>
            </w:tcBorders>
          </w:tcPr>
          <w:p>
            <w:pPr>
              <w:spacing w:after="0"/>
              <w:rPr>
                <w:sz w:val="3"/>
                <w:szCs w:val="3"/>
                <w:color w:val="auto"/>
              </w:rPr>
            </w:pPr>
          </w:p>
        </w:tc>
        <w:tc>
          <w:tcPr>
            <w:tcW w:w="1460" w:type="dxa"/>
            <w:vAlign w:val="bottom"/>
            <w:tcBorders>
              <w:bottom w:val="single" w:sz="8" w:color="582C83"/>
            </w:tcBorders>
          </w:tcPr>
          <w:p>
            <w:pPr>
              <w:spacing w:after="0"/>
              <w:rPr>
                <w:sz w:val="3"/>
                <w:szCs w:val="3"/>
                <w:color w:val="auto"/>
              </w:rPr>
            </w:pPr>
          </w:p>
        </w:tc>
        <w:tc>
          <w:tcPr>
            <w:tcW w:w="1700" w:type="dxa"/>
            <w:vAlign w:val="bottom"/>
            <w:tcBorders>
              <w:bottom w:val="single" w:sz="8" w:color="582C83"/>
            </w:tcBorders>
          </w:tcPr>
          <w:p>
            <w:pPr>
              <w:spacing w:after="0"/>
              <w:rPr>
                <w:sz w:val="3"/>
                <w:szCs w:val="3"/>
                <w:color w:val="auto"/>
              </w:rPr>
            </w:pPr>
          </w:p>
        </w:tc>
      </w:tr>
      <w:tr>
        <w:trPr>
          <w:trHeight w:val="290"/>
        </w:trPr>
        <w:tc>
          <w:tcPr>
            <w:tcW w:w="2040" w:type="dxa"/>
            <w:vAlign w:val="bottom"/>
            <w:tcBorders>
              <w:bottom w:val="single" w:sz="8" w:color="EBE6F0"/>
            </w:tcBorders>
            <w:shd w:val="clear" w:color="auto" w:fill="EBE6F0"/>
          </w:tcPr>
          <w:p>
            <w:pPr>
              <w:ind w:left="100"/>
              <w:spacing w:after="0"/>
              <w:rPr>
                <w:sz w:val="20"/>
                <w:szCs w:val="20"/>
                <w:color w:val="auto"/>
              </w:rPr>
            </w:pPr>
            <w:r>
              <w:rPr>
                <w:rFonts w:ascii="Arial" w:cs="Arial" w:eastAsia="Arial" w:hAnsi="Arial"/>
                <w:sz w:val="18"/>
                <w:szCs w:val="18"/>
                <w:color w:val="auto"/>
              </w:rPr>
              <w:t>Ms. Stein</w:t>
            </w:r>
          </w:p>
        </w:tc>
        <w:tc>
          <w:tcPr>
            <w:tcW w:w="5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564,110</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89%</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513,340</w:t>
            </w:r>
          </w:p>
        </w:tc>
        <w:tc>
          <w:tcPr>
            <w:tcW w:w="170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2040" w:type="dxa"/>
            <w:vAlign w:val="bottom"/>
            <w:shd w:val="clear" w:color="auto" w:fill="582C83"/>
          </w:tcPr>
          <w:p>
            <w:pPr>
              <w:spacing w:after="0"/>
              <w:rPr>
                <w:sz w:val="2"/>
                <w:szCs w:val="2"/>
                <w:color w:val="auto"/>
              </w:rPr>
            </w:pPr>
          </w:p>
        </w:tc>
        <w:tc>
          <w:tcPr>
            <w:tcW w:w="560" w:type="dxa"/>
            <w:vAlign w:val="bottom"/>
            <w:shd w:val="clear" w:color="auto" w:fill="582C83"/>
          </w:tcPr>
          <w:p>
            <w:pPr>
              <w:spacing w:after="0"/>
              <w:rPr>
                <w:sz w:val="2"/>
                <w:szCs w:val="2"/>
                <w:color w:val="auto"/>
              </w:rPr>
            </w:pPr>
          </w:p>
        </w:tc>
        <w:tc>
          <w:tcPr>
            <w:tcW w:w="1340" w:type="dxa"/>
            <w:vAlign w:val="bottom"/>
            <w:shd w:val="clear" w:color="auto" w:fill="582C83"/>
          </w:tcPr>
          <w:p>
            <w:pPr>
              <w:spacing w:after="0"/>
              <w:rPr>
                <w:sz w:val="2"/>
                <w:szCs w:val="2"/>
                <w:color w:val="auto"/>
              </w:rPr>
            </w:pPr>
          </w:p>
        </w:tc>
        <w:tc>
          <w:tcPr>
            <w:tcW w:w="1820" w:type="dxa"/>
            <w:vAlign w:val="bottom"/>
            <w:shd w:val="clear" w:color="auto" w:fill="582C83"/>
          </w:tcPr>
          <w:p>
            <w:pPr>
              <w:spacing w:after="0"/>
              <w:rPr>
                <w:sz w:val="2"/>
                <w:szCs w:val="2"/>
                <w:color w:val="auto"/>
              </w:rPr>
            </w:pPr>
          </w:p>
        </w:tc>
        <w:tc>
          <w:tcPr>
            <w:tcW w:w="1460" w:type="dxa"/>
            <w:vAlign w:val="bottom"/>
            <w:shd w:val="clear" w:color="auto" w:fill="582C83"/>
          </w:tcPr>
          <w:p>
            <w:pPr>
              <w:spacing w:after="0"/>
              <w:rPr>
                <w:sz w:val="2"/>
                <w:szCs w:val="2"/>
                <w:color w:val="auto"/>
              </w:rPr>
            </w:pPr>
          </w:p>
        </w:tc>
        <w:tc>
          <w:tcPr>
            <w:tcW w:w="880" w:type="dxa"/>
            <w:vAlign w:val="bottom"/>
            <w:shd w:val="clear" w:color="auto" w:fill="582C83"/>
          </w:tcPr>
          <w:p>
            <w:pPr>
              <w:spacing w:after="0"/>
              <w:rPr>
                <w:sz w:val="2"/>
                <w:szCs w:val="2"/>
                <w:color w:val="auto"/>
              </w:rPr>
            </w:pPr>
          </w:p>
        </w:tc>
        <w:tc>
          <w:tcPr>
            <w:tcW w:w="1460" w:type="dxa"/>
            <w:vAlign w:val="bottom"/>
            <w:shd w:val="clear" w:color="auto" w:fill="582C83"/>
          </w:tcPr>
          <w:p>
            <w:pPr>
              <w:spacing w:after="0"/>
              <w:rPr>
                <w:sz w:val="2"/>
                <w:szCs w:val="2"/>
                <w:color w:val="auto"/>
              </w:rPr>
            </w:pPr>
          </w:p>
        </w:tc>
        <w:tc>
          <w:tcPr>
            <w:tcW w:w="1700" w:type="dxa"/>
            <w:vAlign w:val="bottom"/>
            <w:shd w:val="clear" w:color="auto" w:fill="582C83"/>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Incentive Plan</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Overview</w:t>
      </w:r>
    </w:p>
    <w:p>
      <w:pPr>
        <w:spacing w:after="0" w:line="41"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We design our LTIP to incentivize our NEOs to focus on critical performance objectives that we believe will translate into sustainable shareholder returns over the long term. Grants made under our 2021 long-term incentive program were entirely in equity using the same mix used in 2020: 75% PSUs and 25% stock options.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03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Vehicle</w:t>
            </w:r>
          </w:p>
        </w:tc>
        <w:tc>
          <w:tcPr>
            <w:tcW w:w="1010" w:type="dxa"/>
            <w:vAlign w:val="bottom"/>
            <w:tcBorders>
              <w:bottom w:val="single" w:sz="8" w:color="582C83"/>
            </w:tcBorders>
          </w:tcPr>
          <w:p>
            <w:pPr>
              <w:jc w:val="right"/>
              <w:ind w:right="132"/>
              <w:spacing w:after="0"/>
              <w:rPr>
                <w:sz w:val="20"/>
                <w:szCs w:val="20"/>
                <w:color w:val="auto"/>
              </w:rPr>
            </w:pPr>
            <w:r>
              <w:rPr>
                <w:rFonts w:ascii="Arial" w:cs="Arial" w:eastAsia="Arial" w:hAnsi="Arial"/>
                <w:sz w:val="22"/>
                <w:szCs w:val="22"/>
                <w:b w:val="1"/>
                <w:bCs w:val="1"/>
                <w:color w:val="auto"/>
              </w:rPr>
              <w:t>Weight</w:t>
            </w:r>
          </w:p>
        </w:tc>
        <w:tc>
          <w:tcPr>
            <w:tcW w:w="4600" w:type="dxa"/>
            <w:vAlign w:val="bottom"/>
            <w:tcBorders>
              <w:bottom w:val="single" w:sz="8" w:color="582C83"/>
            </w:tcBorders>
          </w:tcPr>
          <w:p>
            <w:pPr>
              <w:ind w:left="60"/>
              <w:spacing w:after="0"/>
              <w:rPr>
                <w:sz w:val="20"/>
                <w:szCs w:val="20"/>
                <w:color w:val="auto"/>
              </w:rPr>
            </w:pPr>
            <w:r>
              <w:rPr>
                <w:rFonts w:ascii="Arial" w:cs="Arial" w:eastAsia="Arial" w:hAnsi="Arial"/>
                <w:sz w:val="22"/>
                <w:szCs w:val="22"/>
                <w:b w:val="1"/>
                <w:bCs w:val="1"/>
                <w:color w:val="auto"/>
              </w:rPr>
              <w:t>Structure</w:t>
            </w:r>
          </w:p>
        </w:tc>
        <w:tc>
          <w:tcPr>
            <w:tcW w:w="4620" w:type="dxa"/>
            <w:vAlign w:val="bottom"/>
            <w:tcBorders>
              <w:bottom w:val="single" w:sz="8" w:color="582C83"/>
            </w:tcBorders>
            <w:gridSpan w:val="2"/>
          </w:tcPr>
          <w:p>
            <w:pPr>
              <w:ind w:left="60"/>
              <w:spacing w:after="0"/>
              <w:rPr>
                <w:sz w:val="20"/>
                <w:szCs w:val="20"/>
                <w:color w:val="auto"/>
              </w:rPr>
            </w:pPr>
            <w:r>
              <w:rPr>
                <w:rFonts w:ascii="Arial" w:cs="Arial" w:eastAsia="Arial" w:hAnsi="Arial"/>
                <w:sz w:val="22"/>
                <w:szCs w:val="22"/>
                <w:b w:val="1"/>
                <w:bCs w:val="1"/>
                <w:color w:val="auto"/>
              </w:rPr>
              <w:t>Purpose</w:t>
            </w:r>
          </w:p>
        </w:tc>
        <w:tc>
          <w:tcPr>
            <w:tcW w:w="0" w:type="dxa"/>
            <w:vAlign w:val="bottom"/>
          </w:tcPr>
          <w:p>
            <w:pPr>
              <w:spacing w:after="0"/>
              <w:rPr>
                <w:sz w:val="1"/>
                <w:szCs w:val="1"/>
                <w:color w:val="auto"/>
              </w:rPr>
            </w:pPr>
          </w:p>
        </w:tc>
      </w:tr>
      <w:tr>
        <w:trPr>
          <w:trHeight w:val="271"/>
        </w:trPr>
        <w:tc>
          <w:tcPr>
            <w:tcW w:w="1030" w:type="dxa"/>
            <w:vAlign w:val="bottom"/>
            <w:shd w:val="clear" w:color="auto" w:fill="EBE6F0"/>
          </w:tcPr>
          <w:p>
            <w:pPr>
              <w:ind w:left="80"/>
              <w:spacing w:after="0"/>
              <w:rPr>
                <w:sz w:val="20"/>
                <w:szCs w:val="20"/>
                <w:color w:val="auto"/>
              </w:rPr>
            </w:pPr>
            <w:r>
              <w:rPr>
                <w:rFonts w:ascii="Arial" w:cs="Arial" w:eastAsia="Arial" w:hAnsi="Arial"/>
                <w:sz w:val="22"/>
                <w:szCs w:val="22"/>
                <w:color w:val="auto"/>
              </w:rPr>
              <w:t>PSUs</w:t>
            </w:r>
          </w:p>
        </w:tc>
        <w:tc>
          <w:tcPr>
            <w:tcW w:w="1010" w:type="dxa"/>
            <w:vAlign w:val="bottom"/>
            <w:shd w:val="clear" w:color="auto" w:fill="EBE6F0"/>
          </w:tcPr>
          <w:p>
            <w:pPr>
              <w:jc w:val="right"/>
              <w:ind w:right="192"/>
              <w:spacing w:after="0"/>
              <w:rPr>
                <w:sz w:val="20"/>
                <w:szCs w:val="20"/>
                <w:color w:val="auto"/>
              </w:rPr>
            </w:pPr>
            <w:r>
              <w:rPr>
                <w:rFonts w:ascii="Arial" w:cs="Arial" w:eastAsia="Arial" w:hAnsi="Arial"/>
                <w:sz w:val="22"/>
                <w:szCs w:val="22"/>
                <w:color w:val="auto"/>
              </w:rPr>
              <w:t>75%</w:t>
            </w:r>
          </w:p>
        </w:tc>
        <w:tc>
          <w:tcPr>
            <w:tcW w:w="460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Number of shares earned may range from</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4400" w:type="dxa"/>
            <w:vAlign w:val="bottom"/>
            <w:shd w:val="clear" w:color="auto" w:fill="EBE6F0"/>
          </w:tcPr>
          <w:p>
            <w:pPr>
              <w:ind w:left="80"/>
              <w:spacing w:after="0"/>
              <w:rPr>
                <w:sz w:val="20"/>
                <w:szCs w:val="20"/>
                <w:color w:val="auto"/>
              </w:rPr>
            </w:pPr>
            <w:r>
              <w:rPr>
                <w:rFonts w:ascii="Arial" w:cs="Arial" w:eastAsia="Arial" w:hAnsi="Arial"/>
                <w:sz w:val="22"/>
                <w:szCs w:val="22"/>
                <w:color w:val="auto"/>
              </w:rPr>
              <w:t>Strengthens retention</w:t>
            </w:r>
          </w:p>
        </w:tc>
        <w:tc>
          <w:tcPr>
            <w:tcW w:w="0" w:type="dxa"/>
            <w:vAlign w:val="bottom"/>
          </w:tcPr>
          <w:p>
            <w:pPr>
              <w:spacing w:after="0"/>
              <w:rPr>
                <w:sz w:val="1"/>
                <w:szCs w:val="1"/>
                <w:color w:val="auto"/>
              </w:rPr>
            </w:pPr>
          </w:p>
        </w:tc>
      </w:tr>
      <w:tr>
        <w:trPr>
          <w:trHeight w:val="256"/>
        </w:trPr>
        <w:tc>
          <w:tcPr>
            <w:tcW w:w="1030" w:type="dxa"/>
            <w:vAlign w:val="bottom"/>
            <w:shd w:val="clear" w:color="auto" w:fill="EBE6F0"/>
          </w:tcPr>
          <w:p>
            <w:pPr>
              <w:spacing w:after="0"/>
              <w:rPr>
                <w:sz w:val="22"/>
                <w:szCs w:val="22"/>
                <w:color w:val="auto"/>
              </w:rPr>
            </w:pPr>
          </w:p>
        </w:tc>
        <w:tc>
          <w:tcPr>
            <w:tcW w:w="1010" w:type="dxa"/>
            <w:vAlign w:val="bottom"/>
            <w:shd w:val="clear" w:color="auto" w:fill="EBE6F0"/>
          </w:tcPr>
          <w:p>
            <w:pPr>
              <w:spacing w:after="0"/>
              <w:rPr>
                <w:sz w:val="22"/>
                <w:szCs w:val="22"/>
                <w:color w:val="auto"/>
              </w:rPr>
            </w:pPr>
          </w:p>
        </w:tc>
        <w:tc>
          <w:tcPr>
            <w:tcW w:w="4600" w:type="dxa"/>
            <w:vAlign w:val="bottom"/>
            <w:shd w:val="clear" w:color="auto" w:fill="EBE6F0"/>
          </w:tcPr>
          <w:p>
            <w:pPr>
              <w:ind w:left="300"/>
              <w:spacing w:after="0"/>
              <w:rPr>
                <w:sz w:val="20"/>
                <w:szCs w:val="20"/>
                <w:color w:val="auto"/>
              </w:rPr>
            </w:pPr>
            <w:r>
              <w:rPr>
                <w:rFonts w:ascii="Arial" w:cs="Arial" w:eastAsia="Arial" w:hAnsi="Arial"/>
                <w:sz w:val="22"/>
                <w:szCs w:val="22"/>
                <w:color w:val="auto"/>
              </w:rPr>
              <w:t>0% to 200% of the target number of PSUs</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4400" w:type="dxa"/>
            <w:vAlign w:val="bottom"/>
            <w:shd w:val="clear" w:color="auto" w:fill="EBE6F0"/>
          </w:tcPr>
          <w:p>
            <w:pPr>
              <w:ind w:left="80"/>
              <w:spacing w:after="0"/>
              <w:rPr>
                <w:sz w:val="20"/>
                <w:szCs w:val="20"/>
                <w:color w:val="auto"/>
              </w:rPr>
            </w:pPr>
            <w:r>
              <w:rPr>
                <w:rFonts w:ascii="Arial" w:cs="Arial" w:eastAsia="Arial" w:hAnsi="Arial"/>
                <w:sz w:val="22"/>
                <w:szCs w:val="22"/>
                <w:color w:val="auto"/>
              </w:rPr>
              <w:t>Facilitates stock ownership when earned</w:t>
            </w:r>
          </w:p>
        </w:tc>
        <w:tc>
          <w:tcPr>
            <w:tcW w:w="0" w:type="dxa"/>
            <w:vAlign w:val="bottom"/>
          </w:tcPr>
          <w:p>
            <w:pPr>
              <w:spacing w:after="0"/>
              <w:rPr>
                <w:sz w:val="1"/>
                <w:szCs w:val="1"/>
                <w:color w:val="auto"/>
              </w:rPr>
            </w:pPr>
          </w:p>
        </w:tc>
      </w:tr>
      <w:tr>
        <w:trPr>
          <w:trHeight w:val="230"/>
        </w:trPr>
        <w:tc>
          <w:tcPr>
            <w:tcW w:w="1030" w:type="dxa"/>
            <w:vAlign w:val="bottom"/>
            <w:shd w:val="clear" w:color="auto" w:fill="EBE6F0"/>
          </w:tcPr>
          <w:p>
            <w:pPr>
              <w:spacing w:after="0"/>
              <w:rPr>
                <w:sz w:val="20"/>
                <w:szCs w:val="20"/>
                <w:color w:val="auto"/>
              </w:rPr>
            </w:pPr>
          </w:p>
        </w:tc>
        <w:tc>
          <w:tcPr>
            <w:tcW w:w="1010" w:type="dxa"/>
            <w:vAlign w:val="bottom"/>
            <w:shd w:val="clear" w:color="auto" w:fill="EBE6F0"/>
          </w:tcPr>
          <w:p>
            <w:pPr>
              <w:spacing w:after="0"/>
              <w:rPr>
                <w:sz w:val="20"/>
                <w:szCs w:val="20"/>
                <w:color w:val="auto"/>
              </w:rPr>
            </w:pPr>
          </w:p>
        </w:tc>
        <w:tc>
          <w:tcPr>
            <w:tcW w:w="4600" w:type="dxa"/>
            <w:vAlign w:val="bottom"/>
            <w:shd w:val="clear" w:color="auto" w:fill="EBE6F0"/>
          </w:tcPr>
          <w:p>
            <w:pPr>
              <w:ind w:left="300"/>
              <w:spacing w:after="0" w:line="230" w:lineRule="exact"/>
              <w:rPr>
                <w:sz w:val="20"/>
                <w:szCs w:val="20"/>
                <w:color w:val="auto"/>
              </w:rPr>
            </w:pPr>
            <w:r>
              <w:rPr>
                <w:rFonts w:ascii="Arial" w:cs="Arial" w:eastAsia="Arial" w:hAnsi="Arial"/>
                <w:sz w:val="22"/>
                <w:szCs w:val="22"/>
                <w:color w:val="auto"/>
              </w:rPr>
              <w:t>granted based on the final business</w:t>
            </w:r>
          </w:p>
        </w:tc>
        <w:tc>
          <w:tcPr>
            <w:tcW w:w="4620" w:type="dxa"/>
            <w:vAlign w:val="bottom"/>
            <w:gridSpan w:val="2"/>
            <w:vMerge w:val="restart"/>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Aligns long-term interests with those of</w:t>
            </w:r>
          </w:p>
        </w:tc>
        <w:tc>
          <w:tcPr>
            <w:tcW w:w="0" w:type="dxa"/>
            <w:vAlign w:val="bottom"/>
          </w:tcPr>
          <w:p>
            <w:pPr>
              <w:spacing w:after="0"/>
              <w:rPr>
                <w:sz w:val="1"/>
                <w:szCs w:val="1"/>
                <w:color w:val="auto"/>
              </w:rPr>
            </w:pPr>
          </w:p>
        </w:tc>
      </w:tr>
      <w:tr>
        <w:trPr>
          <w:trHeight w:val="81"/>
        </w:trPr>
        <w:tc>
          <w:tcPr>
            <w:tcW w:w="1030" w:type="dxa"/>
            <w:vAlign w:val="bottom"/>
            <w:shd w:val="clear" w:color="auto" w:fill="EBE6F0"/>
          </w:tcPr>
          <w:p>
            <w:pPr>
              <w:spacing w:after="0"/>
              <w:rPr>
                <w:sz w:val="7"/>
                <w:szCs w:val="7"/>
                <w:color w:val="auto"/>
              </w:rPr>
            </w:pPr>
          </w:p>
        </w:tc>
        <w:tc>
          <w:tcPr>
            <w:tcW w:w="1010" w:type="dxa"/>
            <w:vAlign w:val="bottom"/>
            <w:shd w:val="clear" w:color="auto" w:fill="EBE6F0"/>
          </w:tcPr>
          <w:p>
            <w:pPr>
              <w:spacing w:after="0"/>
              <w:rPr>
                <w:sz w:val="7"/>
                <w:szCs w:val="7"/>
                <w:color w:val="auto"/>
              </w:rPr>
            </w:pPr>
          </w:p>
        </w:tc>
        <w:tc>
          <w:tcPr>
            <w:tcW w:w="4600" w:type="dxa"/>
            <w:vAlign w:val="bottom"/>
            <w:vMerge w:val="restart"/>
            <w:shd w:val="clear" w:color="auto" w:fill="EBE6F0"/>
          </w:tcPr>
          <w:p>
            <w:pPr>
              <w:ind w:left="300"/>
              <w:spacing w:after="0" w:line="243" w:lineRule="exact"/>
              <w:rPr>
                <w:sz w:val="20"/>
                <w:szCs w:val="20"/>
                <w:color w:val="auto"/>
              </w:rPr>
            </w:pPr>
            <w:r>
              <w:rPr>
                <w:rFonts w:ascii="Arial" w:cs="Arial" w:eastAsia="Arial" w:hAnsi="Arial"/>
                <w:sz w:val="22"/>
                <w:szCs w:val="22"/>
                <w:color w:val="auto"/>
              </w:rPr>
              <w:t>performance rating for the performance</w:t>
            </w:r>
          </w:p>
        </w:tc>
        <w:tc>
          <w:tcPr>
            <w:tcW w:w="4620" w:type="dxa"/>
            <w:vAlign w:val="bottom"/>
            <w:gridSpan w:val="2"/>
            <w:vMerge w:val="continue"/>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30" w:type="dxa"/>
            <w:vAlign w:val="bottom"/>
            <w:shd w:val="clear" w:color="auto" w:fill="EBE6F0"/>
          </w:tcPr>
          <w:p>
            <w:pPr>
              <w:spacing w:after="0"/>
              <w:rPr>
                <w:sz w:val="14"/>
                <w:szCs w:val="14"/>
                <w:color w:val="auto"/>
              </w:rPr>
            </w:pPr>
          </w:p>
        </w:tc>
        <w:tc>
          <w:tcPr>
            <w:tcW w:w="1010" w:type="dxa"/>
            <w:vAlign w:val="bottom"/>
            <w:shd w:val="clear" w:color="auto" w:fill="EBE6F0"/>
          </w:tcPr>
          <w:p>
            <w:pPr>
              <w:spacing w:after="0"/>
              <w:rPr>
                <w:sz w:val="14"/>
                <w:szCs w:val="14"/>
                <w:color w:val="auto"/>
              </w:rPr>
            </w:pPr>
          </w:p>
        </w:tc>
        <w:tc>
          <w:tcPr>
            <w:tcW w:w="4600" w:type="dxa"/>
            <w:vAlign w:val="bottom"/>
            <w:vMerge w:val="continue"/>
            <w:shd w:val="clear" w:color="auto" w:fill="EBE6F0"/>
          </w:tcPr>
          <w:p>
            <w:pPr>
              <w:spacing w:after="0"/>
              <w:rPr>
                <w:sz w:val="14"/>
                <w:szCs w:val="14"/>
                <w:color w:val="auto"/>
              </w:rPr>
            </w:pPr>
          </w:p>
        </w:tc>
        <w:tc>
          <w:tcPr>
            <w:tcW w:w="220" w:type="dxa"/>
            <w:vAlign w:val="bottom"/>
            <w:shd w:val="clear" w:color="auto" w:fill="EBE6F0"/>
          </w:tcPr>
          <w:p>
            <w:pPr>
              <w:spacing w:after="0"/>
              <w:rPr>
                <w:sz w:val="14"/>
                <w:szCs w:val="14"/>
                <w:color w:val="auto"/>
              </w:rPr>
            </w:pPr>
          </w:p>
        </w:tc>
        <w:tc>
          <w:tcPr>
            <w:tcW w:w="4400" w:type="dxa"/>
            <w:vAlign w:val="bottom"/>
            <w:vMerge w:val="restart"/>
            <w:shd w:val="clear" w:color="auto" w:fill="EBE6F0"/>
          </w:tcPr>
          <w:p>
            <w:pPr>
              <w:ind w:left="80"/>
              <w:spacing w:after="0"/>
              <w:rPr>
                <w:sz w:val="20"/>
                <w:szCs w:val="20"/>
                <w:color w:val="auto"/>
              </w:rPr>
            </w:pPr>
            <w:r>
              <w:rPr>
                <w:rFonts w:ascii="Arial" w:cs="Arial" w:eastAsia="Arial" w:hAnsi="Arial"/>
                <w:sz w:val="22"/>
                <w:szCs w:val="22"/>
                <w:color w:val="auto"/>
              </w:rPr>
              <w:t>shareholders</w:t>
            </w:r>
          </w:p>
        </w:tc>
        <w:tc>
          <w:tcPr>
            <w:tcW w:w="0" w:type="dxa"/>
            <w:vAlign w:val="bottom"/>
          </w:tcPr>
          <w:p>
            <w:pPr>
              <w:spacing w:after="0"/>
              <w:rPr>
                <w:sz w:val="1"/>
                <w:szCs w:val="1"/>
                <w:color w:val="auto"/>
              </w:rPr>
            </w:pPr>
          </w:p>
        </w:tc>
      </w:tr>
      <w:tr>
        <w:trPr>
          <w:trHeight w:val="121"/>
        </w:trPr>
        <w:tc>
          <w:tcPr>
            <w:tcW w:w="1030" w:type="dxa"/>
            <w:vAlign w:val="bottom"/>
            <w:shd w:val="clear" w:color="auto" w:fill="EBE6F0"/>
          </w:tcPr>
          <w:p>
            <w:pPr>
              <w:spacing w:after="0"/>
              <w:rPr>
                <w:sz w:val="10"/>
                <w:szCs w:val="10"/>
                <w:color w:val="auto"/>
              </w:rPr>
            </w:pPr>
          </w:p>
        </w:tc>
        <w:tc>
          <w:tcPr>
            <w:tcW w:w="1010" w:type="dxa"/>
            <w:vAlign w:val="bottom"/>
            <w:shd w:val="clear" w:color="auto" w:fill="EBE6F0"/>
          </w:tcPr>
          <w:p>
            <w:pPr>
              <w:spacing w:after="0"/>
              <w:rPr>
                <w:sz w:val="10"/>
                <w:szCs w:val="10"/>
                <w:color w:val="auto"/>
              </w:rPr>
            </w:pPr>
          </w:p>
        </w:tc>
        <w:tc>
          <w:tcPr>
            <w:tcW w:w="4600" w:type="dxa"/>
            <w:vAlign w:val="bottom"/>
            <w:vMerge w:val="restart"/>
            <w:shd w:val="clear" w:color="auto" w:fill="EBE6F0"/>
          </w:tcPr>
          <w:p>
            <w:pPr>
              <w:ind w:left="300"/>
              <w:spacing w:after="0"/>
              <w:rPr>
                <w:sz w:val="20"/>
                <w:szCs w:val="20"/>
                <w:color w:val="auto"/>
              </w:rPr>
            </w:pPr>
            <w:r>
              <w:rPr>
                <w:rFonts w:ascii="Arial" w:cs="Arial" w:eastAsia="Arial" w:hAnsi="Arial"/>
                <w:sz w:val="22"/>
                <w:szCs w:val="22"/>
                <w:color w:val="auto"/>
              </w:rPr>
              <w:t>cycle</w:t>
            </w:r>
          </w:p>
        </w:tc>
        <w:tc>
          <w:tcPr>
            <w:tcW w:w="220" w:type="dxa"/>
            <w:vAlign w:val="bottom"/>
            <w:shd w:val="clear" w:color="auto" w:fill="EBE6F0"/>
          </w:tcPr>
          <w:p>
            <w:pPr>
              <w:spacing w:after="0"/>
              <w:rPr>
                <w:sz w:val="10"/>
                <w:szCs w:val="10"/>
                <w:color w:val="auto"/>
              </w:rPr>
            </w:pPr>
          </w:p>
        </w:tc>
        <w:tc>
          <w:tcPr>
            <w:tcW w:w="4400" w:type="dxa"/>
            <w:vAlign w:val="bottom"/>
            <w:vMerge w:val="continue"/>
            <w:shd w:val="clear" w:color="auto" w:fill="EBE6F0"/>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30" w:type="dxa"/>
            <w:vAlign w:val="bottom"/>
            <w:shd w:val="clear" w:color="auto" w:fill="EBE6F0"/>
          </w:tcPr>
          <w:p>
            <w:pPr>
              <w:spacing w:after="0"/>
              <w:rPr>
                <w:sz w:val="14"/>
                <w:szCs w:val="14"/>
                <w:color w:val="auto"/>
              </w:rPr>
            </w:pPr>
          </w:p>
        </w:tc>
        <w:tc>
          <w:tcPr>
            <w:tcW w:w="1010" w:type="dxa"/>
            <w:vAlign w:val="bottom"/>
            <w:shd w:val="clear" w:color="auto" w:fill="EBE6F0"/>
          </w:tcPr>
          <w:p>
            <w:pPr>
              <w:spacing w:after="0"/>
              <w:rPr>
                <w:sz w:val="14"/>
                <w:szCs w:val="14"/>
                <w:color w:val="auto"/>
              </w:rPr>
            </w:pPr>
          </w:p>
        </w:tc>
        <w:tc>
          <w:tcPr>
            <w:tcW w:w="4600" w:type="dxa"/>
            <w:vAlign w:val="bottom"/>
            <w:vMerge w:val="continue"/>
            <w:shd w:val="clear" w:color="auto" w:fill="EBE6F0"/>
          </w:tcPr>
          <w:p>
            <w:pPr>
              <w:spacing w:after="0"/>
              <w:rPr>
                <w:sz w:val="14"/>
                <w:szCs w:val="14"/>
                <w:color w:val="auto"/>
              </w:rPr>
            </w:pPr>
          </w:p>
        </w:tc>
        <w:tc>
          <w:tcPr>
            <w:tcW w:w="220" w:type="dxa"/>
            <w:vAlign w:val="bottom"/>
            <w:shd w:val="clear" w:color="auto" w:fill="EBE6F0"/>
          </w:tcPr>
          <w:p>
            <w:pPr>
              <w:spacing w:after="0"/>
              <w:rPr>
                <w:sz w:val="14"/>
                <w:szCs w:val="14"/>
                <w:color w:val="auto"/>
              </w:rPr>
            </w:pPr>
          </w:p>
        </w:tc>
        <w:tc>
          <w:tcPr>
            <w:tcW w:w="4400" w:type="dxa"/>
            <w:vAlign w:val="bottom"/>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030" w:type="dxa"/>
            <w:vAlign w:val="bottom"/>
            <w:shd w:val="clear" w:color="auto" w:fill="EBE6F0"/>
          </w:tcPr>
          <w:p>
            <w:pPr>
              <w:spacing w:after="0"/>
              <w:rPr>
                <w:sz w:val="24"/>
                <w:szCs w:val="24"/>
                <w:color w:val="auto"/>
              </w:rPr>
            </w:pPr>
          </w:p>
        </w:tc>
        <w:tc>
          <w:tcPr>
            <w:tcW w:w="1010" w:type="dxa"/>
            <w:vAlign w:val="bottom"/>
            <w:shd w:val="clear" w:color="auto" w:fill="EBE6F0"/>
          </w:tcPr>
          <w:p>
            <w:pPr>
              <w:spacing w:after="0"/>
              <w:rPr>
                <w:sz w:val="24"/>
                <w:szCs w:val="24"/>
                <w:color w:val="auto"/>
              </w:rPr>
            </w:pPr>
          </w:p>
        </w:tc>
        <w:tc>
          <w:tcPr>
            <w:tcW w:w="460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3-year cliff vest</w:t>
            </w:r>
          </w:p>
        </w:tc>
        <w:tc>
          <w:tcPr>
            <w:tcW w:w="220" w:type="dxa"/>
            <w:vAlign w:val="bottom"/>
            <w:shd w:val="clear" w:color="auto" w:fill="EBE6F0"/>
          </w:tcPr>
          <w:p>
            <w:pPr>
              <w:spacing w:after="0"/>
              <w:rPr>
                <w:sz w:val="24"/>
                <w:szCs w:val="24"/>
                <w:color w:val="auto"/>
              </w:rPr>
            </w:pPr>
          </w:p>
        </w:tc>
        <w:tc>
          <w:tcPr>
            <w:tcW w:w="440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30" w:type="dxa"/>
            <w:vAlign w:val="bottom"/>
            <w:shd w:val="clear" w:color="auto" w:fill="EBE6F0"/>
          </w:tcPr>
          <w:p>
            <w:pPr>
              <w:spacing w:after="0"/>
              <w:rPr>
                <w:sz w:val="24"/>
                <w:szCs w:val="24"/>
                <w:color w:val="auto"/>
              </w:rPr>
            </w:pPr>
          </w:p>
        </w:tc>
        <w:tc>
          <w:tcPr>
            <w:tcW w:w="1010" w:type="dxa"/>
            <w:vAlign w:val="bottom"/>
            <w:shd w:val="clear" w:color="auto" w:fill="EBE6F0"/>
          </w:tcPr>
          <w:p>
            <w:pPr>
              <w:spacing w:after="0"/>
              <w:rPr>
                <w:sz w:val="24"/>
                <w:szCs w:val="24"/>
                <w:color w:val="auto"/>
              </w:rPr>
            </w:pPr>
          </w:p>
        </w:tc>
        <w:tc>
          <w:tcPr>
            <w:tcW w:w="460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1-year holding requirement post vest</w:t>
            </w:r>
          </w:p>
        </w:tc>
        <w:tc>
          <w:tcPr>
            <w:tcW w:w="220" w:type="dxa"/>
            <w:vAlign w:val="bottom"/>
            <w:shd w:val="clear" w:color="auto" w:fill="EBE6F0"/>
          </w:tcPr>
          <w:p>
            <w:pPr>
              <w:spacing w:after="0"/>
              <w:rPr>
                <w:sz w:val="24"/>
                <w:szCs w:val="24"/>
                <w:color w:val="auto"/>
              </w:rPr>
            </w:pPr>
          </w:p>
        </w:tc>
        <w:tc>
          <w:tcPr>
            <w:tcW w:w="440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1030" w:type="dxa"/>
            <w:vAlign w:val="bottom"/>
            <w:shd w:val="clear" w:color="auto" w:fill="EBE6F0"/>
          </w:tcPr>
          <w:p>
            <w:pPr>
              <w:spacing w:after="0"/>
              <w:rPr>
                <w:sz w:val="4"/>
                <w:szCs w:val="4"/>
                <w:color w:val="auto"/>
              </w:rPr>
            </w:pPr>
          </w:p>
        </w:tc>
        <w:tc>
          <w:tcPr>
            <w:tcW w:w="1010" w:type="dxa"/>
            <w:vAlign w:val="bottom"/>
            <w:shd w:val="clear" w:color="auto" w:fill="EBE6F0"/>
          </w:tcPr>
          <w:p>
            <w:pPr>
              <w:spacing w:after="0"/>
              <w:rPr>
                <w:sz w:val="4"/>
                <w:szCs w:val="4"/>
                <w:color w:val="auto"/>
              </w:rPr>
            </w:pPr>
          </w:p>
        </w:tc>
        <w:tc>
          <w:tcPr>
            <w:tcW w:w="4600" w:type="dxa"/>
            <w:vAlign w:val="bottom"/>
            <w:shd w:val="clear" w:color="auto" w:fill="EBE6F0"/>
          </w:tcPr>
          <w:p>
            <w:pPr>
              <w:spacing w:after="0"/>
              <w:rPr>
                <w:sz w:val="4"/>
                <w:szCs w:val="4"/>
                <w:color w:val="auto"/>
              </w:rPr>
            </w:pPr>
          </w:p>
        </w:tc>
        <w:tc>
          <w:tcPr>
            <w:tcW w:w="220" w:type="dxa"/>
            <w:vAlign w:val="bottom"/>
            <w:shd w:val="clear" w:color="auto" w:fill="EBE6F0"/>
          </w:tcPr>
          <w:p>
            <w:pPr>
              <w:spacing w:after="0"/>
              <w:rPr>
                <w:sz w:val="4"/>
                <w:szCs w:val="4"/>
                <w:color w:val="auto"/>
              </w:rPr>
            </w:pPr>
          </w:p>
        </w:tc>
        <w:tc>
          <w:tcPr>
            <w:tcW w:w="4400" w:type="dxa"/>
            <w:vAlign w:val="bottom"/>
            <w:shd w:val="clear" w:color="auto" w:fill="EBE6F0"/>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60"/>
          </w:cols>
          <w:pgMar w:left="320" w:top="130" w:right="319" w:bottom="1440" w:gutter="0" w:footer="0" w:header="0"/>
        </w:sectPr>
      </w:pPr>
    </w:p>
    <w:tbl>
      <w:tblPr>
        <w:tblLayout w:type="fixed"/>
        <w:tblInd w:w="8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Arial" w:cs="Arial" w:eastAsia="Arial" w:hAnsi="Arial"/>
                <w:sz w:val="22"/>
                <w:szCs w:val="22"/>
                <w:color w:val="auto"/>
              </w:rPr>
              <w:t>Stock</w:t>
            </w:r>
          </w:p>
        </w:tc>
        <w:tc>
          <w:tcPr>
            <w:tcW w:w="860" w:type="dxa"/>
            <w:vAlign w:val="bottom"/>
          </w:tcPr>
          <w:p>
            <w:pPr>
              <w:jc w:val="right"/>
              <w:ind w:right="72"/>
              <w:spacing w:after="0"/>
              <w:rPr>
                <w:sz w:val="20"/>
                <w:szCs w:val="20"/>
                <w:color w:val="auto"/>
              </w:rPr>
            </w:pPr>
            <w:r>
              <w:rPr>
                <w:rFonts w:ascii="Arial" w:cs="Arial" w:eastAsia="Arial" w:hAnsi="Arial"/>
                <w:sz w:val="22"/>
                <w:szCs w:val="22"/>
                <w:color w:val="auto"/>
              </w:rPr>
              <w:t>25%</w:t>
            </w:r>
          </w:p>
        </w:tc>
        <w:tc>
          <w:tcPr>
            <w:tcW w:w="320" w:type="dxa"/>
            <w:vAlign w:val="bottom"/>
          </w:tcPr>
          <w:p>
            <w:pPr>
              <w:ind w:left="180"/>
              <w:spacing w:after="0"/>
              <w:rPr>
                <w:sz w:val="20"/>
                <w:szCs w:val="20"/>
                <w:color w:val="auto"/>
              </w:rPr>
            </w:pPr>
            <w:r>
              <w:rPr>
                <w:rFonts w:ascii="Arial" w:cs="Arial" w:eastAsia="Arial" w:hAnsi="Arial"/>
                <w:sz w:val="22"/>
                <w:szCs w:val="22"/>
                <w:color w:val="582C83"/>
              </w:rPr>
              <w:t>•</w:t>
            </w:r>
          </w:p>
        </w:tc>
        <w:tc>
          <w:tcPr>
            <w:tcW w:w="4000" w:type="dxa"/>
            <w:vAlign w:val="bottom"/>
          </w:tcPr>
          <w:p>
            <w:pPr>
              <w:ind w:left="80"/>
              <w:spacing w:after="0"/>
              <w:rPr>
                <w:sz w:val="20"/>
                <w:szCs w:val="20"/>
                <w:color w:val="auto"/>
              </w:rPr>
            </w:pPr>
            <w:r>
              <w:rPr>
                <w:rFonts w:ascii="Arial" w:cs="Arial" w:eastAsia="Arial" w:hAnsi="Arial"/>
                <w:sz w:val="22"/>
                <w:szCs w:val="22"/>
                <w:color w:val="auto"/>
              </w:rPr>
              <w:t>3-year ratable vest</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Options</w:t>
            </w:r>
          </w:p>
        </w:tc>
        <w:tc>
          <w:tcPr>
            <w:tcW w:w="860" w:type="dxa"/>
            <w:vAlign w:val="bottom"/>
          </w:tcPr>
          <w:p>
            <w:pPr>
              <w:spacing w:after="0"/>
              <w:rPr>
                <w:sz w:val="24"/>
                <w:szCs w:val="24"/>
                <w:color w:val="auto"/>
              </w:rPr>
            </w:pPr>
          </w:p>
        </w:tc>
        <w:tc>
          <w:tcPr>
            <w:tcW w:w="320" w:type="dxa"/>
            <w:vAlign w:val="bottom"/>
          </w:tcPr>
          <w:p>
            <w:pPr>
              <w:ind w:left="180"/>
              <w:spacing w:after="0"/>
              <w:rPr>
                <w:sz w:val="20"/>
                <w:szCs w:val="20"/>
                <w:color w:val="auto"/>
              </w:rPr>
            </w:pPr>
            <w:r>
              <w:rPr>
                <w:rFonts w:ascii="Arial" w:cs="Arial" w:eastAsia="Arial" w:hAnsi="Arial"/>
                <w:sz w:val="22"/>
                <w:szCs w:val="22"/>
                <w:color w:val="582C83"/>
              </w:rPr>
              <w:t>•</w:t>
            </w:r>
          </w:p>
        </w:tc>
        <w:tc>
          <w:tcPr>
            <w:tcW w:w="4000" w:type="dxa"/>
            <w:vAlign w:val="bottom"/>
          </w:tcPr>
          <w:p>
            <w:pPr>
              <w:ind w:left="80"/>
              <w:spacing w:after="0"/>
              <w:rPr>
                <w:sz w:val="20"/>
                <w:szCs w:val="20"/>
                <w:color w:val="auto"/>
              </w:rPr>
            </w:pPr>
            <w:r>
              <w:rPr>
                <w:rFonts w:ascii="Arial" w:cs="Arial" w:eastAsia="Arial" w:hAnsi="Arial"/>
                <w:sz w:val="22"/>
                <w:szCs w:val="22"/>
                <w:color w:val="auto"/>
              </w:rPr>
              <w:t>10-year term</w:t>
            </w:r>
          </w:p>
        </w:tc>
      </w:tr>
      <w:tr>
        <w:trPr>
          <w:trHeight w:val="284"/>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ind w:left="180"/>
              <w:spacing w:after="0"/>
              <w:rPr>
                <w:sz w:val="20"/>
                <w:szCs w:val="20"/>
                <w:color w:val="auto"/>
              </w:rPr>
            </w:pPr>
            <w:r>
              <w:rPr>
                <w:rFonts w:ascii="Arial" w:cs="Arial" w:eastAsia="Arial" w:hAnsi="Arial"/>
                <w:sz w:val="22"/>
                <w:szCs w:val="22"/>
                <w:color w:val="582C83"/>
              </w:rPr>
              <w:t>•</w:t>
            </w:r>
          </w:p>
        </w:tc>
        <w:tc>
          <w:tcPr>
            <w:tcW w:w="4000" w:type="dxa"/>
            <w:vAlign w:val="bottom"/>
          </w:tcPr>
          <w:p>
            <w:pPr>
              <w:ind w:left="80"/>
              <w:spacing w:after="0"/>
              <w:rPr>
                <w:sz w:val="20"/>
                <w:szCs w:val="20"/>
                <w:color w:val="auto"/>
              </w:rPr>
            </w:pPr>
            <w:r>
              <w:rPr>
                <w:rFonts w:ascii="Arial" w:cs="Arial" w:eastAsia="Arial" w:hAnsi="Arial"/>
                <w:sz w:val="22"/>
                <w:szCs w:val="22"/>
                <w:color w:val="auto"/>
                <w:w w:val="97"/>
              </w:rPr>
              <w:t>1-year holding requirement post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16" w:right="220" w:hanging="216"/>
        <w:spacing w:after="0" w:line="249" w:lineRule="auto"/>
        <w:tabs>
          <w:tab w:leader="none" w:pos="216" w:val="left"/>
        </w:tabs>
        <w:numPr>
          <w:ilvl w:val="0"/>
          <w:numId w:val="62"/>
        </w:numPr>
        <w:rPr>
          <w:rFonts w:ascii="Arial" w:cs="Arial" w:eastAsia="Arial" w:hAnsi="Arial"/>
          <w:sz w:val="22"/>
          <w:szCs w:val="22"/>
          <w:color w:val="582C83"/>
        </w:rPr>
      </w:pPr>
      <w:r>
        <w:rPr>
          <w:rFonts w:ascii="Arial" w:cs="Arial" w:eastAsia="Arial" w:hAnsi="Arial"/>
          <w:sz w:val="22"/>
          <w:szCs w:val="22"/>
          <w:color w:val="auto"/>
        </w:rPr>
        <w:t>Requires share price appreciation for value creation</w:t>
      </w:r>
    </w:p>
    <w:p>
      <w:pPr>
        <w:spacing w:after="0" w:line="1" w:lineRule="exact"/>
        <w:rPr>
          <w:rFonts w:ascii="Arial" w:cs="Arial" w:eastAsia="Arial" w:hAnsi="Arial"/>
          <w:sz w:val="22"/>
          <w:szCs w:val="22"/>
          <w:color w:val="582C83"/>
        </w:rPr>
      </w:pPr>
    </w:p>
    <w:p>
      <w:pPr>
        <w:ind w:left="216" w:hanging="216"/>
        <w:spacing w:after="0"/>
        <w:tabs>
          <w:tab w:leader="none" w:pos="216" w:val="left"/>
        </w:tabs>
        <w:numPr>
          <w:ilvl w:val="0"/>
          <w:numId w:val="62"/>
        </w:numPr>
        <w:rPr>
          <w:rFonts w:ascii="Arial" w:cs="Arial" w:eastAsia="Arial" w:hAnsi="Arial"/>
          <w:sz w:val="22"/>
          <w:szCs w:val="22"/>
          <w:color w:val="582C83"/>
        </w:rPr>
      </w:pPr>
      <w:r>
        <w:rPr>
          <w:rFonts w:ascii="Arial" w:cs="Arial" w:eastAsia="Arial" w:hAnsi="Arial"/>
          <w:sz w:val="22"/>
          <w:szCs w:val="22"/>
          <w:color w:val="auto"/>
        </w:rPr>
        <w:t>Facilitates stock ownership</w:t>
      </w:r>
    </w:p>
    <w:p>
      <w:pPr>
        <w:spacing w:after="0" w:line="30" w:lineRule="exact"/>
        <w:rPr>
          <w:rFonts w:ascii="Arial" w:cs="Arial" w:eastAsia="Arial" w:hAnsi="Arial"/>
          <w:sz w:val="22"/>
          <w:szCs w:val="22"/>
          <w:color w:val="582C83"/>
        </w:rPr>
      </w:pPr>
    </w:p>
    <w:p>
      <w:pPr>
        <w:ind w:left="216" w:right="640" w:hanging="216"/>
        <w:spacing w:after="0" w:line="259" w:lineRule="auto"/>
        <w:tabs>
          <w:tab w:leader="none" w:pos="216" w:val="left"/>
        </w:tabs>
        <w:numPr>
          <w:ilvl w:val="0"/>
          <w:numId w:val="62"/>
        </w:numPr>
        <w:rPr>
          <w:rFonts w:ascii="Arial" w:cs="Arial" w:eastAsia="Arial" w:hAnsi="Arial"/>
          <w:sz w:val="22"/>
          <w:szCs w:val="22"/>
          <w:color w:val="582C83"/>
        </w:rPr>
      </w:pPr>
      <w:r>
        <w:rPr>
          <w:rFonts w:ascii="Arial" w:cs="Arial" w:eastAsia="Arial" w:hAnsi="Arial"/>
          <w:sz w:val="22"/>
          <w:szCs w:val="22"/>
          <w:color w:val="auto"/>
        </w:rPr>
        <w:t>Aligns long-term interests with those of shareholders</w:t>
      </w:r>
    </w:p>
    <w:p>
      <w:pPr>
        <w:spacing w:after="0" w:line="200" w:lineRule="exact"/>
        <w:rPr>
          <w:sz w:val="20"/>
          <w:szCs w:val="20"/>
          <w:color w:val="auto"/>
        </w:rPr>
      </w:pPr>
    </w:p>
    <w:p>
      <w:pPr>
        <w:sectPr>
          <w:pgSz w:w="11900" w:h="16838" w:orient="portrait"/>
          <w:cols w:equalWidth="0" w:num="2">
            <w:col w:w="6240" w:space="464"/>
            <w:col w:w="4556"/>
          </w:cols>
          <w:pgMar w:left="320" w:top="130" w:right="319" w:bottom="1440" w:gutter="0" w:footer="0" w:header="0"/>
          <w:type w:val="continuous"/>
        </w:sectPr>
      </w:pPr>
    </w:p>
    <w:p>
      <w:pPr>
        <w:spacing w:after="0" w:line="306"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2021 Annual Equity Grants to NEOs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table below shows the 2021 annual equity grants to our NEOs. In determining each grant, the executive’s level of responsibility, individual and Company performance, external market positioning and recommendations from the CEO were all taken into account by the People and Compensation Committee. Ms. Stein also received equity grants as part of her recruitment package as detailed under Other 2021 Compensation Actions on page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860" w:type="dxa"/>
            <w:vAlign w:val="bottom"/>
          </w:tcPr>
          <w:p>
            <w:pPr>
              <w:spacing w:after="0"/>
              <w:rPr>
                <w:sz w:val="21"/>
                <w:szCs w:val="21"/>
                <w:color w:val="auto"/>
              </w:rPr>
            </w:pPr>
          </w:p>
        </w:tc>
        <w:tc>
          <w:tcPr>
            <w:tcW w:w="790" w:type="dxa"/>
            <w:vAlign w:val="bottom"/>
            <w:tcBorders>
              <w:bottom w:val="single" w:sz="8" w:color="582C83"/>
            </w:tcBorders>
          </w:tcPr>
          <w:p>
            <w:pPr>
              <w:spacing w:after="0"/>
              <w:rPr>
                <w:sz w:val="21"/>
                <w:szCs w:val="21"/>
                <w:color w:val="auto"/>
              </w:rPr>
            </w:pPr>
          </w:p>
        </w:tc>
        <w:tc>
          <w:tcPr>
            <w:tcW w:w="3410" w:type="dxa"/>
            <w:vAlign w:val="bottom"/>
            <w:tcBorders>
              <w:bottom w:val="single" w:sz="8" w:color="582C83"/>
            </w:tcBorders>
            <w:gridSpan w:val="4"/>
          </w:tcPr>
          <w:p>
            <w:pPr>
              <w:jc w:val="right"/>
              <w:ind w:right="252"/>
              <w:spacing w:after="0"/>
              <w:rPr>
                <w:sz w:val="20"/>
                <w:szCs w:val="20"/>
                <w:color w:val="auto"/>
              </w:rPr>
            </w:pPr>
            <w:r>
              <w:rPr>
                <w:rFonts w:ascii="Arial" w:cs="Arial" w:eastAsia="Arial" w:hAnsi="Arial"/>
                <w:sz w:val="18"/>
                <w:szCs w:val="18"/>
                <w:b w:val="1"/>
                <w:bCs w:val="1"/>
                <w:color w:val="auto"/>
              </w:rPr>
              <w:t>2021 Annual Equity Grants</w:t>
            </w:r>
            <w:r>
              <w:rPr>
                <w:rFonts w:ascii="Arial" w:cs="Arial" w:eastAsia="Arial" w:hAnsi="Arial"/>
                <w:sz w:val="21"/>
                <w:szCs w:val="21"/>
                <w:b w:val="1"/>
                <w:bCs w:val="1"/>
                <w:color w:val="auto"/>
                <w:vertAlign w:val="superscript"/>
              </w:rPr>
              <w:t>(1)</w:t>
            </w:r>
          </w:p>
        </w:tc>
        <w:tc>
          <w:tcPr>
            <w:tcW w:w="1180" w:type="dxa"/>
            <w:vAlign w:val="bottom"/>
            <w:tcBorders>
              <w:bottom w:val="single" w:sz="8" w:color="582C83"/>
            </w:tcBorders>
          </w:tcPr>
          <w:p>
            <w:pPr>
              <w:spacing w:after="0"/>
              <w:rPr>
                <w:sz w:val="21"/>
                <w:szCs w:val="21"/>
                <w:color w:val="auto"/>
              </w:rPr>
            </w:pPr>
          </w:p>
        </w:tc>
        <w:tc>
          <w:tcPr>
            <w:tcW w:w="20" w:type="dxa"/>
            <w:vAlign w:val="bottom"/>
          </w:tcPr>
          <w:p>
            <w:pPr>
              <w:spacing w:after="0"/>
              <w:rPr>
                <w:sz w:val="21"/>
                <w:szCs w:val="21"/>
                <w:color w:val="auto"/>
              </w:rPr>
            </w:pPr>
          </w:p>
        </w:tc>
      </w:tr>
      <w:tr>
        <w:trPr>
          <w:trHeight w:val="291"/>
        </w:trPr>
        <w:tc>
          <w:tcPr>
            <w:tcW w:w="5860" w:type="dxa"/>
            <w:vAlign w:val="bottom"/>
          </w:tcPr>
          <w:p>
            <w:pPr>
              <w:spacing w:after="0"/>
              <w:rPr>
                <w:sz w:val="24"/>
                <w:szCs w:val="24"/>
                <w:color w:val="auto"/>
              </w:rPr>
            </w:pPr>
          </w:p>
        </w:tc>
        <w:tc>
          <w:tcPr>
            <w:tcW w:w="790" w:type="dxa"/>
            <w:vAlign w:val="bottom"/>
            <w:tcBorders>
              <w:bottom w:val="single" w:sz="8" w:color="582C83"/>
            </w:tcBorders>
          </w:tcPr>
          <w:p>
            <w:pPr>
              <w:spacing w:after="0"/>
              <w:rPr>
                <w:sz w:val="24"/>
                <w:szCs w:val="24"/>
                <w:color w:val="auto"/>
              </w:rPr>
            </w:pPr>
          </w:p>
        </w:tc>
        <w:tc>
          <w:tcPr>
            <w:tcW w:w="830" w:type="dxa"/>
            <w:vAlign w:val="bottom"/>
            <w:tcBorders>
              <w:bottom w:val="single" w:sz="8" w:color="582C83"/>
            </w:tcBorders>
          </w:tcPr>
          <w:p>
            <w:pPr>
              <w:ind w:left="270"/>
              <w:spacing w:after="0"/>
              <w:rPr>
                <w:sz w:val="20"/>
                <w:szCs w:val="20"/>
                <w:color w:val="auto"/>
              </w:rPr>
            </w:pPr>
            <w:r>
              <w:rPr>
                <w:rFonts w:ascii="Arial" w:cs="Arial" w:eastAsia="Arial" w:hAnsi="Arial"/>
                <w:sz w:val="18"/>
                <w:szCs w:val="18"/>
                <w:b w:val="1"/>
                <w:bCs w:val="1"/>
                <w:color w:val="auto"/>
              </w:rPr>
              <w:t>PSUs</w:t>
            </w:r>
          </w:p>
        </w:tc>
        <w:tc>
          <w:tcPr>
            <w:tcW w:w="960" w:type="dxa"/>
            <w:vAlign w:val="bottom"/>
            <w:tcBorders>
              <w:bottom w:val="single" w:sz="8" w:color="582C83"/>
            </w:tcBorders>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Borders>
              <w:bottom w:val="single" w:sz="8" w:color="582C83"/>
            </w:tcBorders>
            <w:gridSpan w:val="2"/>
          </w:tcPr>
          <w:p>
            <w:pPr>
              <w:jc w:val="right"/>
              <w:ind w:right="618"/>
              <w:spacing w:after="0"/>
              <w:rPr>
                <w:sz w:val="20"/>
                <w:szCs w:val="20"/>
                <w:color w:val="auto"/>
              </w:rPr>
            </w:pPr>
            <w:r>
              <w:rPr>
                <w:rFonts w:ascii="Arial" w:cs="Arial" w:eastAsia="Arial" w:hAnsi="Arial"/>
                <w:sz w:val="18"/>
                <w:szCs w:val="18"/>
                <w:b w:val="1"/>
                <w:bCs w:val="1"/>
                <w:color w:val="auto"/>
              </w:rPr>
              <w:t>Stock Options</w:t>
            </w:r>
          </w:p>
        </w:tc>
        <w:tc>
          <w:tcPr>
            <w:tcW w:w="20" w:type="dxa"/>
            <w:vAlign w:val="bottom"/>
          </w:tcPr>
          <w:p>
            <w:pPr>
              <w:spacing w:after="0"/>
              <w:rPr>
                <w:sz w:val="24"/>
                <w:szCs w:val="24"/>
                <w:color w:val="auto"/>
              </w:rPr>
            </w:pPr>
          </w:p>
        </w:tc>
      </w:tr>
      <w:tr>
        <w:trPr>
          <w:trHeight w:val="304"/>
        </w:trPr>
        <w:tc>
          <w:tcPr>
            <w:tcW w:w="586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79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830" w:type="dxa"/>
            <w:vAlign w:val="bottom"/>
            <w:tcBorders>
              <w:bottom w:val="single" w:sz="8" w:color="582C83"/>
            </w:tcBorders>
          </w:tcPr>
          <w:p>
            <w:pPr>
              <w:spacing w:after="0"/>
              <w:rPr>
                <w:sz w:val="24"/>
                <w:szCs w:val="24"/>
                <w:color w:val="auto"/>
              </w:rPr>
            </w:pPr>
          </w:p>
        </w:tc>
        <w:tc>
          <w:tcPr>
            <w:tcW w:w="960" w:type="dxa"/>
            <w:vAlign w:val="bottom"/>
            <w:tcBorders>
              <w:bottom w:val="single" w:sz="8" w:color="582C83"/>
            </w:tcBorders>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0"/>
                <w:szCs w:val="10"/>
                <w:b w:val="1"/>
                <w:bCs w:val="1"/>
                <w:color w:val="auto"/>
              </w:rPr>
              <w:t>(2)</w:t>
            </w:r>
          </w:p>
        </w:tc>
        <w:tc>
          <w:tcPr>
            <w:tcW w:w="220" w:type="dxa"/>
            <w:vAlign w:val="bottom"/>
            <w:tcBorders>
              <w:bottom w:val="single" w:sz="8" w:color="582C83"/>
            </w:tcBorders>
          </w:tcPr>
          <w:p>
            <w:pPr>
              <w:spacing w:after="0"/>
              <w:rPr>
                <w:sz w:val="24"/>
                <w:szCs w:val="24"/>
                <w:color w:val="auto"/>
              </w:rPr>
            </w:pPr>
          </w:p>
        </w:tc>
        <w:tc>
          <w:tcPr>
            <w:tcW w:w="1400" w:type="dxa"/>
            <w:vAlign w:val="bottom"/>
            <w:tcBorders>
              <w:bottom w:val="single" w:sz="8" w:color="582C83"/>
            </w:tcBorders>
          </w:tcPr>
          <w:p>
            <w:pPr>
              <w:jc w:val="right"/>
              <w:ind w:right="59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582C83"/>
            </w:tcBorders>
          </w:tcPr>
          <w:p>
            <w:pPr>
              <w:jc w:val="right"/>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0"/>
                <w:szCs w:val="10"/>
                <w:b w:val="1"/>
                <w:bCs w:val="1"/>
                <w:color w:val="auto"/>
              </w:rPr>
              <w:t>(2)</w:t>
            </w:r>
          </w:p>
        </w:tc>
        <w:tc>
          <w:tcPr>
            <w:tcW w:w="20" w:type="dxa"/>
            <w:vAlign w:val="bottom"/>
            <w:tcBorders>
              <w:bottom w:val="single" w:sz="8" w:color="582C83"/>
            </w:tcBorders>
          </w:tcPr>
          <w:p>
            <w:pPr>
              <w:spacing w:after="0"/>
              <w:rPr>
                <w:sz w:val="24"/>
                <w:szCs w:val="24"/>
                <w:color w:val="auto"/>
              </w:rPr>
            </w:pPr>
          </w:p>
        </w:tc>
      </w:tr>
      <w:tr>
        <w:trPr>
          <w:trHeight w:val="323"/>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Mr. Van de Put</w:t>
            </w:r>
          </w:p>
        </w:tc>
        <w:tc>
          <w:tcPr>
            <w:tcW w:w="79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153,670</w:t>
            </w:r>
          </w:p>
        </w:tc>
        <w:tc>
          <w:tcPr>
            <w:tcW w:w="830" w:type="dxa"/>
            <w:vAlign w:val="bottom"/>
            <w:tcBorders>
              <w:bottom w:val="single" w:sz="8" w:color="EBE6F0"/>
            </w:tcBorders>
            <w:shd w:val="clear" w:color="auto" w:fill="EBE6F0"/>
          </w:tcPr>
          <w:p>
            <w:pPr>
              <w:spacing w:after="0"/>
              <w:rPr>
                <w:sz w:val="24"/>
                <w:szCs w:val="24"/>
                <w:color w:val="auto"/>
              </w:rPr>
            </w:pPr>
          </w:p>
        </w:tc>
        <w:tc>
          <w:tcPr>
            <w:tcW w:w="9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8,625,000</w:t>
            </w:r>
          </w:p>
        </w:tc>
        <w:tc>
          <w:tcPr>
            <w:tcW w:w="220" w:type="dxa"/>
            <w:vAlign w:val="bottom"/>
            <w:tcBorders>
              <w:bottom w:val="single" w:sz="8" w:color="EBE6F0"/>
            </w:tcBorders>
            <w:shd w:val="clear" w:color="auto" w:fill="EBE6F0"/>
          </w:tcPr>
          <w:p>
            <w:pPr>
              <w:spacing w:after="0"/>
              <w:rPr>
                <w:sz w:val="24"/>
                <w:szCs w:val="24"/>
                <w:color w:val="auto"/>
              </w:rPr>
            </w:pPr>
          </w:p>
        </w:tc>
        <w:tc>
          <w:tcPr>
            <w:tcW w:w="1400" w:type="dxa"/>
            <w:vAlign w:val="bottom"/>
            <w:tcBorders>
              <w:bottom w:val="single" w:sz="8" w:color="EBE6F0"/>
            </w:tcBorders>
            <w:shd w:val="clear" w:color="auto" w:fill="EBE6F0"/>
          </w:tcPr>
          <w:p>
            <w:pPr>
              <w:jc w:val="right"/>
              <w:ind w:right="592"/>
              <w:spacing w:after="0"/>
              <w:rPr>
                <w:sz w:val="20"/>
                <w:szCs w:val="20"/>
                <w:color w:val="auto"/>
              </w:rPr>
            </w:pPr>
            <w:r>
              <w:rPr>
                <w:rFonts w:ascii="Arial" w:cs="Arial" w:eastAsia="Arial" w:hAnsi="Arial"/>
                <w:sz w:val="18"/>
                <w:szCs w:val="18"/>
                <w:color w:val="auto"/>
              </w:rPr>
              <w:t>256,110</w:t>
            </w:r>
          </w:p>
        </w:tc>
        <w:tc>
          <w:tcPr>
            <w:tcW w:w="11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2,875,000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586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Zaramella</w:t>
            </w:r>
          </w:p>
        </w:tc>
        <w:tc>
          <w:tcPr>
            <w:tcW w:w="79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44,100</w:t>
            </w:r>
          </w:p>
        </w:tc>
        <w:tc>
          <w:tcPr>
            <w:tcW w:w="830" w:type="dxa"/>
            <w:vAlign w:val="bottom"/>
            <w:tcBorders>
              <w:top w:val="single" w:sz="8" w:color="582C83"/>
            </w:tcBorders>
          </w:tcPr>
          <w:p>
            <w:pPr>
              <w:spacing w:after="0"/>
              <w:rPr>
                <w:sz w:val="23"/>
                <w:szCs w:val="23"/>
                <w:color w:val="auto"/>
              </w:rPr>
            </w:pPr>
          </w:p>
        </w:tc>
        <w:tc>
          <w:tcPr>
            <w:tcW w:w="9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2,475,000</w:t>
            </w:r>
          </w:p>
        </w:tc>
        <w:tc>
          <w:tcPr>
            <w:tcW w:w="220" w:type="dxa"/>
            <w:vAlign w:val="bottom"/>
            <w:tcBorders>
              <w:top w:val="single" w:sz="8" w:color="582C83"/>
            </w:tcBorders>
          </w:tcPr>
          <w:p>
            <w:pPr>
              <w:spacing w:after="0"/>
              <w:rPr>
                <w:sz w:val="23"/>
                <w:szCs w:val="23"/>
                <w:color w:val="auto"/>
              </w:rPr>
            </w:pPr>
          </w:p>
        </w:tc>
        <w:tc>
          <w:tcPr>
            <w:tcW w:w="1400" w:type="dxa"/>
            <w:vAlign w:val="bottom"/>
            <w:tcBorders>
              <w:top w:val="single" w:sz="8" w:color="582C83"/>
            </w:tcBorders>
          </w:tcPr>
          <w:p>
            <w:pPr>
              <w:jc w:val="right"/>
              <w:ind w:right="592"/>
              <w:spacing w:after="0"/>
              <w:rPr>
                <w:sz w:val="20"/>
                <w:szCs w:val="20"/>
                <w:color w:val="auto"/>
              </w:rPr>
            </w:pPr>
            <w:r>
              <w:rPr>
                <w:rFonts w:ascii="Arial" w:cs="Arial" w:eastAsia="Arial" w:hAnsi="Arial"/>
                <w:sz w:val="18"/>
                <w:szCs w:val="18"/>
                <w:color w:val="auto"/>
              </w:rPr>
              <w:t>73,500</w:t>
            </w:r>
          </w:p>
        </w:tc>
        <w:tc>
          <w:tcPr>
            <w:tcW w:w="118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825,000</w:t>
            </w:r>
          </w:p>
        </w:tc>
        <w:tc>
          <w:tcPr>
            <w:tcW w:w="20" w:type="dxa"/>
            <w:vAlign w:val="bottom"/>
            <w:tcBorders>
              <w:top w:val="single" w:sz="8" w:color="582C83"/>
            </w:tcBorders>
          </w:tcPr>
          <w:p>
            <w:pPr>
              <w:spacing w:after="0"/>
              <w:rPr>
                <w:sz w:val="23"/>
                <w:szCs w:val="23"/>
                <w:color w:val="auto"/>
              </w:rPr>
            </w:pPr>
          </w:p>
        </w:tc>
      </w:tr>
      <w:tr>
        <w:trPr>
          <w:trHeight w:val="46"/>
        </w:trPr>
        <w:tc>
          <w:tcPr>
            <w:tcW w:w="5860" w:type="dxa"/>
            <w:vAlign w:val="bottom"/>
            <w:tcBorders>
              <w:bottom w:val="single" w:sz="8" w:color="582C83"/>
            </w:tcBorders>
          </w:tcPr>
          <w:p>
            <w:pPr>
              <w:spacing w:after="0"/>
              <w:rPr>
                <w:sz w:val="3"/>
                <w:szCs w:val="3"/>
                <w:color w:val="auto"/>
              </w:rPr>
            </w:pPr>
          </w:p>
        </w:tc>
        <w:tc>
          <w:tcPr>
            <w:tcW w:w="790" w:type="dxa"/>
            <w:vAlign w:val="bottom"/>
            <w:tcBorders>
              <w:bottom w:val="single" w:sz="8" w:color="582C83"/>
            </w:tcBorders>
          </w:tcPr>
          <w:p>
            <w:pPr>
              <w:spacing w:after="0"/>
              <w:rPr>
                <w:sz w:val="3"/>
                <w:szCs w:val="3"/>
                <w:color w:val="auto"/>
              </w:rPr>
            </w:pPr>
          </w:p>
        </w:tc>
        <w:tc>
          <w:tcPr>
            <w:tcW w:w="830" w:type="dxa"/>
            <w:vAlign w:val="bottom"/>
            <w:tcBorders>
              <w:bottom w:val="single" w:sz="8" w:color="582C83"/>
            </w:tcBorders>
          </w:tcPr>
          <w:p>
            <w:pPr>
              <w:spacing w:after="0"/>
              <w:rPr>
                <w:sz w:val="3"/>
                <w:szCs w:val="3"/>
                <w:color w:val="auto"/>
              </w:rPr>
            </w:pPr>
          </w:p>
        </w:tc>
        <w:tc>
          <w:tcPr>
            <w:tcW w:w="96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1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23"/>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Mr. Brusadelli</w:t>
            </w:r>
          </w:p>
        </w:tc>
        <w:tc>
          <w:tcPr>
            <w:tcW w:w="79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30,740</w:t>
            </w:r>
          </w:p>
        </w:tc>
        <w:tc>
          <w:tcPr>
            <w:tcW w:w="830" w:type="dxa"/>
            <w:vAlign w:val="bottom"/>
            <w:tcBorders>
              <w:bottom w:val="single" w:sz="8" w:color="EBE6F0"/>
            </w:tcBorders>
            <w:shd w:val="clear" w:color="auto" w:fill="EBE6F0"/>
          </w:tcPr>
          <w:p>
            <w:pPr>
              <w:spacing w:after="0"/>
              <w:rPr>
                <w:sz w:val="24"/>
                <w:szCs w:val="24"/>
                <w:color w:val="auto"/>
              </w:rPr>
            </w:pPr>
          </w:p>
        </w:tc>
        <w:tc>
          <w:tcPr>
            <w:tcW w:w="9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1,725,000</w:t>
            </w:r>
          </w:p>
        </w:tc>
        <w:tc>
          <w:tcPr>
            <w:tcW w:w="220" w:type="dxa"/>
            <w:vAlign w:val="bottom"/>
            <w:tcBorders>
              <w:bottom w:val="single" w:sz="8" w:color="EBE6F0"/>
            </w:tcBorders>
            <w:shd w:val="clear" w:color="auto" w:fill="EBE6F0"/>
          </w:tcPr>
          <w:p>
            <w:pPr>
              <w:spacing w:after="0"/>
              <w:rPr>
                <w:sz w:val="24"/>
                <w:szCs w:val="24"/>
                <w:color w:val="auto"/>
              </w:rPr>
            </w:pPr>
          </w:p>
        </w:tc>
        <w:tc>
          <w:tcPr>
            <w:tcW w:w="1400" w:type="dxa"/>
            <w:vAlign w:val="bottom"/>
            <w:tcBorders>
              <w:bottom w:val="single" w:sz="8" w:color="EBE6F0"/>
            </w:tcBorders>
            <w:shd w:val="clear" w:color="auto" w:fill="EBE6F0"/>
          </w:tcPr>
          <w:p>
            <w:pPr>
              <w:jc w:val="right"/>
              <w:ind w:right="592"/>
              <w:spacing w:after="0"/>
              <w:rPr>
                <w:sz w:val="20"/>
                <w:szCs w:val="20"/>
                <w:color w:val="auto"/>
              </w:rPr>
            </w:pPr>
            <w:r>
              <w:rPr>
                <w:rFonts w:ascii="Arial" w:cs="Arial" w:eastAsia="Arial" w:hAnsi="Arial"/>
                <w:sz w:val="18"/>
                <w:szCs w:val="18"/>
                <w:color w:val="auto"/>
              </w:rPr>
              <w:t>51,230</w:t>
            </w:r>
          </w:p>
        </w:tc>
        <w:tc>
          <w:tcPr>
            <w:tcW w:w="11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72"/>
        </w:trPr>
        <w:tc>
          <w:tcPr>
            <w:tcW w:w="586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Gruber</w:t>
            </w:r>
          </w:p>
        </w:tc>
        <w:tc>
          <w:tcPr>
            <w:tcW w:w="79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32,070</w:t>
            </w:r>
          </w:p>
        </w:tc>
        <w:tc>
          <w:tcPr>
            <w:tcW w:w="830" w:type="dxa"/>
            <w:vAlign w:val="bottom"/>
            <w:tcBorders>
              <w:top w:val="single" w:sz="8" w:color="582C83"/>
            </w:tcBorders>
          </w:tcPr>
          <w:p>
            <w:pPr>
              <w:spacing w:after="0"/>
              <w:rPr>
                <w:sz w:val="23"/>
                <w:szCs w:val="23"/>
                <w:color w:val="auto"/>
              </w:rPr>
            </w:pPr>
          </w:p>
        </w:tc>
        <w:tc>
          <w:tcPr>
            <w:tcW w:w="9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1,800,000</w:t>
            </w:r>
          </w:p>
        </w:tc>
        <w:tc>
          <w:tcPr>
            <w:tcW w:w="220" w:type="dxa"/>
            <w:vAlign w:val="bottom"/>
            <w:tcBorders>
              <w:top w:val="single" w:sz="8" w:color="582C83"/>
            </w:tcBorders>
          </w:tcPr>
          <w:p>
            <w:pPr>
              <w:spacing w:after="0"/>
              <w:rPr>
                <w:sz w:val="23"/>
                <w:szCs w:val="23"/>
                <w:color w:val="auto"/>
              </w:rPr>
            </w:pPr>
          </w:p>
        </w:tc>
        <w:tc>
          <w:tcPr>
            <w:tcW w:w="1400" w:type="dxa"/>
            <w:vAlign w:val="bottom"/>
            <w:tcBorders>
              <w:top w:val="single" w:sz="8" w:color="582C83"/>
            </w:tcBorders>
          </w:tcPr>
          <w:p>
            <w:pPr>
              <w:jc w:val="right"/>
              <w:ind w:right="592"/>
              <w:spacing w:after="0"/>
              <w:rPr>
                <w:sz w:val="20"/>
                <w:szCs w:val="20"/>
                <w:color w:val="auto"/>
              </w:rPr>
            </w:pPr>
            <w:r>
              <w:rPr>
                <w:rFonts w:ascii="Arial" w:cs="Arial" w:eastAsia="Arial" w:hAnsi="Arial"/>
                <w:sz w:val="18"/>
                <w:szCs w:val="18"/>
                <w:color w:val="auto"/>
              </w:rPr>
              <w:t>53,450</w:t>
            </w:r>
          </w:p>
        </w:tc>
        <w:tc>
          <w:tcPr>
            <w:tcW w:w="118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top w:val="single" w:sz="8" w:color="582C83"/>
            </w:tcBorders>
          </w:tcPr>
          <w:p>
            <w:pPr>
              <w:spacing w:after="0"/>
              <w:rPr>
                <w:sz w:val="23"/>
                <w:szCs w:val="23"/>
                <w:color w:val="auto"/>
              </w:rPr>
            </w:pPr>
          </w:p>
        </w:tc>
      </w:tr>
      <w:tr>
        <w:trPr>
          <w:trHeight w:val="46"/>
        </w:trPr>
        <w:tc>
          <w:tcPr>
            <w:tcW w:w="5860" w:type="dxa"/>
            <w:vAlign w:val="bottom"/>
            <w:tcBorders>
              <w:bottom w:val="single" w:sz="8" w:color="582C83"/>
            </w:tcBorders>
          </w:tcPr>
          <w:p>
            <w:pPr>
              <w:spacing w:after="0"/>
              <w:rPr>
                <w:sz w:val="3"/>
                <w:szCs w:val="3"/>
                <w:color w:val="auto"/>
              </w:rPr>
            </w:pPr>
          </w:p>
        </w:tc>
        <w:tc>
          <w:tcPr>
            <w:tcW w:w="790" w:type="dxa"/>
            <w:vAlign w:val="bottom"/>
            <w:tcBorders>
              <w:bottom w:val="single" w:sz="8" w:color="582C83"/>
            </w:tcBorders>
          </w:tcPr>
          <w:p>
            <w:pPr>
              <w:spacing w:after="0"/>
              <w:rPr>
                <w:sz w:val="3"/>
                <w:szCs w:val="3"/>
                <w:color w:val="auto"/>
              </w:rPr>
            </w:pPr>
          </w:p>
        </w:tc>
        <w:tc>
          <w:tcPr>
            <w:tcW w:w="830" w:type="dxa"/>
            <w:vAlign w:val="bottom"/>
            <w:tcBorders>
              <w:bottom w:val="single" w:sz="8" w:color="582C83"/>
            </w:tcBorders>
          </w:tcPr>
          <w:p>
            <w:pPr>
              <w:spacing w:after="0"/>
              <w:rPr>
                <w:sz w:val="3"/>
                <w:szCs w:val="3"/>
                <w:color w:val="auto"/>
              </w:rPr>
            </w:pPr>
          </w:p>
        </w:tc>
        <w:tc>
          <w:tcPr>
            <w:tcW w:w="96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1400" w:type="dxa"/>
            <w:vAlign w:val="bottom"/>
            <w:tcBorders>
              <w:bottom w:val="single" w:sz="8" w:color="582C83"/>
            </w:tcBorders>
          </w:tcPr>
          <w:p>
            <w:pPr>
              <w:spacing w:after="0"/>
              <w:rPr>
                <w:sz w:val="3"/>
                <w:szCs w:val="3"/>
                <w:color w:val="auto"/>
              </w:rPr>
            </w:pPr>
          </w:p>
        </w:tc>
        <w:tc>
          <w:tcPr>
            <w:tcW w:w="1180" w:type="dxa"/>
            <w:vAlign w:val="bottom"/>
            <w:tcBorders>
              <w:bottom w:val="single" w:sz="8" w:color="582C83"/>
            </w:tcBorders>
          </w:tcPr>
          <w:p>
            <w:pPr>
              <w:spacing w:after="0"/>
              <w:rPr>
                <w:sz w:val="3"/>
                <w:szCs w:val="3"/>
                <w:color w:val="auto"/>
              </w:rPr>
            </w:pPr>
          </w:p>
        </w:tc>
        <w:tc>
          <w:tcPr>
            <w:tcW w:w="20" w:type="dxa"/>
            <w:vAlign w:val="bottom"/>
            <w:tcBorders>
              <w:bottom w:val="single" w:sz="8" w:color="582C83"/>
            </w:tcBorders>
          </w:tcPr>
          <w:p>
            <w:pPr>
              <w:spacing w:after="0"/>
              <w:rPr>
                <w:sz w:val="3"/>
                <w:szCs w:val="3"/>
                <w:color w:val="auto"/>
              </w:rPr>
            </w:pPr>
          </w:p>
        </w:tc>
      </w:tr>
      <w:tr>
        <w:trPr>
          <w:trHeight w:val="318"/>
        </w:trPr>
        <w:tc>
          <w:tcPr>
            <w:tcW w:w="586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Ms. Stein</w:t>
            </w:r>
            <w:r>
              <w:rPr>
                <w:rFonts w:ascii="Arial" w:cs="Arial" w:eastAsia="Arial" w:hAnsi="Arial"/>
                <w:sz w:val="21"/>
                <w:szCs w:val="21"/>
                <w:color w:val="auto"/>
                <w:vertAlign w:val="superscript"/>
              </w:rPr>
              <w:t>(3)</w:t>
            </w:r>
          </w:p>
        </w:tc>
        <w:tc>
          <w:tcPr>
            <w:tcW w:w="79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24,060</w:t>
            </w:r>
          </w:p>
        </w:tc>
        <w:tc>
          <w:tcPr>
            <w:tcW w:w="830" w:type="dxa"/>
            <w:vAlign w:val="bottom"/>
            <w:tcBorders>
              <w:bottom w:val="single" w:sz="8" w:color="582C83"/>
            </w:tcBorders>
            <w:shd w:val="clear" w:color="auto" w:fill="EBE6F0"/>
          </w:tcPr>
          <w:p>
            <w:pPr>
              <w:spacing w:after="0"/>
              <w:rPr>
                <w:sz w:val="24"/>
                <w:szCs w:val="24"/>
                <w:color w:val="auto"/>
              </w:rPr>
            </w:pPr>
          </w:p>
        </w:tc>
        <w:tc>
          <w:tcPr>
            <w:tcW w:w="9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1,350,000</w:t>
            </w:r>
          </w:p>
        </w:tc>
        <w:tc>
          <w:tcPr>
            <w:tcW w:w="220" w:type="dxa"/>
            <w:vAlign w:val="bottom"/>
            <w:tcBorders>
              <w:bottom w:val="single" w:sz="8" w:color="582C83"/>
            </w:tcBorders>
            <w:shd w:val="clear" w:color="auto" w:fill="EBE6F0"/>
          </w:tcPr>
          <w:p>
            <w:pPr>
              <w:spacing w:after="0"/>
              <w:rPr>
                <w:sz w:val="24"/>
                <w:szCs w:val="24"/>
                <w:color w:val="auto"/>
              </w:rPr>
            </w:pPr>
          </w:p>
        </w:tc>
        <w:tc>
          <w:tcPr>
            <w:tcW w:w="1400" w:type="dxa"/>
            <w:vAlign w:val="bottom"/>
            <w:tcBorders>
              <w:bottom w:val="single" w:sz="8" w:color="582C83"/>
            </w:tcBorders>
            <w:shd w:val="clear" w:color="auto" w:fill="EBE6F0"/>
          </w:tcPr>
          <w:p>
            <w:pPr>
              <w:jc w:val="right"/>
              <w:ind w:right="592"/>
              <w:spacing w:after="0"/>
              <w:rPr>
                <w:sz w:val="20"/>
                <w:szCs w:val="20"/>
                <w:color w:val="auto"/>
              </w:rPr>
            </w:pPr>
            <w:r>
              <w:rPr>
                <w:rFonts w:ascii="Arial" w:cs="Arial" w:eastAsia="Arial" w:hAnsi="Arial"/>
                <w:sz w:val="18"/>
                <w:szCs w:val="18"/>
                <w:color w:val="auto"/>
              </w:rPr>
              <w:t>40,090</w:t>
            </w:r>
          </w:p>
        </w:tc>
        <w:tc>
          <w:tcPr>
            <w:tcW w:w="118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450,000</w:t>
            </w:r>
          </w:p>
        </w:tc>
        <w:tc>
          <w:tcPr>
            <w:tcW w:w="20" w:type="dxa"/>
            <w:vAlign w:val="bottom"/>
            <w:tcBorders>
              <w:bottom w:val="single" w:sz="8" w:color="582C83"/>
            </w:tcBorders>
            <w:shd w:val="clear" w:color="auto" w:fill="EBE6F0"/>
          </w:tcPr>
          <w:p>
            <w:pPr>
              <w:spacing w:after="0"/>
              <w:rPr>
                <w:sz w:val="24"/>
                <w:szCs w:val="24"/>
                <w:color w:val="auto"/>
              </w:rPr>
            </w:pPr>
          </w:p>
        </w:tc>
      </w:tr>
    </w:tbl>
    <w:p>
      <w:pPr>
        <w:spacing w:after="0" w:line="107" w:lineRule="exact"/>
        <w:rPr>
          <w:sz w:val="20"/>
          <w:szCs w:val="20"/>
          <w:color w:val="auto"/>
        </w:rPr>
      </w:pPr>
    </w:p>
    <w:p>
      <w:pPr>
        <w:ind w:left="420" w:right="280" w:hanging="345"/>
        <w:spacing w:after="0" w:line="272"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grant date for the annual equity grants was February 18, 2021. Grants of PSUs are reflected at target since actual shares earned, if any, will be determined after the three-year performance cycle ending on December 31, 2023.</w:t>
      </w:r>
    </w:p>
    <w:p>
      <w:pPr>
        <w:spacing w:after="0" w:line="1" w:lineRule="exact"/>
        <w:rPr>
          <w:rFonts w:ascii="Arial" w:cs="Arial" w:eastAsia="Arial" w:hAnsi="Arial"/>
          <w:sz w:val="16"/>
          <w:szCs w:val="16"/>
          <w:color w:val="auto"/>
        </w:rPr>
      </w:pPr>
    </w:p>
    <w:p>
      <w:pPr>
        <w:ind w:left="420" w:right="260" w:hanging="345"/>
        <w:spacing w:after="0" w:line="272"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 approved by the People and Compensation Committee; differs from the value in the “Grants of Plan-Based Awards” (“GOPBA”) table which represents the accounting value of the award.</w:t>
      </w:r>
    </w:p>
    <w:p>
      <w:pPr>
        <w:spacing w:after="0" w:line="1" w:lineRule="exact"/>
        <w:rPr>
          <w:rFonts w:ascii="Arial" w:cs="Arial" w:eastAsia="Arial" w:hAnsi="Arial"/>
          <w:sz w:val="16"/>
          <w:szCs w:val="16"/>
          <w:color w:val="auto"/>
        </w:rPr>
      </w:pPr>
    </w:p>
    <w:p>
      <w:pPr>
        <w:ind w:left="420" w:right="400" w:hanging="345"/>
        <w:spacing w:after="0" w:line="266"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Ms. Stein also received an equity grant on her January 11, 2021 employment start date to offset loss of certain compensation from her previous employer and to incent her to join the company. See page 81 under EVP, CLA and General Counsel Recruitment Package for more details on this grant.</w:t>
      </w:r>
    </w:p>
    <w:p>
      <w:pPr>
        <w:spacing w:after="0" w:line="186"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color w:val="auto"/>
        </w:rPr>
        <w:t>We present the actual equity grants, including grant date fair value, in the 2021 Summary Compensation Table and 2021 GOPBA table under “Executive Compensation Tables” beginning on page 89. Our 2021 annual equity grant date was the regularly scheduled People and Compensation Committee meeting following the release of our annual financial results. The exercise price for all stock option grants equals the closing stock price on the grant date</w:t>
      </w:r>
      <w:r>
        <w:rPr>
          <w:rFonts w:ascii="Arial" w:cs="Arial" w:eastAsia="Arial" w:hAnsi="Arial"/>
          <w:sz w:val="21"/>
          <w:szCs w:val="21"/>
          <w:i w:val="1"/>
          <w:iCs w:val="1"/>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Performance Share Units (75%)</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48" w:lineRule="exact"/>
        <w:rPr>
          <w:sz w:val="20"/>
          <w:szCs w:val="20"/>
          <w:color w:val="auto"/>
        </w:rPr>
      </w:pPr>
    </w:p>
    <w:p>
      <w:pPr>
        <w:ind w:right="240"/>
        <w:spacing w:after="0" w:line="245" w:lineRule="auto"/>
        <w:rPr>
          <w:sz w:val="20"/>
          <w:szCs w:val="20"/>
          <w:color w:val="auto"/>
        </w:rPr>
      </w:pPr>
      <w:r>
        <w:rPr>
          <w:rFonts w:ascii="Arial" w:cs="Arial" w:eastAsia="Arial" w:hAnsi="Arial"/>
          <w:sz w:val="22"/>
          <w:szCs w:val="22"/>
          <w:color w:val="auto"/>
        </w:rPr>
        <w:t>The People and Compensation Committee grants PSUs as a part of the equity grant to motivate executives to achieve or exceed our long-term financial goals and deliver top-tier shareholder returns. Each NEO’s target number of PSUs is based on 75% of the total annual equity grant value.</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The People and Compensation Committee approves performance targets for a three-year performance cycle when it grants PSUs. At the end of the three-year performance cycle, the grants will only vest if the People and Compensation Committee certifies that Company results meet or exceed the performance thresholds set at the beginning of the cycle. The number of shares earned by an executive depends on the Company’s achievement of key financial measures and annualized TSR relative to the median of our Performance Peer Group. Vested PSUs are settled in shares of our Common Stock in the first quarter following the end of the performance cycle. Dividend equivalents accrue during the performance period and are paid in cash after the shares are issued based on the actual number of shares earned. We did not make any material changes to our PSU program in 2021.</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After vesting, executives must hold net shares acquired for at least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2021-2023 Metrics and Weighting</w:t>
      </w:r>
    </w:p>
    <w:p>
      <w:pPr>
        <w:spacing w:after="0" w:line="51"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The table below describes the performance measures and weightings for the 2021-2023 PSUs and outlines how those measures align with our strategy. In selecting the metrics, the People and Compensation Committee seeks to incentivize behavior consistent with achieving our long-term growth objectives and to align the interests of our executives with the interests of our shareholders. The People and Compensation Committee uses Organic Net Revenue Growth and Adjusted EPS Growth because these two metrics promote growth and overall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82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Measures</w:t>
            </w:r>
          </w:p>
        </w:tc>
        <w:tc>
          <w:tcPr>
            <w:tcW w:w="1690" w:type="dxa"/>
            <w:vAlign w:val="bottom"/>
            <w:tcBorders>
              <w:bottom w:val="single" w:sz="8" w:color="582C83"/>
            </w:tcBorders>
          </w:tcPr>
          <w:p>
            <w:pPr>
              <w:jc w:val="center"/>
              <w:spacing w:after="0"/>
              <w:rPr>
                <w:sz w:val="20"/>
                <w:szCs w:val="20"/>
                <w:color w:val="auto"/>
              </w:rPr>
            </w:pPr>
            <w:r>
              <w:rPr>
                <w:rFonts w:ascii="Arial" w:cs="Arial" w:eastAsia="Arial" w:hAnsi="Arial"/>
                <w:sz w:val="18"/>
                <w:szCs w:val="18"/>
                <w:b w:val="1"/>
                <w:bCs w:val="1"/>
                <w:color w:val="auto"/>
                <w:w w:val="96"/>
              </w:rPr>
              <w:t>Weighting</w:t>
            </w:r>
          </w:p>
        </w:tc>
        <w:tc>
          <w:tcPr>
            <w:tcW w:w="6750" w:type="dxa"/>
            <w:vAlign w:val="bottom"/>
            <w:tcBorders>
              <w:bottom w:val="single" w:sz="8" w:color="582C83"/>
            </w:tcBorders>
          </w:tcPr>
          <w:p>
            <w:pPr>
              <w:ind w:left="70"/>
              <w:spacing w:after="0"/>
              <w:rPr>
                <w:sz w:val="20"/>
                <w:szCs w:val="20"/>
                <w:color w:val="auto"/>
              </w:rPr>
            </w:pPr>
            <w:r>
              <w:rPr>
                <w:rFonts w:ascii="Arial" w:cs="Arial" w:eastAsia="Arial" w:hAnsi="Arial"/>
                <w:sz w:val="18"/>
                <w:szCs w:val="18"/>
                <w:b w:val="1"/>
                <w:bCs w:val="1"/>
                <w:color w:val="auto"/>
              </w:rPr>
              <w:t>Alignment with Strategy</w:t>
            </w:r>
          </w:p>
        </w:tc>
      </w:tr>
      <w:tr>
        <w:trPr>
          <w:trHeight w:val="244"/>
        </w:trPr>
        <w:tc>
          <w:tcPr>
            <w:tcW w:w="2820" w:type="dxa"/>
            <w:vAlign w:val="bottom"/>
            <w:shd w:val="clear" w:color="auto" w:fill="EBE6F0"/>
          </w:tcPr>
          <w:p>
            <w:pPr>
              <w:ind w:left="80"/>
              <w:spacing w:after="0"/>
              <w:rPr>
                <w:sz w:val="20"/>
                <w:szCs w:val="20"/>
                <w:color w:val="auto"/>
              </w:rPr>
            </w:pPr>
            <w:r>
              <w:rPr>
                <w:rFonts w:ascii="Arial" w:cs="Arial" w:eastAsia="Arial" w:hAnsi="Arial"/>
                <w:sz w:val="18"/>
                <w:szCs w:val="18"/>
                <w:color w:val="auto"/>
              </w:rPr>
              <w:t>Organic Net Revenue Growth</w:t>
            </w:r>
          </w:p>
        </w:tc>
        <w:tc>
          <w:tcPr>
            <w:tcW w:w="1690" w:type="dxa"/>
            <w:vAlign w:val="bottom"/>
            <w:shd w:val="clear" w:color="auto" w:fill="EBE6F0"/>
          </w:tcPr>
          <w:p>
            <w:pPr>
              <w:jc w:val="center"/>
              <w:spacing w:after="0"/>
              <w:rPr>
                <w:sz w:val="20"/>
                <w:szCs w:val="20"/>
                <w:color w:val="auto"/>
              </w:rPr>
            </w:pPr>
            <w:r>
              <w:rPr>
                <w:rFonts w:ascii="Arial" w:cs="Arial" w:eastAsia="Arial" w:hAnsi="Arial"/>
                <w:sz w:val="18"/>
                <w:szCs w:val="18"/>
                <w:color w:val="auto"/>
                <w:w w:val="94"/>
              </w:rPr>
              <w:t>25%</w:t>
            </w:r>
          </w:p>
        </w:tc>
        <w:tc>
          <w:tcPr>
            <w:tcW w:w="6750" w:type="dxa"/>
            <w:vAlign w:val="bottom"/>
            <w:shd w:val="clear" w:color="auto" w:fill="EBE6F0"/>
          </w:tcPr>
          <w:p>
            <w:pPr>
              <w:ind w:left="70"/>
              <w:spacing w:after="0"/>
              <w:rPr>
                <w:sz w:val="20"/>
                <w:szCs w:val="20"/>
                <w:color w:val="auto"/>
              </w:rPr>
            </w:pPr>
            <w:r>
              <w:rPr>
                <w:rFonts w:ascii="Arial" w:cs="Arial" w:eastAsia="Arial" w:hAnsi="Arial"/>
                <w:sz w:val="18"/>
                <w:szCs w:val="18"/>
                <w:color w:val="auto"/>
              </w:rPr>
              <w:t>Incentivize growth over the long-term; also a key objective of our growth-oriented</w:t>
            </w:r>
          </w:p>
        </w:tc>
      </w:tr>
      <w:tr>
        <w:trPr>
          <w:trHeight w:val="263"/>
        </w:trPr>
        <w:tc>
          <w:tcPr>
            <w:tcW w:w="2820" w:type="dxa"/>
            <w:vAlign w:val="bottom"/>
            <w:tcBorders>
              <w:bottom w:val="single" w:sz="8" w:color="EBE6F0"/>
            </w:tcBorders>
            <w:shd w:val="clear" w:color="auto" w:fill="EBE6F0"/>
          </w:tcPr>
          <w:p>
            <w:pPr>
              <w:spacing w:after="0"/>
              <w:rPr>
                <w:sz w:val="22"/>
                <w:szCs w:val="22"/>
                <w:color w:val="auto"/>
              </w:rPr>
            </w:pPr>
          </w:p>
        </w:tc>
        <w:tc>
          <w:tcPr>
            <w:tcW w:w="1690" w:type="dxa"/>
            <w:vAlign w:val="bottom"/>
            <w:tcBorders>
              <w:bottom w:val="single" w:sz="8" w:color="EBE6F0"/>
            </w:tcBorders>
            <w:shd w:val="clear" w:color="auto" w:fill="EBE6F0"/>
          </w:tcPr>
          <w:p>
            <w:pPr>
              <w:spacing w:after="0"/>
              <w:rPr>
                <w:sz w:val="22"/>
                <w:szCs w:val="22"/>
                <w:color w:val="auto"/>
              </w:rPr>
            </w:pPr>
          </w:p>
        </w:tc>
        <w:tc>
          <w:tcPr>
            <w:tcW w:w="675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18"/>
                <w:szCs w:val="18"/>
                <w:color w:val="auto"/>
              </w:rPr>
              <w:t>strategy.</w:t>
            </w:r>
          </w:p>
        </w:tc>
      </w:tr>
      <w:tr>
        <w:trPr>
          <w:trHeight w:val="244"/>
        </w:trPr>
        <w:tc>
          <w:tcPr>
            <w:tcW w:w="2820" w:type="dxa"/>
            <w:vAlign w:val="bottom"/>
          </w:tcPr>
          <w:p>
            <w:pPr>
              <w:ind w:left="80"/>
              <w:spacing w:after="0"/>
              <w:rPr>
                <w:sz w:val="20"/>
                <w:szCs w:val="20"/>
                <w:color w:val="auto"/>
              </w:rPr>
            </w:pPr>
            <w:r>
              <w:rPr>
                <w:rFonts w:ascii="Arial" w:cs="Arial" w:eastAsia="Arial" w:hAnsi="Arial"/>
                <w:sz w:val="18"/>
                <w:szCs w:val="18"/>
                <w:color w:val="auto"/>
              </w:rPr>
              <w:t>Adjusted EPS Growth</w:t>
            </w:r>
          </w:p>
        </w:tc>
        <w:tc>
          <w:tcPr>
            <w:tcW w:w="169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6750" w:type="dxa"/>
            <w:vAlign w:val="bottom"/>
          </w:tcPr>
          <w:p>
            <w:pPr>
              <w:ind w:left="70"/>
              <w:spacing w:after="0"/>
              <w:rPr>
                <w:sz w:val="20"/>
                <w:szCs w:val="20"/>
                <w:color w:val="auto"/>
              </w:rPr>
            </w:pPr>
            <w:r>
              <w:rPr>
                <w:rFonts w:ascii="Arial" w:cs="Arial" w:eastAsia="Arial" w:hAnsi="Arial"/>
                <w:sz w:val="18"/>
                <w:szCs w:val="18"/>
                <w:color w:val="auto"/>
              </w:rPr>
              <w:t>Overall measure of performance and primary driver of shareholder value creation</w:t>
            </w:r>
          </w:p>
        </w:tc>
      </w:tr>
      <w:tr>
        <w:trPr>
          <w:trHeight w:val="231"/>
        </w:trPr>
        <w:tc>
          <w:tcPr>
            <w:tcW w:w="2820" w:type="dxa"/>
            <w:vAlign w:val="bottom"/>
          </w:tcPr>
          <w:p>
            <w:pPr>
              <w:spacing w:after="0"/>
              <w:rPr>
                <w:sz w:val="20"/>
                <w:szCs w:val="20"/>
                <w:color w:val="auto"/>
              </w:rPr>
            </w:pPr>
          </w:p>
        </w:tc>
        <w:tc>
          <w:tcPr>
            <w:tcW w:w="1690" w:type="dxa"/>
            <w:vAlign w:val="bottom"/>
          </w:tcPr>
          <w:p>
            <w:pPr>
              <w:spacing w:after="0"/>
              <w:rPr>
                <w:sz w:val="20"/>
                <w:szCs w:val="20"/>
                <w:color w:val="auto"/>
              </w:rPr>
            </w:pPr>
          </w:p>
        </w:tc>
        <w:tc>
          <w:tcPr>
            <w:tcW w:w="6750" w:type="dxa"/>
            <w:vAlign w:val="bottom"/>
          </w:tcPr>
          <w:p>
            <w:pPr>
              <w:ind w:left="70"/>
              <w:spacing w:after="0"/>
              <w:rPr>
                <w:sz w:val="20"/>
                <w:szCs w:val="20"/>
                <w:color w:val="auto"/>
              </w:rPr>
            </w:pPr>
            <w:r>
              <w:rPr>
                <w:rFonts w:ascii="Arial" w:cs="Arial" w:eastAsia="Arial" w:hAnsi="Arial"/>
                <w:sz w:val="18"/>
                <w:szCs w:val="18"/>
                <w:color w:val="auto"/>
              </w:rPr>
              <w:t>and return on capital.</w:t>
            </w:r>
          </w:p>
        </w:tc>
      </w:tr>
      <w:tr>
        <w:trPr>
          <w:trHeight w:val="39"/>
        </w:trPr>
        <w:tc>
          <w:tcPr>
            <w:tcW w:w="2820" w:type="dxa"/>
            <w:vAlign w:val="bottom"/>
          </w:tcPr>
          <w:p>
            <w:pPr>
              <w:spacing w:after="0"/>
              <w:rPr>
                <w:sz w:val="3"/>
                <w:szCs w:val="3"/>
                <w:color w:val="auto"/>
              </w:rPr>
            </w:pPr>
          </w:p>
        </w:tc>
        <w:tc>
          <w:tcPr>
            <w:tcW w:w="1690" w:type="dxa"/>
            <w:vAlign w:val="bottom"/>
          </w:tcPr>
          <w:p>
            <w:pPr>
              <w:spacing w:after="0"/>
              <w:rPr>
                <w:sz w:val="3"/>
                <w:szCs w:val="3"/>
                <w:color w:val="auto"/>
              </w:rPr>
            </w:pPr>
          </w:p>
        </w:tc>
        <w:tc>
          <w:tcPr>
            <w:tcW w:w="6750" w:type="dxa"/>
            <w:vAlign w:val="bottom"/>
          </w:tcPr>
          <w:p>
            <w:pPr>
              <w:spacing w:after="0"/>
              <w:rPr>
                <w:sz w:val="3"/>
                <w:szCs w:val="3"/>
                <w:color w:val="auto"/>
              </w:rPr>
            </w:pPr>
          </w:p>
        </w:tc>
      </w:tr>
      <w:tr>
        <w:trPr>
          <w:trHeight w:val="304"/>
        </w:trPr>
        <w:tc>
          <w:tcPr>
            <w:tcW w:w="28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Annualized Relative TSR</w:t>
            </w:r>
          </w:p>
        </w:tc>
        <w:tc>
          <w:tcPr>
            <w:tcW w:w="1690" w:type="dxa"/>
            <w:vAlign w:val="bottom"/>
            <w:tcBorders>
              <w:bottom w:val="single" w:sz="8" w:color="EBE6F0"/>
            </w:tcBorders>
            <w:shd w:val="clear" w:color="auto" w:fill="EBE6F0"/>
          </w:tcPr>
          <w:p>
            <w:pPr>
              <w:jc w:val="center"/>
              <w:spacing w:after="0"/>
              <w:rPr>
                <w:sz w:val="20"/>
                <w:szCs w:val="20"/>
                <w:color w:val="auto"/>
              </w:rPr>
            </w:pPr>
            <w:r>
              <w:rPr>
                <w:rFonts w:ascii="Arial" w:cs="Arial" w:eastAsia="Arial" w:hAnsi="Arial"/>
                <w:sz w:val="18"/>
                <w:szCs w:val="18"/>
                <w:color w:val="auto"/>
                <w:w w:val="94"/>
              </w:rPr>
              <w:t>50%</w:t>
            </w:r>
          </w:p>
        </w:tc>
        <w:tc>
          <w:tcPr>
            <w:tcW w:w="675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18"/>
                <w:szCs w:val="18"/>
                <w:color w:val="auto"/>
              </w:rPr>
              <w:t>Directly link awards to shareholder value creation and performance versus peers.</w:t>
            </w:r>
          </w:p>
        </w:tc>
      </w:tr>
      <w:tr>
        <w:trPr>
          <w:trHeight w:val="27"/>
        </w:trPr>
        <w:tc>
          <w:tcPr>
            <w:tcW w:w="2820" w:type="dxa"/>
            <w:vAlign w:val="bottom"/>
            <w:shd w:val="clear" w:color="auto" w:fill="582C83"/>
          </w:tcPr>
          <w:p>
            <w:pPr>
              <w:spacing w:after="0"/>
              <w:rPr>
                <w:sz w:val="2"/>
                <w:szCs w:val="2"/>
                <w:color w:val="auto"/>
              </w:rPr>
            </w:pPr>
          </w:p>
        </w:tc>
        <w:tc>
          <w:tcPr>
            <w:tcW w:w="1690" w:type="dxa"/>
            <w:vAlign w:val="bottom"/>
            <w:shd w:val="clear" w:color="auto" w:fill="582C83"/>
          </w:tcPr>
          <w:p>
            <w:pPr>
              <w:spacing w:after="0"/>
              <w:rPr>
                <w:sz w:val="2"/>
                <w:szCs w:val="2"/>
                <w:color w:val="auto"/>
              </w:rPr>
            </w:pPr>
          </w:p>
        </w:tc>
        <w:tc>
          <w:tcPr>
            <w:tcW w:w="6750" w:type="dxa"/>
            <w:vAlign w:val="bottom"/>
            <w:shd w:val="clear" w:color="auto" w:fill="582C83"/>
          </w:tcPr>
          <w:p>
            <w:pPr>
              <w:spacing w:after="0"/>
              <w:rPr>
                <w:sz w:val="2"/>
                <w:szCs w:val="2"/>
                <w:color w:val="auto"/>
              </w:rPr>
            </w:pPr>
          </w:p>
        </w:tc>
      </w:tr>
    </w:tbl>
    <w:p>
      <w:pPr>
        <w:spacing w:after="0" w:line="176"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color w:val="auto"/>
        </w:rPr>
        <w:t>At the end of the performance cycle, the number of shares actually earned may range from 0% to 200% of the target number of PSUs granted. The number of shares that may be earned against each measure, as a percentage of target, at threshold, target and maximum performance levels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09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Metric Achievement:</w:t>
            </w:r>
          </w:p>
        </w:tc>
        <w:tc>
          <w:tcPr>
            <w:tcW w:w="1690" w:type="dxa"/>
            <w:vAlign w:val="bottom"/>
            <w:tcBorders>
              <w:bottom w:val="single" w:sz="8" w:color="582C83"/>
            </w:tcBorders>
          </w:tcPr>
          <w:p>
            <w:pPr>
              <w:jc w:val="center"/>
              <w:spacing w:after="0"/>
              <w:rPr>
                <w:sz w:val="20"/>
                <w:szCs w:val="20"/>
                <w:color w:val="auto"/>
              </w:rPr>
            </w:pPr>
            <w:r>
              <w:rPr>
                <w:rFonts w:ascii="Arial" w:cs="Arial" w:eastAsia="Arial" w:hAnsi="Arial"/>
                <w:sz w:val="18"/>
                <w:szCs w:val="18"/>
                <w:b w:val="1"/>
                <w:bCs w:val="1"/>
                <w:color w:val="auto"/>
                <w:w w:val="97"/>
              </w:rPr>
              <w:t>Below Threshold</w:t>
            </w:r>
          </w:p>
        </w:tc>
        <w:tc>
          <w:tcPr>
            <w:tcW w:w="1120" w:type="dxa"/>
            <w:vAlign w:val="bottom"/>
            <w:tcBorders>
              <w:bottom w:val="single" w:sz="8" w:color="582C83"/>
            </w:tcBorders>
          </w:tcPr>
          <w:p>
            <w:pPr>
              <w:jc w:val="center"/>
              <w:spacing w:after="0"/>
              <w:rPr>
                <w:sz w:val="20"/>
                <w:szCs w:val="20"/>
                <w:color w:val="auto"/>
              </w:rPr>
            </w:pPr>
            <w:r>
              <w:rPr>
                <w:rFonts w:ascii="Arial" w:cs="Arial" w:eastAsia="Arial" w:hAnsi="Arial"/>
                <w:sz w:val="18"/>
                <w:szCs w:val="18"/>
                <w:b w:val="1"/>
                <w:bCs w:val="1"/>
                <w:color w:val="auto"/>
                <w:w w:val="98"/>
              </w:rPr>
              <w:t>Threshold</w:t>
            </w:r>
          </w:p>
        </w:tc>
        <w:tc>
          <w:tcPr>
            <w:tcW w:w="1330" w:type="dxa"/>
            <w:vAlign w:val="bottom"/>
            <w:tcBorders>
              <w:bottom w:val="single" w:sz="8" w:color="582C83"/>
            </w:tcBorders>
          </w:tcPr>
          <w:p>
            <w:pPr>
              <w:jc w:val="center"/>
              <w:spacing w:after="0"/>
              <w:rPr>
                <w:sz w:val="20"/>
                <w:szCs w:val="20"/>
                <w:color w:val="auto"/>
              </w:rPr>
            </w:pPr>
            <w:r>
              <w:rPr>
                <w:rFonts w:ascii="Arial" w:cs="Arial" w:eastAsia="Arial" w:hAnsi="Arial"/>
                <w:sz w:val="18"/>
                <w:szCs w:val="18"/>
                <w:b w:val="1"/>
                <w:bCs w:val="1"/>
                <w:color w:val="auto"/>
                <w:w w:val="94"/>
              </w:rPr>
              <w:t>Target</w:t>
            </w:r>
          </w:p>
        </w:tc>
        <w:tc>
          <w:tcPr>
            <w:tcW w:w="1030" w:type="dxa"/>
            <w:vAlign w:val="bottom"/>
            <w:tcBorders>
              <w:bottom w:val="single" w:sz="8" w:color="582C83"/>
            </w:tcBorders>
          </w:tcPr>
          <w:p>
            <w:pPr>
              <w:jc w:val="center"/>
              <w:spacing w:after="0"/>
              <w:rPr>
                <w:sz w:val="20"/>
                <w:szCs w:val="20"/>
                <w:color w:val="auto"/>
              </w:rPr>
            </w:pPr>
            <w:r>
              <w:rPr>
                <w:rFonts w:ascii="Arial" w:cs="Arial" w:eastAsia="Arial" w:hAnsi="Arial"/>
                <w:sz w:val="18"/>
                <w:szCs w:val="18"/>
                <w:b w:val="1"/>
                <w:bCs w:val="1"/>
                <w:color w:val="auto"/>
                <w:w w:val="96"/>
              </w:rPr>
              <w:t>Max</w:t>
            </w:r>
          </w:p>
        </w:tc>
      </w:tr>
      <w:tr>
        <w:trPr>
          <w:trHeight w:val="291"/>
        </w:trPr>
        <w:tc>
          <w:tcPr>
            <w:tcW w:w="609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Shares Earned (as a percentage of target):</w:t>
            </w:r>
          </w:p>
        </w:tc>
        <w:tc>
          <w:tcPr>
            <w:tcW w:w="1690" w:type="dxa"/>
            <w:vAlign w:val="bottom"/>
            <w:tcBorders>
              <w:bottom w:val="single" w:sz="8" w:color="EBE6F0"/>
            </w:tcBorders>
            <w:shd w:val="clear" w:color="auto" w:fill="EBE6F0"/>
          </w:tcPr>
          <w:p>
            <w:pPr>
              <w:jc w:val="right"/>
              <w:ind w:right="632"/>
              <w:spacing w:after="0"/>
              <w:rPr>
                <w:sz w:val="20"/>
                <w:szCs w:val="20"/>
                <w:color w:val="auto"/>
              </w:rPr>
            </w:pPr>
            <w:r>
              <w:rPr>
                <w:rFonts w:ascii="Arial" w:cs="Arial" w:eastAsia="Arial" w:hAnsi="Arial"/>
                <w:sz w:val="18"/>
                <w:szCs w:val="18"/>
                <w:color w:val="auto"/>
              </w:rPr>
              <w:t>0%</w:t>
            </w:r>
          </w:p>
        </w:tc>
        <w:tc>
          <w:tcPr>
            <w:tcW w:w="1120" w:type="dxa"/>
            <w:vAlign w:val="bottom"/>
            <w:tcBorders>
              <w:bottom w:val="single" w:sz="8" w:color="EBE6F0"/>
            </w:tcBorders>
            <w:shd w:val="clear" w:color="auto" w:fill="EBE6F0"/>
          </w:tcPr>
          <w:p>
            <w:pPr>
              <w:jc w:val="right"/>
              <w:ind w:right="292"/>
              <w:spacing w:after="0"/>
              <w:rPr>
                <w:sz w:val="20"/>
                <w:szCs w:val="20"/>
                <w:color w:val="auto"/>
              </w:rPr>
            </w:pPr>
            <w:r>
              <w:rPr>
                <w:rFonts w:ascii="Arial" w:cs="Arial" w:eastAsia="Arial" w:hAnsi="Arial"/>
                <w:sz w:val="18"/>
                <w:szCs w:val="18"/>
                <w:color w:val="auto"/>
              </w:rPr>
              <w:t>50%</w:t>
            </w:r>
          </w:p>
        </w:tc>
        <w:tc>
          <w:tcPr>
            <w:tcW w:w="1330" w:type="dxa"/>
            <w:vAlign w:val="bottom"/>
            <w:tcBorders>
              <w:bottom w:val="single" w:sz="8" w:color="EBE6F0"/>
            </w:tcBorders>
            <w:shd w:val="clear" w:color="auto" w:fill="EBE6F0"/>
          </w:tcPr>
          <w:p>
            <w:pPr>
              <w:jc w:val="right"/>
              <w:ind w:right="342"/>
              <w:spacing w:after="0"/>
              <w:rPr>
                <w:sz w:val="20"/>
                <w:szCs w:val="20"/>
                <w:color w:val="auto"/>
              </w:rPr>
            </w:pPr>
            <w:r>
              <w:rPr>
                <w:rFonts w:ascii="Arial" w:cs="Arial" w:eastAsia="Arial" w:hAnsi="Arial"/>
                <w:sz w:val="18"/>
                <w:szCs w:val="18"/>
                <w:color w:val="auto"/>
              </w:rPr>
              <w:t>100%</w:t>
            </w:r>
          </w:p>
        </w:tc>
        <w:tc>
          <w:tcPr>
            <w:tcW w:w="103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200%</w:t>
            </w:r>
          </w:p>
        </w:tc>
      </w:tr>
      <w:tr>
        <w:trPr>
          <w:trHeight w:val="27"/>
        </w:trPr>
        <w:tc>
          <w:tcPr>
            <w:tcW w:w="6090" w:type="dxa"/>
            <w:vAlign w:val="bottom"/>
            <w:shd w:val="clear" w:color="auto" w:fill="582C83"/>
          </w:tcPr>
          <w:p>
            <w:pPr>
              <w:spacing w:after="0"/>
              <w:rPr>
                <w:sz w:val="2"/>
                <w:szCs w:val="2"/>
                <w:color w:val="auto"/>
              </w:rPr>
            </w:pPr>
          </w:p>
        </w:tc>
        <w:tc>
          <w:tcPr>
            <w:tcW w:w="1690" w:type="dxa"/>
            <w:vAlign w:val="bottom"/>
            <w:shd w:val="clear" w:color="auto" w:fill="582C83"/>
          </w:tcPr>
          <w:p>
            <w:pPr>
              <w:spacing w:after="0"/>
              <w:rPr>
                <w:sz w:val="2"/>
                <w:szCs w:val="2"/>
                <w:color w:val="auto"/>
              </w:rPr>
            </w:pPr>
          </w:p>
        </w:tc>
        <w:tc>
          <w:tcPr>
            <w:tcW w:w="1120" w:type="dxa"/>
            <w:vAlign w:val="bottom"/>
            <w:shd w:val="clear" w:color="auto" w:fill="582C83"/>
          </w:tcPr>
          <w:p>
            <w:pPr>
              <w:spacing w:after="0"/>
              <w:rPr>
                <w:sz w:val="2"/>
                <w:szCs w:val="2"/>
                <w:color w:val="auto"/>
              </w:rPr>
            </w:pPr>
          </w:p>
        </w:tc>
        <w:tc>
          <w:tcPr>
            <w:tcW w:w="1330" w:type="dxa"/>
            <w:vAlign w:val="bottom"/>
            <w:shd w:val="clear" w:color="auto" w:fill="582C83"/>
          </w:tcPr>
          <w:p>
            <w:pPr>
              <w:spacing w:after="0"/>
              <w:rPr>
                <w:sz w:val="2"/>
                <w:szCs w:val="2"/>
                <w:color w:val="auto"/>
              </w:rPr>
            </w:pPr>
          </w:p>
        </w:tc>
        <w:tc>
          <w:tcPr>
            <w:tcW w:w="1030" w:type="dxa"/>
            <w:vAlign w:val="bottom"/>
            <w:shd w:val="clear" w:color="auto" w:fill="582C83"/>
          </w:tcPr>
          <w:p>
            <w:pPr>
              <w:spacing w:after="0"/>
              <w:rPr>
                <w:sz w:val="2"/>
                <w:szCs w:val="2"/>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2021-2023 Targets and Target Setting Process</w:t>
      </w:r>
    </w:p>
    <w:p>
      <w:pPr>
        <w:spacing w:after="0" w:line="51"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For the 2021-2023 PSU grant, the target set for Annualized Relative TSR is the 55th percentile of the Performance Peer Group. The People and Compensation Committee sets our financial performance targets for Organic Net Revenue Growth and Adjusted EPS Growth based on annual average growth rates while also taking into consideration our long-term strategic plan and external guidance.</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Although we do not prospectively disclose specific financial performance targets, we do disclose them retrospectively, along with results, at the end of each performance cycle (see “2019-2021 Performance Cycle Results and Shares Earned” on page 80). Revealing specific targets prospectively would provide competitors and other third parties with insights into our confidential planning process and strategies and potentially harm us competitively. We design our financial performance targets to be challenging, and there is no guarantee that any shares will be earned or that grants will pay out at or above target.</w:t>
      </w:r>
    </w:p>
    <w:p>
      <w:pPr>
        <w:spacing w:after="0" w:line="155" w:lineRule="exact"/>
        <w:rPr>
          <w:sz w:val="20"/>
          <w:szCs w:val="20"/>
          <w:color w:val="auto"/>
        </w:rPr>
      </w:pPr>
    </w:p>
    <w:p>
      <w:pPr>
        <w:ind w:right="540"/>
        <w:spacing w:after="0" w:line="245" w:lineRule="auto"/>
        <w:rPr>
          <w:sz w:val="20"/>
          <w:szCs w:val="20"/>
          <w:color w:val="auto"/>
        </w:rPr>
      </w:pPr>
      <w:r>
        <w:rPr>
          <w:rFonts w:ascii="Arial" w:cs="Arial" w:eastAsia="Arial" w:hAnsi="Arial"/>
          <w:sz w:val="22"/>
          <w:szCs w:val="22"/>
          <w:color w:val="auto"/>
        </w:rPr>
        <w:t>We provide directional guidance to assist shareholders in determining if our prospective performance targets are rigorous when evaluating our compensation programs. Below is the directional guidance on the prospective performance target, threshold and maximum for each metric in our 2021-2023 performance cycle.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73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Metrics</w:t>
            </w:r>
          </w:p>
        </w:tc>
        <w:tc>
          <w:tcPr>
            <w:tcW w:w="3040" w:type="dxa"/>
            <w:vAlign w:val="bottom"/>
            <w:tcBorders>
              <w:bottom w:val="single" w:sz="8" w:color="582C83"/>
            </w:tcBorders>
          </w:tcPr>
          <w:p>
            <w:pPr>
              <w:jc w:val="right"/>
              <w:ind w:right="1222"/>
              <w:spacing w:after="0"/>
              <w:rPr>
                <w:sz w:val="20"/>
                <w:szCs w:val="20"/>
                <w:color w:val="auto"/>
              </w:rPr>
            </w:pPr>
            <w:r>
              <w:rPr>
                <w:rFonts w:ascii="Arial" w:cs="Arial" w:eastAsia="Arial" w:hAnsi="Arial"/>
                <w:sz w:val="18"/>
                <w:szCs w:val="18"/>
                <w:b w:val="1"/>
                <w:bCs w:val="1"/>
                <w:color w:val="auto"/>
              </w:rPr>
              <w:t>Threshold</w:t>
            </w:r>
          </w:p>
        </w:tc>
        <w:tc>
          <w:tcPr>
            <w:tcW w:w="2680" w:type="dxa"/>
            <w:vAlign w:val="bottom"/>
            <w:tcBorders>
              <w:bottom w:val="single" w:sz="8" w:color="582C83"/>
            </w:tcBorders>
          </w:tcPr>
          <w:p>
            <w:pPr>
              <w:ind w:left="50"/>
              <w:spacing w:after="0"/>
              <w:rPr>
                <w:sz w:val="20"/>
                <w:szCs w:val="20"/>
                <w:color w:val="auto"/>
              </w:rPr>
            </w:pPr>
            <w:r>
              <w:rPr>
                <w:rFonts w:ascii="Arial" w:cs="Arial" w:eastAsia="Arial" w:hAnsi="Arial"/>
                <w:sz w:val="18"/>
                <w:szCs w:val="18"/>
                <w:b w:val="1"/>
                <w:bCs w:val="1"/>
                <w:color w:val="auto"/>
              </w:rPr>
              <w:t>Target</w:t>
            </w:r>
          </w:p>
        </w:tc>
        <w:tc>
          <w:tcPr>
            <w:tcW w:w="181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Max</w:t>
            </w:r>
          </w:p>
        </w:tc>
      </w:tr>
      <w:tr>
        <w:trPr>
          <w:trHeight w:val="323"/>
        </w:trPr>
        <w:tc>
          <w:tcPr>
            <w:tcW w:w="373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Organic Net Revenue Growth</w:t>
            </w:r>
          </w:p>
        </w:tc>
        <w:tc>
          <w:tcPr>
            <w:tcW w:w="3040" w:type="dxa"/>
            <w:vAlign w:val="bottom"/>
            <w:tcBorders>
              <w:bottom w:val="single" w:sz="8" w:color="EBE6F0"/>
            </w:tcBorders>
            <w:shd w:val="clear" w:color="auto" w:fill="EBE6F0"/>
          </w:tcPr>
          <w:p>
            <w:pPr>
              <w:jc w:val="right"/>
              <w:ind w:right="1222"/>
              <w:spacing w:after="0"/>
              <w:rPr>
                <w:sz w:val="20"/>
                <w:szCs w:val="20"/>
                <w:color w:val="auto"/>
              </w:rPr>
            </w:pPr>
            <w:r>
              <w:rPr>
                <w:rFonts w:ascii="Arial" w:cs="Arial" w:eastAsia="Arial" w:hAnsi="Arial"/>
                <w:sz w:val="18"/>
                <w:szCs w:val="18"/>
                <w:color w:val="auto"/>
              </w:rPr>
              <w:t>1.5pp below target</w:t>
            </w:r>
          </w:p>
        </w:tc>
        <w:tc>
          <w:tcPr>
            <w:tcW w:w="2680" w:type="dxa"/>
            <w:vAlign w:val="bottom"/>
            <w:tcBorders>
              <w:bottom w:val="single" w:sz="8" w:color="EBE6F0"/>
            </w:tcBorders>
            <w:shd w:val="clear" w:color="auto" w:fill="EBE6F0"/>
          </w:tcPr>
          <w:p>
            <w:pPr>
              <w:ind w:left="70"/>
              <w:spacing w:after="0"/>
              <w:rPr>
                <w:sz w:val="20"/>
                <w:szCs w:val="20"/>
                <w:color w:val="auto"/>
              </w:rPr>
            </w:pPr>
            <w:r>
              <w:rPr>
                <w:rFonts w:ascii="Arial" w:cs="Arial" w:eastAsia="Arial" w:hAnsi="Arial"/>
                <w:sz w:val="18"/>
                <w:szCs w:val="18"/>
                <w:color w:val="auto"/>
              </w:rPr>
              <w:t>Greater than 3.5%</w:t>
            </w:r>
          </w:p>
        </w:tc>
        <w:tc>
          <w:tcPr>
            <w:tcW w:w="181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1.2pp above target</w:t>
            </w:r>
          </w:p>
        </w:tc>
      </w:tr>
      <w:tr>
        <w:trPr>
          <w:trHeight w:val="272"/>
        </w:trPr>
        <w:tc>
          <w:tcPr>
            <w:tcW w:w="373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Adjusted EPS Growth</w:t>
            </w:r>
          </w:p>
        </w:tc>
        <w:tc>
          <w:tcPr>
            <w:tcW w:w="3040" w:type="dxa"/>
            <w:vAlign w:val="bottom"/>
            <w:tcBorders>
              <w:top w:val="single" w:sz="8" w:color="582C83"/>
            </w:tcBorders>
          </w:tcPr>
          <w:p>
            <w:pPr>
              <w:jc w:val="right"/>
              <w:ind w:right="1222"/>
              <w:spacing w:after="0"/>
              <w:rPr>
                <w:sz w:val="20"/>
                <w:szCs w:val="20"/>
                <w:color w:val="auto"/>
              </w:rPr>
            </w:pPr>
            <w:r>
              <w:rPr>
                <w:rFonts w:ascii="Arial" w:cs="Arial" w:eastAsia="Arial" w:hAnsi="Arial"/>
                <w:sz w:val="18"/>
                <w:szCs w:val="18"/>
                <w:color w:val="auto"/>
              </w:rPr>
              <w:t>1.6pp below target</w:t>
            </w:r>
          </w:p>
        </w:tc>
        <w:tc>
          <w:tcPr>
            <w:tcW w:w="2680" w:type="dxa"/>
            <w:vAlign w:val="bottom"/>
            <w:tcBorders>
              <w:top w:val="single" w:sz="8" w:color="582C83"/>
            </w:tcBorders>
          </w:tcPr>
          <w:p>
            <w:pPr>
              <w:ind w:left="50"/>
              <w:spacing w:after="0"/>
              <w:rPr>
                <w:sz w:val="20"/>
                <w:szCs w:val="20"/>
                <w:color w:val="auto"/>
              </w:rPr>
            </w:pPr>
            <w:r>
              <w:rPr>
                <w:rFonts w:ascii="Arial" w:cs="Arial" w:eastAsia="Arial" w:hAnsi="Arial"/>
                <w:sz w:val="18"/>
                <w:szCs w:val="18"/>
                <w:color w:val="auto"/>
              </w:rPr>
              <w:t>Greater than 7%</w:t>
            </w:r>
          </w:p>
        </w:tc>
        <w:tc>
          <w:tcPr>
            <w:tcW w:w="181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2.5pp above target</w:t>
            </w:r>
          </w:p>
        </w:tc>
      </w:tr>
      <w:tr>
        <w:trPr>
          <w:trHeight w:val="46"/>
        </w:trPr>
        <w:tc>
          <w:tcPr>
            <w:tcW w:w="3730" w:type="dxa"/>
            <w:vAlign w:val="bottom"/>
            <w:tcBorders>
              <w:bottom w:val="single" w:sz="8" w:color="582C83"/>
            </w:tcBorders>
          </w:tcPr>
          <w:p>
            <w:pPr>
              <w:spacing w:after="0"/>
              <w:rPr>
                <w:sz w:val="3"/>
                <w:szCs w:val="3"/>
                <w:color w:val="auto"/>
              </w:rPr>
            </w:pPr>
          </w:p>
        </w:tc>
        <w:tc>
          <w:tcPr>
            <w:tcW w:w="3040" w:type="dxa"/>
            <w:vAlign w:val="bottom"/>
            <w:tcBorders>
              <w:bottom w:val="single" w:sz="8" w:color="582C83"/>
            </w:tcBorders>
          </w:tcPr>
          <w:p>
            <w:pPr>
              <w:spacing w:after="0"/>
              <w:rPr>
                <w:sz w:val="3"/>
                <w:szCs w:val="3"/>
                <w:color w:val="auto"/>
              </w:rPr>
            </w:pPr>
          </w:p>
        </w:tc>
        <w:tc>
          <w:tcPr>
            <w:tcW w:w="2680" w:type="dxa"/>
            <w:vAlign w:val="bottom"/>
            <w:tcBorders>
              <w:bottom w:val="single" w:sz="8" w:color="582C83"/>
            </w:tcBorders>
          </w:tcPr>
          <w:p>
            <w:pPr>
              <w:spacing w:after="0"/>
              <w:rPr>
                <w:sz w:val="3"/>
                <w:szCs w:val="3"/>
                <w:color w:val="auto"/>
              </w:rPr>
            </w:pPr>
          </w:p>
        </w:tc>
        <w:tc>
          <w:tcPr>
            <w:tcW w:w="1810" w:type="dxa"/>
            <w:vAlign w:val="bottom"/>
            <w:tcBorders>
              <w:bottom w:val="single" w:sz="8" w:color="582C83"/>
            </w:tcBorders>
          </w:tcPr>
          <w:p>
            <w:pPr>
              <w:spacing w:after="0"/>
              <w:rPr>
                <w:sz w:val="3"/>
                <w:szCs w:val="3"/>
                <w:color w:val="auto"/>
              </w:rPr>
            </w:pPr>
          </w:p>
        </w:tc>
      </w:tr>
      <w:tr>
        <w:trPr>
          <w:trHeight w:val="318"/>
        </w:trPr>
        <w:tc>
          <w:tcPr>
            <w:tcW w:w="373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Annualized Relative TSR</w:t>
            </w:r>
          </w:p>
        </w:tc>
        <w:tc>
          <w:tcPr>
            <w:tcW w:w="3040" w:type="dxa"/>
            <w:vAlign w:val="bottom"/>
            <w:tcBorders>
              <w:bottom w:val="single" w:sz="8" w:color="582C83"/>
            </w:tcBorders>
            <w:shd w:val="clear" w:color="auto" w:fill="EBE6F0"/>
          </w:tcPr>
          <w:p>
            <w:pPr>
              <w:jc w:val="right"/>
              <w:ind w:right="1222"/>
              <w:spacing w:after="0"/>
              <w:rPr>
                <w:sz w:val="20"/>
                <w:szCs w:val="20"/>
                <w:color w:val="auto"/>
              </w:rPr>
            </w:pPr>
            <w:r>
              <w:rPr>
                <w:rFonts w:ascii="Arial" w:cs="Arial" w:eastAsia="Arial" w:hAnsi="Arial"/>
                <w:sz w:val="18"/>
                <w:szCs w:val="18"/>
                <w:color w:val="auto"/>
              </w:rPr>
              <w:t>25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c>
          <w:tcPr>
            <w:tcW w:w="2680" w:type="dxa"/>
            <w:vAlign w:val="bottom"/>
            <w:tcBorders>
              <w:bottom w:val="single" w:sz="8" w:color="582C83"/>
            </w:tcBorders>
            <w:shd w:val="clear" w:color="auto" w:fill="EBE6F0"/>
          </w:tcPr>
          <w:p>
            <w:pPr>
              <w:ind w:left="70"/>
              <w:spacing w:after="0"/>
              <w:rPr>
                <w:sz w:val="20"/>
                <w:szCs w:val="20"/>
                <w:color w:val="auto"/>
              </w:rPr>
            </w:pPr>
            <w:r>
              <w:rPr>
                <w:rFonts w:ascii="Arial" w:cs="Arial" w:eastAsia="Arial" w:hAnsi="Arial"/>
                <w:sz w:val="18"/>
                <w:szCs w:val="18"/>
                <w:color w:val="auto"/>
              </w:rPr>
              <w:t>55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c>
          <w:tcPr>
            <w:tcW w:w="181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r>
    </w:tbl>
    <w:p>
      <w:pPr>
        <w:spacing w:after="0" w:line="163"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performance measures for cash awards under our AIP and for share grants related to our PSUs both include Organic Net Revenue Growth as a metric. This metric is a fundamental driver of shareholder value, and we believe our executives should focus on it over both the short and long term. A one-year target (under the AIP) and a three-year target (for the PSUs) for Organic Net Revenue Growth create different, yet complementary incentives for our employees to achieve this strategic goal and is a key driver impacting our operational and financial performance and advancing our strategic plan. The People and Compensation Committee uses different time periods to measure performance relative to each metric in the incentive plans:</w:t>
      </w:r>
    </w:p>
    <w:p>
      <w:pPr>
        <w:spacing w:after="0" w:line="149" w:lineRule="exact"/>
        <w:rPr>
          <w:sz w:val="20"/>
          <w:szCs w:val="20"/>
          <w:color w:val="auto"/>
        </w:rPr>
      </w:pPr>
    </w:p>
    <w:p>
      <w:pPr>
        <w:ind w:left="220" w:right="360" w:hanging="212"/>
        <w:spacing w:after="0" w:line="259" w:lineRule="auto"/>
        <w:tabs>
          <w:tab w:leader="none" w:pos="220" w:val="left"/>
        </w:tabs>
        <w:numPr>
          <w:ilvl w:val="0"/>
          <w:numId w:val="64"/>
        </w:numPr>
        <w:rPr>
          <w:rFonts w:ascii="Arial" w:cs="Arial" w:eastAsia="Arial" w:hAnsi="Arial"/>
          <w:sz w:val="22"/>
          <w:szCs w:val="22"/>
          <w:color w:val="582C83"/>
        </w:rPr>
      </w:pPr>
      <w:r>
        <w:rPr>
          <w:rFonts w:ascii="Arial" w:cs="Arial" w:eastAsia="Arial" w:hAnsi="Arial"/>
          <w:sz w:val="22"/>
          <w:szCs w:val="22"/>
          <w:color w:val="auto"/>
        </w:rPr>
        <w:t>Performance measures for the short-term incentive awards are set on an annual basis and are based on annual operating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left="220" w:right="180" w:hanging="212"/>
        <w:spacing w:after="0" w:line="259" w:lineRule="auto"/>
        <w:tabs>
          <w:tab w:leader="none" w:pos="220" w:val="left"/>
        </w:tabs>
        <w:numPr>
          <w:ilvl w:val="0"/>
          <w:numId w:val="65"/>
        </w:numPr>
        <w:rPr>
          <w:rFonts w:ascii="Arial" w:cs="Arial" w:eastAsia="Arial" w:hAnsi="Arial"/>
          <w:sz w:val="22"/>
          <w:szCs w:val="22"/>
          <w:color w:val="582C83"/>
        </w:rPr>
      </w:pPr>
      <w:r>
        <w:rPr>
          <w:rFonts w:ascii="Arial" w:cs="Arial" w:eastAsia="Arial" w:hAnsi="Arial"/>
          <w:sz w:val="22"/>
          <w:szCs w:val="22"/>
          <w:color w:val="auto"/>
        </w:rPr>
        <w:t>Performance measures for PSUs are set at the beginning of the performance period and are based on cumulative three-year performance goals.</w:t>
      </w:r>
    </w:p>
    <w:p>
      <w:pPr>
        <w:spacing w:after="0" w:line="48" w:lineRule="exact"/>
        <w:rPr>
          <w:sz w:val="20"/>
          <w:szCs w:val="20"/>
          <w:color w:val="auto"/>
        </w:rPr>
      </w:pPr>
    </w:p>
    <w:p>
      <w:pPr>
        <w:jc w:val="both"/>
        <w:ind w:right="500"/>
        <w:spacing w:after="0" w:line="245" w:lineRule="auto"/>
        <w:rPr>
          <w:sz w:val="20"/>
          <w:szCs w:val="20"/>
          <w:color w:val="auto"/>
        </w:rPr>
      </w:pPr>
      <w:r>
        <w:rPr>
          <w:rFonts w:ascii="Arial" w:cs="Arial" w:eastAsia="Arial" w:hAnsi="Arial"/>
          <w:sz w:val="22"/>
          <w:szCs w:val="22"/>
          <w:color w:val="auto"/>
        </w:rPr>
        <w:t>Earned PSUs vest and pay out (or are cancelled if not earned) three years following the date of grant. The actual value realized by our NEOs with respect to these awards is based on achievement of performance goals and our stock price at the time of vesting.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2019-2021 Performance Cycle Results and Shares Earned</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chart details:</w:t>
      </w:r>
    </w:p>
    <w:p>
      <w:pPr>
        <w:spacing w:after="0" w:line="98" w:lineRule="exact"/>
        <w:rPr>
          <w:sz w:val="20"/>
          <w:szCs w:val="20"/>
          <w:color w:val="auto"/>
        </w:rPr>
      </w:pPr>
    </w:p>
    <w:p>
      <w:pPr>
        <w:ind w:left="220" w:right="220" w:hanging="212"/>
        <w:spacing w:after="0" w:line="259" w:lineRule="auto"/>
        <w:tabs>
          <w:tab w:leader="none" w:pos="220" w:val="left"/>
        </w:tabs>
        <w:numPr>
          <w:ilvl w:val="0"/>
          <w:numId w:val="66"/>
        </w:numPr>
        <w:rPr>
          <w:rFonts w:ascii="Arial" w:cs="Arial" w:eastAsia="Arial" w:hAnsi="Arial"/>
          <w:sz w:val="22"/>
          <w:szCs w:val="22"/>
          <w:color w:val="582C83"/>
        </w:rPr>
      </w:pPr>
      <w:r>
        <w:rPr>
          <w:rFonts w:ascii="Arial" w:cs="Arial" w:eastAsia="Arial" w:hAnsi="Arial"/>
          <w:sz w:val="22"/>
          <w:szCs w:val="22"/>
          <w:color w:val="auto"/>
        </w:rPr>
        <w:t>the key financial measures, weightings and performance standards the People and Compensation Committee set in late 2018;</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66"/>
        </w:numPr>
        <w:rPr>
          <w:rFonts w:ascii="Arial" w:cs="Arial" w:eastAsia="Arial" w:hAnsi="Arial"/>
          <w:sz w:val="22"/>
          <w:szCs w:val="22"/>
          <w:color w:val="582C83"/>
        </w:rPr>
      </w:pPr>
      <w:r>
        <w:rPr>
          <w:rFonts w:ascii="Arial" w:cs="Arial" w:eastAsia="Arial" w:hAnsi="Arial"/>
          <w:sz w:val="22"/>
          <w:szCs w:val="22"/>
          <w:color w:val="auto"/>
        </w:rPr>
        <w:t>our actual performance over the 2019-2021 performance cycle; and</w:t>
      </w:r>
    </w:p>
    <w:p>
      <w:pPr>
        <w:spacing w:after="0" w:line="98" w:lineRule="exact"/>
        <w:rPr>
          <w:rFonts w:ascii="Arial" w:cs="Arial" w:eastAsia="Arial" w:hAnsi="Arial"/>
          <w:sz w:val="22"/>
          <w:szCs w:val="22"/>
          <w:color w:val="582C83"/>
        </w:rPr>
      </w:pPr>
    </w:p>
    <w:p>
      <w:pPr>
        <w:ind w:left="220" w:right="260" w:hanging="212"/>
        <w:spacing w:after="0" w:line="259" w:lineRule="auto"/>
        <w:tabs>
          <w:tab w:leader="none" w:pos="220" w:val="left"/>
        </w:tabs>
        <w:numPr>
          <w:ilvl w:val="0"/>
          <w:numId w:val="66"/>
        </w:numPr>
        <w:rPr>
          <w:rFonts w:ascii="Arial" w:cs="Arial" w:eastAsia="Arial" w:hAnsi="Arial"/>
          <w:sz w:val="22"/>
          <w:szCs w:val="22"/>
          <w:color w:val="582C83"/>
        </w:rPr>
      </w:pPr>
      <w:r>
        <w:rPr>
          <w:rFonts w:ascii="Arial" w:cs="Arial" w:eastAsia="Arial" w:hAnsi="Arial"/>
          <w:sz w:val="22"/>
          <w:szCs w:val="22"/>
          <w:color w:val="auto"/>
        </w:rPr>
        <w:t>the final business performance rating approved by the People and Compensation Committee at the conclusion of the 2019-2021 performance cycle.</w:t>
      </w:r>
    </w:p>
    <w:p>
      <w:pPr>
        <w:spacing w:after="0" w:line="12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People and Compensation Committee did not apply any discretion to adjust the final business performance rating for the 2019-2021 performance cycle and no adjustments were made for the impact of COVID-19. Based on the Company’s three-year results, we achieved an above target performance rating of 160% for the 2019-2021 PSU awards. Actual results for the 2019-2021 performance cycle included: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0" w:type="dxa"/>
            <w:vAlign w:val="bottom"/>
            <w:gridSpan w:val="2"/>
          </w:tcPr>
          <w:p>
            <w:pPr>
              <w:jc w:val="right"/>
              <w:ind w:right="532"/>
              <w:spacing w:after="0"/>
              <w:rPr>
                <w:sz w:val="20"/>
                <w:szCs w:val="20"/>
                <w:color w:val="auto"/>
              </w:rPr>
            </w:pPr>
            <w:r>
              <w:rPr>
                <w:rFonts w:ascii="Arial" w:cs="Arial" w:eastAsia="Arial" w:hAnsi="Arial"/>
                <w:sz w:val="18"/>
                <w:szCs w:val="18"/>
                <w:b w:val="1"/>
                <w:bCs w:val="1"/>
                <w:color w:val="auto"/>
              </w:rPr>
              <w:t>2019-2021 Performance</w:t>
            </w:r>
          </w:p>
        </w:tc>
        <w:tc>
          <w:tcPr>
            <w:tcW w:w="20" w:type="dxa"/>
            <w:vAlign w:val="bottom"/>
          </w:tcPr>
          <w:p>
            <w:pPr>
              <w:spacing w:after="0"/>
              <w:rPr>
                <w:sz w:val="17"/>
                <w:szCs w:val="17"/>
                <w:color w:val="auto"/>
              </w:rPr>
            </w:pPr>
          </w:p>
        </w:tc>
      </w:tr>
      <w:tr>
        <w:trPr>
          <w:trHeight w:val="241"/>
        </w:trPr>
        <w:tc>
          <w:tcPr>
            <w:tcW w:w="3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0" w:type="dxa"/>
            <w:vAlign w:val="bottom"/>
            <w:gridSpan w:val="2"/>
          </w:tcPr>
          <w:p>
            <w:pPr>
              <w:jc w:val="right"/>
              <w:ind w:right="932"/>
              <w:spacing w:after="0"/>
              <w:rPr>
                <w:sz w:val="20"/>
                <w:szCs w:val="20"/>
                <w:color w:val="auto"/>
              </w:rPr>
            </w:pPr>
            <w:r>
              <w:rPr>
                <w:rFonts w:ascii="Arial" w:cs="Arial" w:eastAsia="Arial" w:hAnsi="Arial"/>
                <w:sz w:val="18"/>
                <w:szCs w:val="18"/>
                <w:b w:val="1"/>
                <w:bCs w:val="1"/>
                <w:color w:val="auto"/>
              </w:rPr>
              <w:t>Cycle Results</w:t>
            </w:r>
          </w:p>
        </w:tc>
        <w:tc>
          <w:tcPr>
            <w:tcW w:w="20" w:type="dxa"/>
            <w:vAlign w:val="bottom"/>
          </w:tcPr>
          <w:p>
            <w:pPr>
              <w:spacing w:after="0"/>
              <w:rPr>
                <w:sz w:val="20"/>
                <w:szCs w:val="20"/>
                <w:color w:val="auto"/>
              </w:rPr>
            </w:pPr>
          </w:p>
        </w:tc>
      </w:tr>
      <w:tr>
        <w:trPr>
          <w:trHeight w:val="294"/>
        </w:trPr>
        <w:tc>
          <w:tcPr>
            <w:tcW w:w="308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Key Performance Measures</w:t>
            </w:r>
          </w:p>
        </w:tc>
        <w:tc>
          <w:tcPr>
            <w:tcW w:w="9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w w:val="98"/>
              </w:rPr>
              <w:t>Weighting</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Threshold</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Target</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Maximum</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Actual</w:t>
            </w: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Payout Percentage</w:t>
            </w:r>
          </w:p>
        </w:tc>
        <w:tc>
          <w:tcPr>
            <w:tcW w:w="20" w:type="dxa"/>
            <w:vAlign w:val="bottom"/>
            <w:tcBorders>
              <w:bottom w:val="single" w:sz="8" w:color="582C83"/>
            </w:tcBorders>
          </w:tcPr>
          <w:p>
            <w:pPr>
              <w:spacing w:after="0"/>
              <w:rPr>
                <w:sz w:val="24"/>
                <w:szCs w:val="24"/>
                <w:color w:val="auto"/>
              </w:rPr>
            </w:pPr>
          </w:p>
        </w:tc>
      </w:tr>
      <w:tr>
        <w:trPr>
          <w:trHeight w:val="317"/>
        </w:trPr>
        <w:tc>
          <w:tcPr>
            <w:tcW w:w="3080" w:type="dxa"/>
            <w:vAlign w:val="bottom"/>
            <w:tcBorders>
              <w:bottom w:val="single" w:sz="8" w:color="582C83"/>
            </w:tcBorders>
            <w:shd w:val="clear" w:color="auto" w:fill="EBE6F0"/>
          </w:tcPr>
          <w:p>
            <w:pPr>
              <w:ind w:left="100"/>
              <w:spacing w:after="0"/>
              <w:rPr>
                <w:sz w:val="20"/>
                <w:szCs w:val="20"/>
                <w:color w:val="auto"/>
              </w:rPr>
            </w:pPr>
            <w:r>
              <w:rPr>
                <w:rFonts w:ascii="Arial" w:cs="Arial" w:eastAsia="Arial" w:hAnsi="Arial"/>
                <w:sz w:val="18"/>
                <w:szCs w:val="18"/>
                <w:color w:val="auto"/>
              </w:rPr>
              <w:t>Organic Net Revenue Growth</w:t>
            </w:r>
            <w:r>
              <w:rPr>
                <w:rFonts w:ascii="Arial" w:cs="Arial" w:eastAsia="Arial" w:hAnsi="Arial"/>
                <w:sz w:val="21"/>
                <w:szCs w:val="21"/>
                <w:color w:val="auto"/>
                <w:vertAlign w:val="superscript"/>
              </w:rPr>
              <w:t>(1)</w:t>
            </w:r>
          </w:p>
        </w:tc>
        <w:tc>
          <w:tcPr>
            <w:tcW w:w="9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25%</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1.9%</w:t>
            </w:r>
          </w:p>
        </w:tc>
        <w:tc>
          <w:tcPr>
            <w:tcW w:w="11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3.1%</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4.3%</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4.3%</w:t>
            </w:r>
          </w:p>
        </w:tc>
        <w:tc>
          <w:tcPr>
            <w:tcW w:w="17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582C83"/>
            </w:tcBorders>
            <w:shd w:val="clear" w:color="auto" w:fill="EBE6F0"/>
          </w:tcPr>
          <w:p>
            <w:pPr>
              <w:spacing w:after="0"/>
              <w:rPr>
                <w:sz w:val="24"/>
                <w:szCs w:val="24"/>
                <w:color w:val="auto"/>
              </w:rPr>
            </w:pPr>
          </w:p>
        </w:tc>
      </w:tr>
      <w:tr>
        <w:trPr>
          <w:trHeight w:val="318"/>
        </w:trPr>
        <w:tc>
          <w:tcPr>
            <w:tcW w:w="3080" w:type="dxa"/>
            <w:vAlign w:val="bottom"/>
            <w:tcBorders>
              <w:bottom w:val="single" w:sz="8" w:color="582C83"/>
            </w:tcBorders>
          </w:tcPr>
          <w:p>
            <w:pPr>
              <w:ind w:left="80"/>
              <w:spacing w:after="0"/>
              <w:rPr>
                <w:sz w:val="20"/>
                <w:szCs w:val="20"/>
                <w:color w:val="auto"/>
              </w:rPr>
            </w:pPr>
            <w:r>
              <w:rPr>
                <w:rFonts w:ascii="Arial" w:cs="Arial" w:eastAsia="Arial" w:hAnsi="Arial"/>
                <w:sz w:val="18"/>
                <w:szCs w:val="18"/>
                <w:color w:val="auto"/>
              </w:rPr>
              <w:t>Adjusted EPS Growth</w:t>
            </w:r>
            <w:r>
              <w:rPr>
                <w:rFonts w:ascii="Arial" w:cs="Arial" w:eastAsia="Arial" w:hAnsi="Arial"/>
                <w:sz w:val="21"/>
                <w:szCs w:val="21"/>
                <w:color w:val="auto"/>
                <w:vertAlign w:val="superscript"/>
              </w:rPr>
              <w:t>(1)</w:t>
            </w:r>
          </w:p>
        </w:tc>
        <w:tc>
          <w:tcPr>
            <w:tcW w:w="96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25%</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6.9%</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9.1%</w:t>
            </w:r>
          </w:p>
        </w:tc>
        <w:tc>
          <w:tcPr>
            <w:tcW w:w="1760" w:type="dxa"/>
            <w:vAlign w:val="bottom"/>
            <w:tcBorders>
              <w:bottom w:val="single" w:sz="8" w:color="582C83"/>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582C83"/>
            </w:tcBorders>
          </w:tcPr>
          <w:p>
            <w:pPr>
              <w:spacing w:after="0"/>
              <w:rPr>
                <w:sz w:val="24"/>
                <w:szCs w:val="24"/>
                <w:color w:val="auto"/>
              </w:rPr>
            </w:pPr>
          </w:p>
        </w:tc>
      </w:tr>
      <w:tr>
        <w:trPr>
          <w:trHeight w:val="318"/>
        </w:trPr>
        <w:tc>
          <w:tcPr>
            <w:tcW w:w="3080" w:type="dxa"/>
            <w:vAlign w:val="bottom"/>
            <w:tcBorders>
              <w:bottom w:val="single" w:sz="8" w:color="582C83"/>
            </w:tcBorders>
            <w:shd w:val="clear" w:color="auto" w:fill="EBE6F0"/>
          </w:tcPr>
          <w:p>
            <w:pPr>
              <w:ind w:left="100"/>
              <w:spacing w:after="0"/>
              <w:rPr>
                <w:sz w:val="20"/>
                <w:szCs w:val="20"/>
                <w:color w:val="auto"/>
              </w:rPr>
            </w:pPr>
            <w:r>
              <w:rPr>
                <w:rFonts w:ascii="Arial" w:cs="Arial" w:eastAsia="Arial" w:hAnsi="Arial"/>
                <w:sz w:val="18"/>
                <w:szCs w:val="18"/>
                <w:color w:val="auto"/>
              </w:rPr>
              <w:t>Annualized Relative TSR</w:t>
            </w:r>
            <w:r>
              <w:rPr>
                <w:rFonts w:ascii="Arial" w:cs="Arial" w:eastAsia="Arial" w:hAnsi="Arial"/>
                <w:sz w:val="21"/>
                <w:szCs w:val="21"/>
                <w:color w:val="auto"/>
                <w:vertAlign w:val="superscript"/>
              </w:rPr>
              <w:t>(2)</w:t>
            </w:r>
          </w:p>
        </w:tc>
        <w:tc>
          <w:tcPr>
            <w:tcW w:w="9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50%</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c>
          <w:tcPr>
            <w:tcW w:w="112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Median</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c>
          <w:tcPr>
            <w:tcW w:w="144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67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percentile</w:t>
            </w:r>
          </w:p>
        </w:tc>
        <w:tc>
          <w:tcPr>
            <w:tcW w:w="17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582C83"/>
            </w:tcBorders>
            <w:shd w:val="clear" w:color="auto" w:fill="EBE6F0"/>
          </w:tcPr>
          <w:p>
            <w:pPr>
              <w:spacing w:after="0"/>
              <w:rPr>
                <w:sz w:val="24"/>
                <w:szCs w:val="24"/>
                <w:color w:val="auto"/>
              </w:rPr>
            </w:pPr>
          </w:p>
        </w:tc>
      </w:tr>
      <w:tr>
        <w:trPr>
          <w:trHeight w:val="280"/>
        </w:trPr>
        <w:tc>
          <w:tcPr>
            <w:tcW w:w="3080" w:type="dxa"/>
            <w:vAlign w:val="bottom"/>
          </w:tcPr>
          <w:p>
            <w:pPr>
              <w:ind w:left="80"/>
              <w:spacing w:after="0"/>
              <w:rPr>
                <w:sz w:val="20"/>
                <w:szCs w:val="20"/>
                <w:color w:val="auto"/>
              </w:rPr>
            </w:pPr>
            <w:r>
              <w:rPr>
                <w:rFonts w:ascii="Arial" w:cs="Arial" w:eastAsia="Arial" w:hAnsi="Arial"/>
                <w:sz w:val="18"/>
                <w:szCs w:val="18"/>
                <w:b w:val="1"/>
                <w:bCs w:val="1"/>
                <w:color w:val="auto"/>
                <w:w w:val="98"/>
              </w:rPr>
              <w:t>Final Business Performance Rating</w:t>
            </w: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20" w:type="dxa"/>
            <w:vAlign w:val="bottom"/>
          </w:tcPr>
          <w:p>
            <w:pPr>
              <w:spacing w:after="0"/>
              <w:rPr>
                <w:sz w:val="24"/>
                <w:szCs w:val="24"/>
                <w:color w:val="auto"/>
              </w:rPr>
            </w:pPr>
          </w:p>
        </w:tc>
      </w:tr>
      <w:tr>
        <w:trPr>
          <w:trHeight w:val="38"/>
        </w:trPr>
        <w:tc>
          <w:tcPr>
            <w:tcW w:w="3080" w:type="dxa"/>
            <w:vAlign w:val="bottom"/>
            <w:tcBorders>
              <w:bottom w:val="single" w:sz="8" w:color="582C83"/>
            </w:tcBorders>
          </w:tcPr>
          <w:p>
            <w:pPr>
              <w:spacing w:after="0"/>
              <w:rPr>
                <w:sz w:val="3"/>
                <w:szCs w:val="3"/>
                <w:color w:val="auto"/>
              </w:rPr>
            </w:pPr>
          </w:p>
        </w:tc>
        <w:tc>
          <w:tcPr>
            <w:tcW w:w="96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12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440" w:type="dxa"/>
            <w:vAlign w:val="bottom"/>
            <w:tcBorders>
              <w:bottom w:val="single" w:sz="8" w:color="582C83"/>
            </w:tcBorders>
          </w:tcPr>
          <w:p>
            <w:pPr>
              <w:spacing w:after="0"/>
              <w:rPr>
                <w:sz w:val="3"/>
                <w:szCs w:val="3"/>
                <w:color w:val="auto"/>
              </w:rPr>
            </w:pPr>
          </w:p>
        </w:tc>
        <w:tc>
          <w:tcPr>
            <w:tcW w:w="176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07" w:lineRule="exact"/>
        <w:rPr>
          <w:sz w:val="20"/>
          <w:szCs w:val="20"/>
          <w:color w:val="auto"/>
        </w:rPr>
      </w:pPr>
    </w:p>
    <w:p>
      <w:pPr>
        <w:ind w:left="440" w:hanging="351"/>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See definition in Annex A.</w:t>
      </w:r>
    </w:p>
    <w:p>
      <w:pPr>
        <w:spacing w:after="0" w:line="45" w:lineRule="exact"/>
        <w:rPr>
          <w:rFonts w:ascii="Arial" w:cs="Arial" w:eastAsia="Arial" w:hAnsi="Arial"/>
          <w:sz w:val="16"/>
          <w:szCs w:val="16"/>
          <w:color w:val="auto"/>
        </w:rPr>
      </w:pPr>
    </w:p>
    <w:p>
      <w:pPr>
        <w:ind w:left="440" w:hanging="351"/>
        <w:spacing w:after="0"/>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determining our Annualized Relative TSR performance, we used our 2021 Performance Peer Group (see “Performance Peer Group” on page 85).</w:t>
      </w:r>
    </w:p>
    <w:p>
      <w:pPr>
        <w:spacing w:after="0" w:line="249" w:lineRule="exact"/>
        <w:rPr>
          <w:sz w:val="20"/>
          <w:szCs w:val="20"/>
          <w:color w:val="auto"/>
        </w:rPr>
      </w:pPr>
    </w:p>
    <w:p>
      <w:pPr>
        <w:ind w:right="420"/>
        <w:spacing w:after="0" w:line="259" w:lineRule="auto"/>
        <w:rPr>
          <w:sz w:val="20"/>
          <w:szCs w:val="20"/>
          <w:color w:val="auto"/>
        </w:rPr>
      </w:pPr>
      <w:r>
        <w:rPr>
          <w:rFonts w:ascii="Arial" w:cs="Arial" w:eastAsia="Arial" w:hAnsi="Arial"/>
          <w:sz w:val="22"/>
          <w:szCs w:val="22"/>
          <w:color w:val="auto"/>
        </w:rPr>
        <w:t>Based on target awards and the performance rating, the shares earned (before taxes) for each NEO for the 2019-2021 performance cycle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00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22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Shares Earned</w:t>
            </w:r>
          </w:p>
        </w:tc>
      </w:tr>
      <w:tr>
        <w:trPr>
          <w:trHeight w:val="323"/>
        </w:trPr>
        <w:tc>
          <w:tcPr>
            <w:tcW w:w="90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Mr. Van de Put</w:t>
            </w:r>
          </w:p>
        </w:tc>
        <w:tc>
          <w:tcPr>
            <w:tcW w:w="2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262,784</w:t>
            </w:r>
          </w:p>
        </w:tc>
      </w:tr>
      <w:tr>
        <w:trPr>
          <w:trHeight w:val="272"/>
        </w:trPr>
        <w:tc>
          <w:tcPr>
            <w:tcW w:w="90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Zaramella</w:t>
            </w:r>
          </w:p>
        </w:tc>
        <w:tc>
          <w:tcPr>
            <w:tcW w:w="22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56,592</w:t>
            </w:r>
          </w:p>
        </w:tc>
      </w:tr>
      <w:tr>
        <w:trPr>
          <w:trHeight w:val="46"/>
        </w:trPr>
        <w:tc>
          <w:tcPr>
            <w:tcW w:w="900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r>
      <w:tr>
        <w:trPr>
          <w:trHeight w:val="323"/>
        </w:trPr>
        <w:tc>
          <w:tcPr>
            <w:tcW w:w="90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Mr. Brusadelli</w:t>
            </w:r>
          </w:p>
        </w:tc>
        <w:tc>
          <w:tcPr>
            <w:tcW w:w="22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56,592</w:t>
            </w:r>
          </w:p>
        </w:tc>
      </w:tr>
      <w:tr>
        <w:trPr>
          <w:trHeight w:val="272"/>
        </w:trPr>
        <w:tc>
          <w:tcPr>
            <w:tcW w:w="9000" w:type="dxa"/>
            <w:vAlign w:val="bottom"/>
            <w:tcBorders>
              <w:top w:val="single" w:sz="8" w:color="582C83"/>
            </w:tcBorders>
          </w:tcPr>
          <w:p>
            <w:pPr>
              <w:ind w:left="80"/>
              <w:spacing w:after="0"/>
              <w:rPr>
                <w:sz w:val="20"/>
                <w:szCs w:val="20"/>
                <w:color w:val="auto"/>
              </w:rPr>
            </w:pPr>
            <w:r>
              <w:rPr>
                <w:rFonts w:ascii="Arial" w:cs="Arial" w:eastAsia="Arial" w:hAnsi="Arial"/>
                <w:sz w:val="18"/>
                <w:szCs w:val="18"/>
                <w:color w:val="auto"/>
              </w:rPr>
              <w:t>Mr. Gruber</w:t>
            </w:r>
          </w:p>
        </w:tc>
        <w:tc>
          <w:tcPr>
            <w:tcW w:w="2260" w:type="dxa"/>
            <w:vAlign w:val="bottom"/>
            <w:tcBorders>
              <w:top w:val="single" w:sz="8" w:color="582C83"/>
            </w:tcBorders>
          </w:tcPr>
          <w:p>
            <w:pPr>
              <w:jc w:val="right"/>
              <w:spacing w:after="0"/>
              <w:rPr>
                <w:sz w:val="20"/>
                <w:szCs w:val="20"/>
                <w:color w:val="auto"/>
              </w:rPr>
            </w:pPr>
            <w:r>
              <w:rPr>
                <w:rFonts w:ascii="Arial" w:cs="Arial" w:eastAsia="Arial" w:hAnsi="Arial"/>
                <w:sz w:val="18"/>
                <w:szCs w:val="18"/>
                <w:color w:val="auto"/>
              </w:rPr>
              <w:t>42,752</w:t>
            </w:r>
          </w:p>
        </w:tc>
      </w:tr>
      <w:tr>
        <w:trPr>
          <w:trHeight w:val="46"/>
        </w:trPr>
        <w:tc>
          <w:tcPr>
            <w:tcW w:w="9000" w:type="dxa"/>
            <w:vAlign w:val="bottom"/>
            <w:tcBorders>
              <w:bottom w:val="single" w:sz="8" w:color="582C83"/>
            </w:tcBorders>
          </w:tcPr>
          <w:p>
            <w:pPr>
              <w:spacing w:after="0"/>
              <w:rPr>
                <w:sz w:val="3"/>
                <w:szCs w:val="3"/>
                <w:color w:val="auto"/>
              </w:rPr>
            </w:pPr>
          </w:p>
        </w:tc>
        <w:tc>
          <w:tcPr>
            <w:tcW w:w="2260" w:type="dxa"/>
            <w:vAlign w:val="bottom"/>
            <w:tcBorders>
              <w:bottom w:val="single" w:sz="8" w:color="582C83"/>
            </w:tcBorders>
          </w:tcPr>
          <w:p>
            <w:pPr>
              <w:spacing w:after="0"/>
              <w:rPr>
                <w:sz w:val="3"/>
                <w:szCs w:val="3"/>
                <w:color w:val="auto"/>
              </w:rPr>
            </w:pPr>
          </w:p>
        </w:tc>
      </w:tr>
      <w:tr>
        <w:trPr>
          <w:trHeight w:val="318"/>
        </w:trPr>
        <w:tc>
          <w:tcPr>
            <w:tcW w:w="9000" w:type="dxa"/>
            <w:vAlign w:val="bottom"/>
            <w:tcBorders>
              <w:bottom w:val="single" w:sz="8" w:color="582C83"/>
            </w:tcBorders>
            <w:shd w:val="clear" w:color="auto" w:fill="EBE6F0"/>
          </w:tcPr>
          <w:p>
            <w:pPr>
              <w:ind w:left="80"/>
              <w:spacing w:after="0"/>
              <w:rPr>
                <w:sz w:val="20"/>
                <w:szCs w:val="20"/>
                <w:color w:val="auto"/>
              </w:rPr>
            </w:pPr>
            <w:r>
              <w:rPr>
                <w:rFonts w:ascii="Arial" w:cs="Arial" w:eastAsia="Arial" w:hAnsi="Arial"/>
                <w:sz w:val="18"/>
                <w:szCs w:val="18"/>
                <w:color w:val="auto"/>
              </w:rPr>
              <w:t>Ms. Stein</w:t>
            </w:r>
            <w:r>
              <w:rPr>
                <w:rFonts w:ascii="Arial" w:cs="Arial" w:eastAsia="Arial" w:hAnsi="Arial"/>
                <w:sz w:val="21"/>
                <w:szCs w:val="21"/>
                <w:color w:val="auto"/>
                <w:vertAlign w:val="superscript"/>
              </w:rPr>
              <w:t>(1)</w:t>
            </w:r>
          </w:p>
        </w:tc>
        <w:tc>
          <w:tcPr>
            <w:tcW w:w="2260" w:type="dxa"/>
            <w:vAlign w:val="bottom"/>
            <w:tcBorders>
              <w:bottom w:val="single" w:sz="8" w:color="582C83"/>
            </w:tcBorders>
            <w:shd w:val="clear" w:color="auto" w:fill="EBE6F0"/>
          </w:tcPr>
          <w:p>
            <w:pPr>
              <w:jc w:val="right"/>
              <w:spacing w:after="0"/>
              <w:rPr>
                <w:sz w:val="20"/>
                <w:szCs w:val="20"/>
                <w:color w:val="auto"/>
              </w:rPr>
            </w:pPr>
            <w:r>
              <w:rPr>
                <w:rFonts w:ascii="Arial" w:cs="Arial" w:eastAsia="Arial" w:hAnsi="Arial"/>
                <w:sz w:val="18"/>
                <w:szCs w:val="18"/>
                <w:color w:val="auto"/>
              </w:rPr>
              <w:t>21,024</w:t>
            </w:r>
          </w:p>
        </w:tc>
      </w:tr>
    </w:tbl>
    <w:p>
      <w:pPr>
        <w:spacing w:after="0" w:line="26" w:lineRule="exact"/>
        <w:rPr>
          <w:sz w:val="20"/>
          <w:szCs w:val="20"/>
          <w:color w:val="auto"/>
        </w:rPr>
      </w:pPr>
    </w:p>
    <w:p>
      <w:pPr>
        <w:ind w:left="80"/>
        <w:spacing w:after="0"/>
        <w:tabs>
          <w:tab w:leader="none" w:pos="400" w:val="left"/>
        </w:tabs>
        <w:rPr>
          <w:sz w:val="20"/>
          <w:szCs w:val="20"/>
          <w:color w:val="auto"/>
        </w:rPr>
      </w:pPr>
      <w:r>
        <w:rPr>
          <w:rFonts w:ascii="Arial" w:cs="Arial" w:eastAsia="Arial" w:hAnsi="Arial"/>
          <w:sz w:val="16"/>
          <w:szCs w:val="16"/>
          <w:color w:val="auto"/>
        </w:rPr>
        <w:t>(1)</w:t>
        <w:tab/>
        <w:t>Ms. Stein’s performance based recruitment package (described in more detail on page 81) included participation in our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58358F"/>
        </w:rPr>
        <w:t>2022 PROXY STATEMENT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Outstanding Performance Share Grants</w:t>
      </w:r>
    </w:p>
    <w:p>
      <w:pPr>
        <w:spacing w:after="0" w:line="51"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Following are the characteristics of the 2019-2021 PSU grant that just vested and the two additional PSU grants that remain outstanding as of the end of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1500" w:type="dxa"/>
            <w:vAlign w:val="bottom"/>
            <w:tcBorders>
              <w:bottom w:val="single" w:sz="8" w:color="582C83"/>
            </w:tcBorders>
          </w:tcPr>
          <w:p>
            <w:pPr>
              <w:spacing w:after="0"/>
              <w:rPr>
                <w:sz w:val="24"/>
                <w:szCs w:val="24"/>
                <w:color w:val="auto"/>
              </w:rPr>
            </w:pPr>
          </w:p>
        </w:tc>
        <w:tc>
          <w:tcPr>
            <w:tcW w:w="1480" w:type="dxa"/>
            <w:vAlign w:val="bottom"/>
            <w:tcBorders>
              <w:bottom w:val="single" w:sz="8" w:color="582C83"/>
            </w:tcBorders>
          </w:tcPr>
          <w:p>
            <w:pPr>
              <w:ind w:left="480"/>
              <w:spacing w:after="0"/>
              <w:rPr>
                <w:sz w:val="20"/>
                <w:szCs w:val="20"/>
                <w:color w:val="auto"/>
              </w:rPr>
            </w:pPr>
            <w:r>
              <w:rPr>
                <w:rFonts w:ascii="Arial" w:cs="Arial" w:eastAsia="Arial" w:hAnsi="Arial"/>
                <w:sz w:val="22"/>
                <w:szCs w:val="22"/>
                <w:b w:val="1"/>
                <w:bCs w:val="1"/>
                <w:color w:val="auto"/>
              </w:rPr>
              <w:t>2019</w:t>
            </w:r>
          </w:p>
        </w:tc>
        <w:tc>
          <w:tcPr>
            <w:tcW w:w="1460" w:type="dxa"/>
            <w:vAlign w:val="bottom"/>
            <w:tcBorders>
              <w:bottom w:val="single" w:sz="8" w:color="582C83"/>
            </w:tcBorders>
          </w:tcPr>
          <w:p>
            <w:pPr>
              <w:ind w:left="460"/>
              <w:spacing w:after="0"/>
              <w:rPr>
                <w:sz w:val="20"/>
                <w:szCs w:val="20"/>
                <w:color w:val="auto"/>
              </w:rPr>
            </w:pPr>
            <w:r>
              <w:rPr>
                <w:rFonts w:ascii="Arial" w:cs="Arial" w:eastAsia="Arial" w:hAnsi="Arial"/>
                <w:sz w:val="22"/>
                <w:szCs w:val="22"/>
                <w:b w:val="1"/>
                <w:bCs w:val="1"/>
                <w:color w:val="auto"/>
              </w:rPr>
              <w:t>2020</w:t>
            </w:r>
          </w:p>
        </w:tc>
        <w:tc>
          <w:tcPr>
            <w:tcW w:w="1680" w:type="dxa"/>
            <w:vAlign w:val="bottom"/>
            <w:tcBorders>
              <w:bottom w:val="single" w:sz="8" w:color="582C83"/>
            </w:tcBorders>
          </w:tcPr>
          <w:p>
            <w:pPr>
              <w:ind w:left="200"/>
              <w:spacing w:after="0"/>
              <w:rPr>
                <w:sz w:val="20"/>
                <w:szCs w:val="20"/>
                <w:color w:val="auto"/>
              </w:rPr>
            </w:pPr>
            <w:r>
              <w:rPr>
                <w:rFonts w:ascii="Arial" w:cs="Arial" w:eastAsia="Arial" w:hAnsi="Arial"/>
                <w:sz w:val="22"/>
                <w:szCs w:val="22"/>
                <w:b w:val="1"/>
                <w:bCs w:val="1"/>
                <w:color w:val="auto"/>
              </w:rPr>
              <w:t>2021</w:t>
            </w:r>
          </w:p>
        </w:tc>
        <w:tc>
          <w:tcPr>
            <w:tcW w:w="1600" w:type="dxa"/>
            <w:vAlign w:val="bottom"/>
            <w:tcBorders>
              <w:bottom w:val="single" w:sz="8" w:color="582C83"/>
            </w:tcBorders>
            <w:gridSpan w:val="2"/>
          </w:tcPr>
          <w:p>
            <w:pPr>
              <w:jc w:val="right"/>
              <w:ind w:right="892"/>
              <w:spacing w:after="0"/>
              <w:rPr>
                <w:sz w:val="20"/>
                <w:szCs w:val="20"/>
                <w:color w:val="auto"/>
              </w:rPr>
            </w:pPr>
            <w:r>
              <w:rPr>
                <w:rFonts w:ascii="Arial" w:cs="Arial" w:eastAsia="Arial" w:hAnsi="Arial"/>
                <w:sz w:val="22"/>
                <w:szCs w:val="22"/>
                <w:b w:val="1"/>
                <w:bCs w:val="1"/>
                <w:color w:val="auto"/>
              </w:rPr>
              <w:t>2022</w:t>
            </w:r>
          </w:p>
        </w:tc>
        <w:tc>
          <w:tcPr>
            <w:tcW w:w="1480" w:type="dxa"/>
            <w:vAlign w:val="bottom"/>
            <w:tcBorders>
              <w:bottom w:val="single" w:sz="8" w:color="582C83"/>
            </w:tcBorders>
          </w:tcPr>
          <w:p>
            <w:pPr>
              <w:spacing w:after="0"/>
              <w:rPr>
                <w:sz w:val="20"/>
                <w:szCs w:val="20"/>
                <w:color w:val="auto"/>
              </w:rPr>
            </w:pPr>
            <w:r>
              <w:rPr>
                <w:rFonts w:ascii="Arial" w:cs="Arial" w:eastAsia="Arial" w:hAnsi="Arial"/>
                <w:sz w:val="22"/>
                <w:szCs w:val="22"/>
                <w:b w:val="1"/>
                <w:bCs w:val="1"/>
                <w:color w:val="auto"/>
              </w:rPr>
              <w:t>2023</w:t>
            </w:r>
          </w:p>
        </w:tc>
        <w:tc>
          <w:tcPr>
            <w:tcW w:w="1480" w:type="dxa"/>
            <w:vAlign w:val="bottom"/>
            <w:tcBorders>
              <w:bottom w:val="single" w:sz="8" w:color="582C83"/>
            </w:tcBorders>
          </w:tcPr>
          <w:p>
            <w:pPr>
              <w:spacing w:after="0"/>
              <w:rPr>
                <w:sz w:val="20"/>
                <w:szCs w:val="20"/>
                <w:color w:val="auto"/>
              </w:rPr>
            </w:pPr>
            <w:r>
              <w:rPr>
                <w:rFonts w:ascii="Arial" w:cs="Arial" w:eastAsia="Arial" w:hAnsi="Arial"/>
                <w:sz w:val="22"/>
                <w:szCs w:val="22"/>
                <w:b w:val="1"/>
                <w:bCs w:val="1"/>
                <w:color w:val="auto"/>
              </w:rPr>
              <w:t>2024</w:t>
            </w:r>
          </w:p>
        </w:tc>
        <w:tc>
          <w:tcPr>
            <w:tcW w:w="560" w:type="dxa"/>
            <w:vAlign w:val="bottom"/>
            <w:tcBorders>
              <w:bottom w:val="single" w:sz="8" w:color="582C83"/>
            </w:tcBorders>
          </w:tcPr>
          <w:p>
            <w:pPr>
              <w:jc w:val="right"/>
              <w:spacing w:after="0"/>
              <w:rPr>
                <w:sz w:val="20"/>
                <w:szCs w:val="20"/>
                <w:color w:val="auto"/>
              </w:rPr>
            </w:pPr>
            <w:r>
              <w:rPr>
                <w:rFonts w:ascii="Arial" w:cs="Arial" w:eastAsia="Arial" w:hAnsi="Arial"/>
                <w:sz w:val="22"/>
                <w:szCs w:val="22"/>
                <w:b w:val="1"/>
                <w:bCs w:val="1"/>
                <w:color w:val="auto"/>
                <w:w w:val="93"/>
              </w:rPr>
              <w:t>2025</w:t>
            </w:r>
          </w:p>
        </w:tc>
        <w:tc>
          <w:tcPr>
            <w:tcW w:w="0" w:type="dxa"/>
            <w:vAlign w:val="bottom"/>
          </w:tcPr>
          <w:p>
            <w:pPr>
              <w:spacing w:after="0"/>
              <w:rPr>
                <w:sz w:val="1"/>
                <w:szCs w:val="1"/>
                <w:color w:val="auto"/>
              </w:rPr>
            </w:pPr>
          </w:p>
        </w:tc>
      </w:tr>
      <w:tr>
        <w:trPr>
          <w:trHeight w:val="271"/>
        </w:trPr>
        <w:tc>
          <w:tcPr>
            <w:tcW w:w="1500" w:type="dxa"/>
            <w:vAlign w:val="bottom"/>
            <w:tcBorders>
              <w:right w:val="single" w:sz="8" w:color="EBEBEB"/>
            </w:tcBorders>
            <w:vMerge w:val="restart"/>
            <w:shd w:val="clear" w:color="auto" w:fill="EBEBEB"/>
          </w:tcPr>
          <w:p>
            <w:pPr>
              <w:ind w:left="80"/>
              <w:spacing w:after="0"/>
              <w:rPr>
                <w:sz w:val="20"/>
                <w:szCs w:val="20"/>
                <w:color w:val="auto"/>
              </w:rPr>
            </w:pPr>
            <w:r>
              <w:rPr>
                <w:rFonts w:ascii="Arial" w:cs="Arial" w:eastAsia="Arial" w:hAnsi="Arial"/>
                <w:sz w:val="22"/>
                <w:szCs w:val="22"/>
                <w:b w:val="1"/>
                <w:bCs w:val="1"/>
                <w:color w:val="auto"/>
              </w:rPr>
              <w:t>2019-2021</w:t>
            </w:r>
          </w:p>
        </w:tc>
        <w:tc>
          <w:tcPr>
            <w:tcW w:w="4620" w:type="dxa"/>
            <w:vAlign w:val="bottom"/>
            <w:gridSpan w:val="3"/>
            <w:vMerge w:val="restart"/>
          </w:tcPr>
          <w:p>
            <w:pPr>
              <w:ind w:left="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Based on achievement of Organic Net</w:t>
            </w:r>
          </w:p>
        </w:tc>
        <w:tc>
          <w:tcPr>
            <w:tcW w:w="120" w:type="dxa"/>
            <w:vAlign w:val="bottom"/>
          </w:tcPr>
          <w:p>
            <w:pPr>
              <w:spacing w:after="0"/>
              <w:rPr>
                <w:sz w:val="23"/>
                <w:szCs w:val="23"/>
                <w:color w:val="auto"/>
              </w:rPr>
            </w:pPr>
          </w:p>
        </w:tc>
        <w:tc>
          <w:tcPr>
            <w:tcW w:w="1480" w:type="dxa"/>
            <w:vAlign w:val="bottom"/>
            <w:tcBorders>
              <w:right w:val="single" w:sz="8" w:color="F2EEF5"/>
            </w:tcBorders>
            <w:shd w:val="clear" w:color="auto" w:fill="F2EEF5"/>
          </w:tcPr>
          <w:p>
            <w:pPr>
              <w:ind w:left="80"/>
              <w:spacing w:after="0"/>
              <w:rPr>
                <w:sz w:val="20"/>
                <w:szCs w:val="20"/>
                <w:color w:val="auto"/>
              </w:rPr>
            </w:pPr>
            <w:r>
              <w:rPr>
                <w:rFonts w:ascii="Arial" w:cs="Arial" w:eastAsia="Arial" w:hAnsi="Arial"/>
                <w:sz w:val="22"/>
                <w:szCs w:val="22"/>
                <w:color w:val="auto"/>
              </w:rPr>
              <w:t>Shares</w:t>
            </w: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EBEBEB"/>
            </w:tcBorders>
            <w:vMerge w:val="continue"/>
            <w:shd w:val="clear" w:color="auto" w:fill="EBEBEB"/>
          </w:tcPr>
          <w:p>
            <w:pPr>
              <w:spacing w:after="0"/>
              <w:rPr>
                <w:sz w:val="18"/>
                <w:szCs w:val="18"/>
                <w:color w:val="auto"/>
              </w:rPr>
            </w:pPr>
          </w:p>
        </w:tc>
        <w:tc>
          <w:tcPr>
            <w:tcW w:w="46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right w:val="single" w:sz="8" w:color="F2EEF5"/>
            </w:tcBorders>
            <w:shd w:val="clear" w:color="auto" w:fill="F2EEF5"/>
          </w:tcPr>
          <w:p>
            <w:pPr>
              <w:ind w:left="80"/>
              <w:spacing w:after="0" w:line="216" w:lineRule="exact"/>
              <w:rPr>
                <w:sz w:val="20"/>
                <w:szCs w:val="20"/>
                <w:color w:val="auto"/>
              </w:rPr>
            </w:pPr>
            <w:r>
              <w:rPr>
                <w:rFonts w:ascii="Arial" w:cs="Arial" w:eastAsia="Arial" w:hAnsi="Arial"/>
                <w:sz w:val="22"/>
                <w:szCs w:val="22"/>
                <w:color w:val="auto"/>
              </w:rPr>
              <w:t>earned</w:t>
            </w: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500" w:type="dxa"/>
            <w:vAlign w:val="bottom"/>
            <w:tcBorders>
              <w:right w:val="single" w:sz="8" w:color="EBEBEB"/>
            </w:tcBorders>
            <w:shd w:val="clear" w:color="auto" w:fill="EBEBEB"/>
          </w:tcPr>
          <w:p>
            <w:pPr>
              <w:ind w:left="80"/>
              <w:spacing w:after="0"/>
              <w:rPr>
                <w:sz w:val="20"/>
                <w:szCs w:val="20"/>
                <w:color w:val="auto"/>
              </w:rPr>
            </w:pPr>
            <w:r>
              <w:rPr>
                <w:rFonts w:ascii="Arial" w:cs="Arial" w:eastAsia="Arial" w:hAnsi="Arial"/>
                <w:sz w:val="22"/>
                <w:szCs w:val="22"/>
                <w:color w:val="auto"/>
              </w:rPr>
              <w:t>75% of long-</w:t>
            </w:r>
          </w:p>
        </w:tc>
        <w:tc>
          <w:tcPr>
            <w:tcW w:w="4620" w:type="dxa"/>
            <w:vAlign w:val="bottom"/>
            <w:gridSpan w:val="3"/>
          </w:tcPr>
          <w:p>
            <w:pPr>
              <w:ind w:left="280"/>
              <w:spacing w:after="0"/>
              <w:rPr>
                <w:sz w:val="20"/>
                <w:szCs w:val="20"/>
                <w:color w:val="auto"/>
              </w:rPr>
            </w:pPr>
            <w:r>
              <w:rPr>
                <w:rFonts w:ascii="Arial" w:cs="Arial" w:eastAsia="Arial" w:hAnsi="Arial"/>
                <w:sz w:val="22"/>
                <w:szCs w:val="22"/>
                <w:color w:val="auto"/>
                <w:w w:val="99"/>
              </w:rPr>
              <w:t>Revenue Growth, Adjusted EPS Growth and</w:t>
            </w:r>
          </w:p>
        </w:tc>
        <w:tc>
          <w:tcPr>
            <w:tcW w:w="120" w:type="dxa"/>
            <w:vAlign w:val="bottom"/>
          </w:tcPr>
          <w:p>
            <w:pPr>
              <w:spacing w:after="0"/>
              <w:rPr>
                <w:sz w:val="22"/>
                <w:szCs w:val="22"/>
                <w:color w:val="auto"/>
              </w:rPr>
            </w:pPr>
          </w:p>
        </w:tc>
        <w:tc>
          <w:tcPr>
            <w:tcW w:w="1480" w:type="dxa"/>
            <w:vAlign w:val="bottom"/>
            <w:tcBorders>
              <w:right w:val="single" w:sz="8" w:color="F2EEF5"/>
            </w:tcBorders>
            <w:shd w:val="clear" w:color="auto" w:fill="F2EEF5"/>
          </w:tcPr>
          <w:p>
            <w:pPr>
              <w:ind w:left="80"/>
              <w:spacing w:after="0"/>
              <w:rPr>
                <w:sz w:val="20"/>
                <w:szCs w:val="20"/>
                <w:color w:val="auto"/>
              </w:rPr>
            </w:pPr>
            <w:r>
              <w:rPr>
                <w:rFonts w:ascii="Arial" w:cs="Arial" w:eastAsia="Arial" w:hAnsi="Arial"/>
                <w:sz w:val="22"/>
                <w:szCs w:val="22"/>
                <w:color w:val="auto"/>
              </w:rPr>
              <w:t>are subject to</w:t>
            </w:r>
          </w:p>
        </w:tc>
        <w:tc>
          <w:tcPr>
            <w:tcW w:w="1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00" w:type="dxa"/>
            <w:vAlign w:val="bottom"/>
            <w:tcBorders>
              <w:right w:val="single" w:sz="8" w:color="EBEBEB"/>
            </w:tcBorders>
            <w:shd w:val="clear" w:color="auto" w:fill="EBEBEB"/>
          </w:tcPr>
          <w:p>
            <w:pPr>
              <w:ind w:left="80"/>
              <w:spacing w:after="0"/>
              <w:rPr>
                <w:sz w:val="20"/>
                <w:szCs w:val="20"/>
                <w:color w:val="auto"/>
              </w:rPr>
            </w:pPr>
            <w:r>
              <w:rPr>
                <w:rFonts w:ascii="Arial" w:cs="Arial" w:eastAsia="Arial" w:hAnsi="Arial"/>
                <w:sz w:val="22"/>
                <w:szCs w:val="22"/>
                <w:color w:val="auto"/>
              </w:rPr>
              <w:t>term</w:t>
            </w:r>
          </w:p>
        </w:tc>
        <w:tc>
          <w:tcPr>
            <w:tcW w:w="2940" w:type="dxa"/>
            <w:vAlign w:val="bottom"/>
            <w:gridSpan w:val="2"/>
          </w:tcPr>
          <w:p>
            <w:pPr>
              <w:ind w:left="280"/>
              <w:spacing w:after="0"/>
              <w:rPr>
                <w:sz w:val="20"/>
                <w:szCs w:val="20"/>
                <w:color w:val="auto"/>
              </w:rPr>
            </w:pPr>
            <w:r>
              <w:rPr>
                <w:rFonts w:ascii="Arial" w:cs="Arial" w:eastAsia="Arial" w:hAnsi="Arial"/>
                <w:sz w:val="22"/>
                <w:szCs w:val="22"/>
                <w:color w:val="auto"/>
              </w:rPr>
              <w:t>Relative TSR targets.</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Borders>
              <w:right w:val="single" w:sz="8" w:color="F2EEF5"/>
            </w:tcBorders>
            <w:shd w:val="clear" w:color="auto" w:fill="F2EEF5"/>
          </w:tcPr>
          <w:p>
            <w:pPr>
              <w:ind w:left="80"/>
              <w:spacing w:after="0"/>
              <w:rPr>
                <w:sz w:val="20"/>
                <w:szCs w:val="20"/>
                <w:color w:val="auto"/>
              </w:rPr>
            </w:pPr>
            <w:r>
              <w:rPr>
                <w:rFonts w:ascii="Arial" w:cs="Arial" w:eastAsia="Arial" w:hAnsi="Arial"/>
                <w:sz w:val="22"/>
                <w:szCs w:val="22"/>
                <w:color w:val="auto"/>
              </w:rPr>
              <w:t>a 1-year</w:t>
            </w:r>
          </w:p>
        </w:tc>
        <w:tc>
          <w:tcPr>
            <w:tcW w:w="1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Borders>
              <w:right w:val="single" w:sz="8" w:color="EBEBEB"/>
            </w:tcBorders>
            <w:shd w:val="clear" w:color="auto" w:fill="EBEBEB"/>
          </w:tcPr>
          <w:p>
            <w:pPr>
              <w:ind w:left="80"/>
              <w:spacing w:after="0" w:line="243" w:lineRule="exact"/>
              <w:rPr>
                <w:sz w:val="20"/>
                <w:szCs w:val="20"/>
                <w:color w:val="auto"/>
              </w:rPr>
            </w:pPr>
            <w:r>
              <w:rPr>
                <w:rFonts w:ascii="Arial" w:cs="Arial" w:eastAsia="Arial" w:hAnsi="Arial"/>
                <w:sz w:val="22"/>
                <w:szCs w:val="22"/>
                <w:color w:val="auto"/>
              </w:rPr>
              <w:t>incentive</w:t>
            </w:r>
          </w:p>
        </w:tc>
        <w:tc>
          <w:tcPr>
            <w:tcW w:w="4620" w:type="dxa"/>
            <w:vAlign w:val="bottom"/>
            <w:gridSpan w:val="3"/>
          </w:tcPr>
          <w:p>
            <w:pPr>
              <w:ind w:left="6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Results certified in February 2022 above</w:t>
            </w:r>
          </w:p>
        </w:tc>
        <w:tc>
          <w:tcPr>
            <w:tcW w:w="120" w:type="dxa"/>
            <w:vAlign w:val="bottom"/>
          </w:tcPr>
          <w:p>
            <w:pPr>
              <w:spacing w:after="0"/>
              <w:rPr>
                <w:sz w:val="21"/>
                <w:szCs w:val="21"/>
                <w:color w:val="auto"/>
              </w:rPr>
            </w:pPr>
          </w:p>
        </w:tc>
        <w:tc>
          <w:tcPr>
            <w:tcW w:w="1480" w:type="dxa"/>
            <w:vAlign w:val="bottom"/>
            <w:tcBorders>
              <w:right w:val="single" w:sz="8" w:color="F2EEF5"/>
            </w:tcBorders>
            <w:shd w:val="clear" w:color="auto" w:fill="F2EEF5"/>
          </w:tcPr>
          <w:p>
            <w:pPr>
              <w:ind w:left="80"/>
              <w:spacing w:after="0" w:line="243" w:lineRule="exact"/>
              <w:rPr>
                <w:sz w:val="20"/>
                <w:szCs w:val="20"/>
                <w:color w:val="auto"/>
              </w:rPr>
            </w:pPr>
            <w:r>
              <w:rPr>
                <w:rFonts w:ascii="Arial" w:cs="Arial" w:eastAsia="Arial" w:hAnsi="Arial"/>
                <w:sz w:val="22"/>
                <w:szCs w:val="22"/>
                <w:color w:val="auto"/>
              </w:rPr>
              <w:t>holding</w:t>
            </w: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Borders>
              <w:right w:val="single" w:sz="8" w:color="EBEBEB"/>
            </w:tcBorders>
            <w:shd w:val="clear" w:color="auto" w:fill="EBEBEB"/>
          </w:tcPr>
          <w:p>
            <w:pPr>
              <w:ind w:left="80"/>
              <w:spacing w:after="0" w:line="243" w:lineRule="exact"/>
              <w:rPr>
                <w:sz w:val="20"/>
                <w:szCs w:val="20"/>
                <w:color w:val="auto"/>
              </w:rPr>
            </w:pPr>
            <w:r>
              <w:rPr>
                <w:rFonts w:ascii="Arial" w:cs="Arial" w:eastAsia="Arial" w:hAnsi="Arial"/>
                <w:sz w:val="22"/>
                <w:szCs w:val="22"/>
                <w:color w:val="auto"/>
              </w:rPr>
              <w:t>value</w:t>
            </w:r>
          </w:p>
        </w:tc>
        <w:tc>
          <w:tcPr>
            <w:tcW w:w="4620" w:type="dxa"/>
            <w:vAlign w:val="bottom"/>
            <w:gridSpan w:val="3"/>
          </w:tcPr>
          <w:p>
            <w:pPr>
              <w:ind w:left="280"/>
              <w:spacing w:after="0" w:line="243" w:lineRule="exact"/>
              <w:rPr>
                <w:sz w:val="20"/>
                <w:szCs w:val="20"/>
                <w:color w:val="auto"/>
              </w:rPr>
            </w:pPr>
            <w:r>
              <w:rPr>
                <w:rFonts w:ascii="Arial" w:cs="Arial" w:eastAsia="Arial" w:hAnsi="Arial"/>
                <w:sz w:val="22"/>
                <w:szCs w:val="22"/>
                <w:color w:val="auto"/>
              </w:rPr>
              <w:t>target performance rating of 160%.</w:t>
            </w:r>
          </w:p>
        </w:tc>
        <w:tc>
          <w:tcPr>
            <w:tcW w:w="120" w:type="dxa"/>
            <w:vAlign w:val="bottom"/>
          </w:tcPr>
          <w:p>
            <w:pPr>
              <w:spacing w:after="0"/>
              <w:rPr>
                <w:sz w:val="21"/>
                <w:szCs w:val="21"/>
                <w:color w:val="auto"/>
              </w:rPr>
            </w:pPr>
          </w:p>
        </w:tc>
        <w:tc>
          <w:tcPr>
            <w:tcW w:w="1480" w:type="dxa"/>
            <w:vAlign w:val="bottom"/>
            <w:tcBorders>
              <w:right w:val="single" w:sz="8" w:color="F2EEF5"/>
            </w:tcBorders>
            <w:shd w:val="clear" w:color="auto" w:fill="F2EEF5"/>
          </w:tcPr>
          <w:p>
            <w:pPr>
              <w:ind w:left="80"/>
              <w:spacing w:after="0" w:line="243" w:lineRule="exact"/>
              <w:rPr>
                <w:sz w:val="20"/>
                <w:szCs w:val="20"/>
                <w:color w:val="auto"/>
              </w:rPr>
            </w:pPr>
            <w:r>
              <w:rPr>
                <w:rFonts w:ascii="Arial" w:cs="Arial" w:eastAsia="Arial" w:hAnsi="Arial"/>
                <w:sz w:val="22"/>
                <w:szCs w:val="22"/>
                <w:color w:val="auto"/>
              </w:rPr>
              <w:t>period post</w:t>
            </w:r>
          </w:p>
        </w:tc>
        <w:tc>
          <w:tcPr>
            <w:tcW w:w="1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1500" w:type="dxa"/>
            <w:vAlign w:val="bottom"/>
            <w:tcBorders>
              <w:bottom w:val="single" w:sz="8" w:color="EBEBEB"/>
              <w:right w:val="single" w:sz="8" w:color="EBEBEB"/>
            </w:tcBorders>
            <w:shd w:val="clear" w:color="auto" w:fill="EBEBEB"/>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bottom w:val="single" w:sz="8" w:color="F2EEF5"/>
              <w:right w:val="single" w:sz="8" w:color="F2EEF5"/>
            </w:tcBorders>
            <w:shd w:val="clear" w:color="auto" w:fill="F2EEF5"/>
          </w:tcPr>
          <w:p>
            <w:pPr>
              <w:ind w:left="80"/>
              <w:spacing w:after="0"/>
              <w:rPr>
                <w:sz w:val="20"/>
                <w:szCs w:val="20"/>
                <w:color w:val="auto"/>
              </w:rPr>
            </w:pPr>
            <w:r>
              <w:rPr>
                <w:rFonts w:ascii="Arial" w:cs="Arial" w:eastAsia="Arial" w:hAnsi="Arial"/>
                <w:sz w:val="22"/>
                <w:szCs w:val="22"/>
                <w:color w:val="auto"/>
              </w:rPr>
              <w:t>vest</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00" w:type="dxa"/>
            <w:vAlign w:val="bottom"/>
            <w:tcBorders>
              <w:top w:val="single" w:sz="8" w:color="582C83"/>
              <w:right w:val="single" w:sz="8" w:color="EBEBEB"/>
            </w:tcBorders>
          </w:tcPr>
          <w:p>
            <w:pPr>
              <w:spacing w:after="0"/>
              <w:rPr>
                <w:sz w:val="23"/>
                <w:szCs w:val="23"/>
                <w:color w:val="auto"/>
              </w:rPr>
            </w:pPr>
          </w:p>
        </w:tc>
        <w:tc>
          <w:tcPr>
            <w:tcW w:w="1480" w:type="dxa"/>
            <w:vAlign w:val="bottom"/>
            <w:tcBorders>
              <w:top w:val="single" w:sz="8" w:color="582C83"/>
              <w:right w:val="single" w:sz="8" w:color="EBEBEB"/>
            </w:tcBorders>
            <w:vMerge w:val="restart"/>
            <w:shd w:val="clear" w:color="auto" w:fill="EBEBEB"/>
          </w:tcPr>
          <w:p>
            <w:pPr>
              <w:ind w:left="60"/>
              <w:spacing w:after="0"/>
              <w:rPr>
                <w:sz w:val="20"/>
                <w:szCs w:val="20"/>
                <w:color w:val="auto"/>
              </w:rPr>
            </w:pPr>
            <w:r>
              <w:rPr>
                <w:rFonts w:ascii="Arial" w:cs="Arial" w:eastAsia="Arial" w:hAnsi="Arial"/>
                <w:sz w:val="22"/>
                <w:szCs w:val="22"/>
                <w:b w:val="1"/>
                <w:bCs w:val="1"/>
                <w:color w:val="auto"/>
              </w:rPr>
              <w:t>2020-2022</w:t>
            </w:r>
          </w:p>
        </w:tc>
        <w:tc>
          <w:tcPr>
            <w:tcW w:w="4740" w:type="dxa"/>
            <w:vAlign w:val="bottom"/>
            <w:tcBorders>
              <w:top w:val="single" w:sz="8" w:color="582C83"/>
              <w:right w:val="single" w:sz="8" w:color="F2EEF5"/>
            </w:tcBorders>
            <w:gridSpan w:val="4"/>
            <w:vMerge w:val="restart"/>
          </w:tcPr>
          <w:p>
            <w:pPr>
              <w:ind w:left="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Based on achievement of Organic Net</w:t>
            </w:r>
          </w:p>
        </w:tc>
        <w:tc>
          <w:tcPr>
            <w:tcW w:w="1480" w:type="dxa"/>
            <w:vAlign w:val="bottom"/>
            <w:tcBorders>
              <w:top w:val="single" w:sz="8" w:color="F2EEF5"/>
              <w:right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Shares</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EBEBEB"/>
            </w:tcBorders>
          </w:tcPr>
          <w:p>
            <w:pPr>
              <w:spacing w:after="0"/>
              <w:rPr>
                <w:sz w:val="18"/>
                <w:szCs w:val="18"/>
                <w:color w:val="auto"/>
              </w:rPr>
            </w:pPr>
          </w:p>
        </w:tc>
        <w:tc>
          <w:tcPr>
            <w:tcW w:w="1480" w:type="dxa"/>
            <w:vAlign w:val="bottom"/>
            <w:tcBorders>
              <w:right w:val="single" w:sz="8" w:color="EBEBEB"/>
            </w:tcBorders>
            <w:vMerge w:val="continue"/>
            <w:shd w:val="clear" w:color="auto" w:fill="EBEBEB"/>
          </w:tcPr>
          <w:p>
            <w:pPr>
              <w:spacing w:after="0"/>
              <w:rPr>
                <w:sz w:val="18"/>
                <w:szCs w:val="18"/>
                <w:color w:val="auto"/>
              </w:rPr>
            </w:pPr>
          </w:p>
        </w:tc>
        <w:tc>
          <w:tcPr>
            <w:tcW w:w="4740" w:type="dxa"/>
            <w:vAlign w:val="bottom"/>
            <w:tcBorders>
              <w:right w:val="single" w:sz="8" w:color="F2EEF5"/>
            </w:tcBorders>
            <w:gridSpan w:val="4"/>
            <w:vMerge w:val="continue"/>
          </w:tcPr>
          <w:p>
            <w:pPr>
              <w:spacing w:after="0"/>
              <w:rPr>
                <w:sz w:val="18"/>
                <w:szCs w:val="18"/>
                <w:color w:val="auto"/>
              </w:rPr>
            </w:pPr>
          </w:p>
        </w:tc>
        <w:tc>
          <w:tcPr>
            <w:tcW w:w="1480" w:type="dxa"/>
            <w:vAlign w:val="bottom"/>
            <w:tcBorders>
              <w:right w:val="single" w:sz="8" w:color="F2EEF5"/>
            </w:tcBorders>
            <w:shd w:val="clear" w:color="auto" w:fill="F2EEF5"/>
          </w:tcPr>
          <w:p>
            <w:pPr>
              <w:ind w:left="60"/>
              <w:spacing w:after="0" w:line="216" w:lineRule="exact"/>
              <w:rPr>
                <w:sz w:val="20"/>
                <w:szCs w:val="20"/>
                <w:color w:val="auto"/>
              </w:rPr>
            </w:pPr>
            <w:r>
              <w:rPr>
                <w:rFonts w:ascii="Arial" w:cs="Arial" w:eastAsia="Arial" w:hAnsi="Arial"/>
                <w:sz w:val="22"/>
                <w:szCs w:val="22"/>
                <w:color w:val="auto"/>
              </w:rPr>
              <w:t>earned</w:t>
            </w: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500" w:type="dxa"/>
            <w:vAlign w:val="bottom"/>
            <w:tcBorders>
              <w:right w:val="single" w:sz="8" w:color="EBEBEB"/>
            </w:tcBorders>
          </w:tcPr>
          <w:p>
            <w:pPr>
              <w:spacing w:after="0"/>
              <w:rPr>
                <w:sz w:val="22"/>
                <w:szCs w:val="22"/>
                <w:color w:val="auto"/>
              </w:rPr>
            </w:pPr>
          </w:p>
        </w:tc>
        <w:tc>
          <w:tcPr>
            <w:tcW w:w="1480" w:type="dxa"/>
            <w:vAlign w:val="bottom"/>
            <w:tcBorders>
              <w:right w:val="single" w:sz="8" w:color="EBEBEB"/>
            </w:tcBorders>
            <w:shd w:val="clear" w:color="auto" w:fill="EBEBEB"/>
          </w:tcPr>
          <w:p>
            <w:pPr>
              <w:ind w:left="60"/>
              <w:spacing w:after="0"/>
              <w:rPr>
                <w:sz w:val="20"/>
                <w:szCs w:val="20"/>
                <w:color w:val="auto"/>
              </w:rPr>
            </w:pPr>
            <w:r>
              <w:rPr>
                <w:rFonts w:ascii="Arial" w:cs="Arial" w:eastAsia="Arial" w:hAnsi="Arial"/>
                <w:sz w:val="22"/>
                <w:szCs w:val="22"/>
                <w:color w:val="auto"/>
              </w:rPr>
              <w:t>75% of long-</w:t>
            </w:r>
          </w:p>
        </w:tc>
        <w:tc>
          <w:tcPr>
            <w:tcW w:w="4740" w:type="dxa"/>
            <w:vAlign w:val="bottom"/>
            <w:tcBorders>
              <w:right w:val="single" w:sz="8" w:color="F2EEF5"/>
            </w:tcBorders>
            <w:gridSpan w:val="4"/>
          </w:tcPr>
          <w:p>
            <w:pPr>
              <w:ind w:left="260"/>
              <w:spacing w:after="0"/>
              <w:rPr>
                <w:sz w:val="20"/>
                <w:szCs w:val="20"/>
                <w:color w:val="auto"/>
              </w:rPr>
            </w:pPr>
            <w:r>
              <w:rPr>
                <w:rFonts w:ascii="Arial" w:cs="Arial" w:eastAsia="Arial" w:hAnsi="Arial"/>
                <w:sz w:val="22"/>
                <w:szCs w:val="22"/>
                <w:color w:val="auto"/>
              </w:rPr>
              <w:t>Revenue Growth, Adjusted EPS Growth and</w:t>
            </w:r>
          </w:p>
        </w:tc>
        <w:tc>
          <w:tcPr>
            <w:tcW w:w="1480" w:type="dxa"/>
            <w:vAlign w:val="bottom"/>
            <w:tcBorders>
              <w:right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are subject to</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00" w:type="dxa"/>
            <w:vAlign w:val="bottom"/>
            <w:tcBorders>
              <w:right w:val="single" w:sz="8" w:color="EBEBEB"/>
            </w:tcBorders>
          </w:tcPr>
          <w:p>
            <w:pPr>
              <w:spacing w:after="0"/>
              <w:rPr>
                <w:sz w:val="22"/>
                <w:szCs w:val="22"/>
                <w:color w:val="auto"/>
              </w:rPr>
            </w:pPr>
          </w:p>
        </w:tc>
        <w:tc>
          <w:tcPr>
            <w:tcW w:w="1480" w:type="dxa"/>
            <w:vAlign w:val="bottom"/>
            <w:tcBorders>
              <w:right w:val="single" w:sz="8" w:color="EBEBEB"/>
            </w:tcBorders>
            <w:shd w:val="clear" w:color="auto" w:fill="EBEBEB"/>
          </w:tcPr>
          <w:p>
            <w:pPr>
              <w:ind w:left="60"/>
              <w:spacing w:after="0"/>
              <w:rPr>
                <w:sz w:val="20"/>
                <w:szCs w:val="20"/>
                <w:color w:val="auto"/>
              </w:rPr>
            </w:pPr>
            <w:r>
              <w:rPr>
                <w:rFonts w:ascii="Arial" w:cs="Arial" w:eastAsia="Arial" w:hAnsi="Arial"/>
                <w:sz w:val="22"/>
                <w:szCs w:val="22"/>
                <w:color w:val="auto"/>
              </w:rPr>
              <w:t>term</w:t>
            </w:r>
          </w:p>
        </w:tc>
        <w:tc>
          <w:tcPr>
            <w:tcW w:w="3140" w:type="dxa"/>
            <w:vAlign w:val="bottom"/>
            <w:gridSpan w:val="2"/>
          </w:tcPr>
          <w:p>
            <w:pPr>
              <w:ind w:left="260"/>
              <w:spacing w:after="0"/>
              <w:rPr>
                <w:sz w:val="20"/>
                <w:szCs w:val="20"/>
                <w:color w:val="auto"/>
              </w:rPr>
            </w:pPr>
            <w:r>
              <w:rPr>
                <w:rFonts w:ascii="Arial" w:cs="Arial" w:eastAsia="Arial" w:hAnsi="Arial"/>
                <w:sz w:val="22"/>
                <w:szCs w:val="22"/>
                <w:color w:val="auto"/>
              </w:rPr>
              <w:t>Relative TSR targets.</w:t>
            </w:r>
          </w:p>
        </w:tc>
        <w:tc>
          <w:tcPr>
            <w:tcW w:w="120" w:type="dxa"/>
            <w:vAlign w:val="bottom"/>
          </w:tcPr>
          <w:p>
            <w:pPr>
              <w:spacing w:after="0"/>
              <w:rPr>
                <w:sz w:val="22"/>
                <w:szCs w:val="22"/>
                <w:color w:val="auto"/>
              </w:rPr>
            </w:pPr>
          </w:p>
        </w:tc>
        <w:tc>
          <w:tcPr>
            <w:tcW w:w="1480" w:type="dxa"/>
            <w:vAlign w:val="bottom"/>
            <w:tcBorders>
              <w:right w:val="single" w:sz="8" w:color="F2EEF5"/>
            </w:tcBorders>
          </w:tcPr>
          <w:p>
            <w:pPr>
              <w:spacing w:after="0"/>
              <w:rPr>
                <w:sz w:val="22"/>
                <w:szCs w:val="22"/>
                <w:color w:val="auto"/>
              </w:rPr>
            </w:pPr>
          </w:p>
        </w:tc>
        <w:tc>
          <w:tcPr>
            <w:tcW w:w="1480" w:type="dxa"/>
            <w:vAlign w:val="bottom"/>
            <w:tcBorders>
              <w:right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a 1-year</w:t>
            </w:r>
          </w:p>
        </w:tc>
        <w:tc>
          <w:tcPr>
            <w:tcW w:w="1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Borders>
              <w:right w:val="single" w:sz="8" w:color="EBEBEB"/>
            </w:tcBorders>
          </w:tcPr>
          <w:p>
            <w:pPr>
              <w:spacing w:after="0"/>
              <w:rPr>
                <w:sz w:val="21"/>
                <w:szCs w:val="21"/>
                <w:color w:val="auto"/>
              </w:rPr>
            </w:pPr>
          </w:p>
        </w:tc>
        <w:tc>
          <w:tcPr>
            <w:tcW w:w="1480" w:type="dxa"/>
            <w:vAlign w:val="bottom"/>
            <w:tcBorders>
              <w:right w:val="single" w:sz="8" w:color="EBEBEB"/>
            </w:tcBorders>
            <w:shd w:val="clear" w:color="auto" w:fill="EBEBEB"/>
          </w:tcPr>
          <w:p>
            <w:pPr>
              <w:ind w:left="60"/>
              <w:spacing w:after="0" w:line="243" w:lineRule="exact"/>
              <w:rPr>
                <w:sz w:val="20"/>
                <w:szCs w:val="20"/>
                <w:color w:val="auto"/>
              </w:rPr>
            </w:pPr>
            <w:r>
              <w:rPr>
                <w:rFonts w:ascii="Arial" w:cs="Arial" w:eastAsia="Arial" w:hAnsi="Arial"/>
                <w:sz w:val="22"/>
                <w:szCs w:val="22"/>
                <w:color w:val="auto"/>
              </w:rPr>
              <w:t>incentive</w:t>
            </w:r>
          </w:p>
        </w:tc>
        <w:tc>
          <w:tcPr>
            <w:tcW w:w="4740" w:type="dxa"/>
            <w:vAlign w:val="bottom"/>
            <w:tcBorders>
              <w:right w:val="single" w:sz="8" w:color="F2EEF5"/>
            </w:tcBorders>
            <w:gridSpan w:val="4"/>
          </w:tcPr>
          <w:p>
            <w:pPr>
              <w:ind w:left="6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At December 31, 2021, performance was</w:t>
            </w:r>
          </w:p>
        </w:tc>
        <w:tc>
          <w:tcPr>
            <w:tcW w:w="1480" w:type="dxa"/>
            <w:vAlign w:val="bottom"/>
            <w:tcBorders>
              <w:right w:val="single" w:sz="8" w:color="F2EEF5"/>
            </w:tcBorders>
            <w:shd w:val="clear" w:color="auto" w:fill="F2EEF5"/>
          </w:tcPr>
          <w:p>
            <w:pPr>
              <w:ind w:left="60"/>
              <w:spacing w:after="0" w:line="243" w:lineRule="exact"/>
              <w:rPr>
                <w:sz w:val="20"/>
                <w:szCs w:val="20"/>
                <w:color w:val="auto"/>
              </w:rPr>
            </w:pPr>
            <w:r>
              <w:rPr>
                <w:rFonts w:ascii="Arial" w:cs="Arial" w:eastAsia="Arial" w:hAnsi="Arial"/>
                <w:sz w:val="22"/>
                <w:szCs w:val="22"/>
                <w:color w:val="auto"/>
              </w:rPr>
              <w:t>holding</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Borders>
              <w:right w:val="single" w:sz="8" w:color="EBEBEB"/>
            </w:tcBorders>
          </w:tcPr>
          <w:p>
            <w:pPr>
              <w:spacing w:after="0"/>
              <w:rPr>
                <w:sz w:val="21"/>
                <w:szCs w:val="21"/>
                <w:color w:val="auto"/>
              </w:rPr>
            </w:pPr>
          </w:p>
        </w:tc>
        <w:tc>
          <w:tcPr>
            <w:tcW w:w="1480" w:type="dxa"/>
            <w:vAlign w:val="bottom"/>
            <w:tcBorders>
              <w:right w:val="single" w:sz="8" w:color="EBEBEB"/>
            </w:tcBorders>
            <w:shd w:val="clear" w:color="auto" w:fill="EBEBEB"/>
          </w:tcPr>
          <w:p>
            <w:pPr>
              <w:ind w:left="60"/>
              <w:spacing w:after="0" w:line="243" w:lineRule="exact"/>
              <w:rPr>
                <w:sz w:val="20"/>
                <w:szCs w:val="20"/>
                <w:color w:val="auto"/>
              </w:rPr>
            </w:pPr>
            <w:r>
              <w:rPr>
                <w:rFonts w:ascii="Arial" w:cs="Arial" w:eastAsia="Arial" w:hAnsi="Arial"/>
                <w:sz w:val="22"/>
                <w:szCs w:val="22"/>
                <w:color w:val="auto"/>
              </w:rPr>
              <w:t>value</w:t>
            </w:r>
          </w:p>
        </w:tc>
        <w:tc>
          <w:tcPr>
            <w:tcW w:w="4740" w:type="dxa"/>
            <w:vAlign w:val="bottom"/>
            <w:tcBorders>
              <w:right w:val="single" w:sz="8" w:color="F2EEF5"/>
            </w:tcBorders>
            <w:gridSpan w:val="4"/>
          </w:tcPr>
          <w:p>
            <w:pPr>
              <w:ind w:left="260"/>
              <w:spacing w:after="0" w:line="243" w:lineRule="exact"/>
              <w:rPr>
                <w:sz w:val="20"/>
                <w:szCs w:val="20"/>
                <w:color w:val="auto"/>
              </w:rPr>
            </w:pPr>
            <w:r>
              <w:rPr>
                <w:rFonts w:ascii="Arial" w:cs="Arial" w:eastAsia="Arial" w:hAnsi="Arial"/>
                <w:sz w:val="22"/>
                <w:szCs w:val="22"/>
                <w:color w:val="auto"/>
              </w:rPr>
              <w:t>projected to be above target level.</w:t>
            </w:r>
          </w:p>
        </w:tc>
        <w:tc>
          <w:tcPr>
            <w:tcW w:w="1480" w:type="dxa"/>
            <w:vAlign w:val="bottom"/>
            <w:tcBorders>
              <w:right w:val="single" w:sz="8" w:color="F2EEF5"/>
            </w:tcBorders>
            <w:shd w:val="clear" w:color="auto" w:fill="F2EEF5"/>
          </w:tcPr>
          <w:p>
            <w:pPr>
              <w:ind w:left="60"/>
              <w:spacing w:after="0" w:line="243" w:lineRule="exact"/>
              <w:rPr>
                <w:sz w:val="20"/>
                <w:szCs w:val="20"/>
                <w:color w:val="auto"/>
              </w:rPr>
            </w:pPr>
            <w:r>
              <w:rPr>
                <w:rFonts w:ascii="Arial" w:cs="Arial" w:eastAsia="Arial" w:hAnsi="Arial"/>
                <w:sz w:val="22"/>
                <w:szCs w:val="22"/>
                <w:color w:val="auto"/>
              </w:rPr>
              <w:t>period</w:t>
            </w:r>
          </w:p>
        </w:tc>
        <w:tc>
          <w:tcPr>
            <w:tcW w:w="1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1500" w:type="dxa"/>
            <w:vAlign w:val="bottom"/>
            <w:tcBorders>
              <w:right w:val="single" w:sz="8" w:color="EBEBEB"/>
            </w:tcBorders>
          </w:tcPr>
          <w:p>
            <w:pPr>
              <w:spacing w:after="0"/>
              <w:rPr>
                <w:sz w:val="24"/>
                <w:szCs w:val="24"/>
                <w:color w:val="auto"/>
              </w:rPr>
            </w:pPr>
          </w:p>
        </w:tc>
        <w:tc>
          <w:tcPr>
            <w:tcW w:w="1480" w:type="dxa"/>
            <w:vAlign w:val="bottom"/>
            <w:tcBorders>
              <w:bottom w:val="single" w:sz="8" w:color="EBEBEB"/>
              <w:right w:val="single" w:sz="8" w:color="EBEBEB"/>
            </w:tcBorders>
            <w:shd w:val="clear" w:color="auto" w:fill="EBEBEB"/>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Borders>
              <w:right w:val="single" w:sz="8" w:color="F2EEF5"/>
            </w:tcBorders>
          </w:tcPr>
          <w:p>
            <w:pPr>
              <w:spacing w:after="0"/>
              <w:rPr>
                <w:sz w:val="24"/>
                <w:szCs w:val="24"/>
                <w:color w:val="auto"/>
              </w:rPr>
            </w:pPr>
          </w:p>
        </w:tc>
        <w:tc>
          <w:tcPr>
            <w:tcW w:w="1480" w:type="dxa"/>
            <w:vAlign w:val="bottom"/>
            <w:tcBorders>
              <w:bottom w:val="single" w:sz="8" w:color="F2EEF5"/>
              <w:right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post vest</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3"/>
                <w:szCs w:val="23"/>
                <w:color w:val="auto"/>
              </w:rPr>
            </w:pPr>
          </w:p>
        </w:tc>
        <w:tc>
          <w:tcPr>
            <w:tcW w:w="1480" w:type="dxa"/>
            <w:vAlign w:val="bottom"/>
            <w:tcBorders>
              <w:top w:val="single" w:sz="8" w:color="582C83"/>
              <w:right w:val="single" w:sz="8" w:color="EBEBEB"/>
            </w:tcBorders>
          </w:tcPr>
          <w:p>
            <w:pPr>
              <w:spacing w:after="0"/>
              <w:rPr>
                <w:sz w:val="23"/>
                <w:szCs w:val="23"/>
                <w:color w:val="auto"/>
              </w:rPr>
            </w:pPr>
          </w:p>
        </w:tc>
        <w:tc>
          <w:tcPr>
            <w:tcW w:w="1460" w:type="dxa"/>
            <w:vAlign w:val="bottom"/>
            <w:tcBorders>
              <w:top w:val="single" w:sz="8" w:color="582C83"/>
              <w:right w:val="single" w:sz="8" w:color="EBEBEB"/>
            </w:tcBorders>
            <w:vMerge w:val="restart"/>
            <w:shd w:val="clear" w:color="auto" w:fill="EBEBEB"/>
          </w:tcPr>
          <w:p>
            <w:pPr>
              <w:ind w:left="60"/>
              <w:spacing w:after="0"/>
              <w:rPr>
                <w:sz w:val="20"/>
                <w:szCs w:val="20"/>
                <w:color w:val="auto"/>
              </w:rPr>
            </w:pPr>
            <w:r>
              <w:rPr>
                <w:rFonts w:ascii="Arial" w:cs="Arial" w:eastAsia="Arial" w:hAnsi="Arial"/>
                <w:sz w:val="22"/>
                <w:szCs w:val="22"/>
                <w:b w:val="1"/>
                <w:bCs w:val="1"/>
                <w:color w:val="auto"/>
              </w:rPr>
              <w:t>2021-2023</w:t>
            </w:r>
          </w:p>
        </w:tc>
        <w:tc>
          <w:tcPr>
            <w:tcW w:w="4760" w:type="dxa"/>
            <w:vAlign w:val="bottom"/>
            <w:tcBorders>
              <w:top w:val="single" w:sz="8" w:color="582C83"/>
              <w:right w:val="single" w:sz="8" w:color="F2EEF5"/>
            </w:tcBorders>
            <w:gridSpan w:val="4"/>
            <w:vMerge w:val="restart"/>
          </w:tcPr>
          <w:p>
            <w:pPr>
              <w:ind w:left="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Based on achievement of Organic Net</w:t>
            </w:r>
          </w:p>
        </w:tc>
        <w:tc>
          <w:tcPr>
            <w:tcW w:w="1480" w:type="dxa"/>
            <w:vAlign w:val="bottom"/>
            <w:tcBorders>
              <w:top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Shares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480" w:type="dxa"/>
            <w:vAlign w:val="bottom"/>
            <w:tcBorders>
              <w:right w:val="single" w:sz="8" w:color="EBEBEB"/>
            </w:tcBorders>
          </w:tcPr>
          <w:p>
            <w:pPr>
              <w:spacing w:after="0"/>
              <w:rPr>
                <w:sz w:val="18"/>
                <w:szCs w:val="18"/>
                <w:color w:val="auto"/>
              </w:rPr>
            </w:pPr>
          </w:p>
        </w:tc>
        <w:tc>
          <w:tcPr>
            <w:tcW w:w="1460" w:type="dxa"/>
            <w:vAlign w:val="bottom"/>
            <w:tcBorders>
              <w:right w:val="single" w:sz="8" w:color="EBEBEB"/>
            </w:tcBorders>
            <w:vMerge w:val="continue"/>
            <w:shd w:val="clear" w:color="auto" w:fill="EBEBEB"/>
          </w:tcPr>
          <w:p>
            <w:pPr>
              <w:spacing w:after="0"/>
              <w:rPr>
                <w:sz w:val="18"/>
                <w:szCs w:val="18"/>
                <w:color w:val="auto"/>
              </w:rPr>
            </w:pPr>
          </w:p>
        </w:tc>
        <w:tc>
          <w:tcPr>
            <w:tcW w:w="4760" w:type="dxa"/>
            <w:vAlign w:val="bottom"/>
            <w:tcBorders>
              <w:right w:val="single" w:sz="8" w:color="F2EEF5"/>
            </w:tcBorders>
            <w:gridSpan w:val="4"/>
            <w:vMerge w:val="continue"/>
          </w:tcPr>
          <w:p>
            <w:pPr>
              <w:spacing w:after="0"/>
              <w:rPr>
                <w:sz w:val="18"/>
                <w:szCs w:val="18"/>
                <w:color w:val="auto"/>
              </w:rPr>
            </w:pPr>
          </w:p>
        </w:tc>
        <w:tc>
          <w:tcPr>
            <w:tcW w:w="1480" w:type="dxa"/>
            <w:vAlign w:val="bottom"/>
            <w:shd w:val="clear" w:color="auto" w:fill="F2EEF5"/>
          </w:tcPr>
          <w:p>
            <w:pPr>
              <w:ind w:left="60"/>
              <w:spacing w:after="0" w:line="216" w:lineRule="exact"/>
              <w:rPr>
                <w:sz w:val="20"/>
                <w:szCs w:val="20"/>
                <w:color w:val="auto"/>
              </w:rPr>
            </w:pPr>
            <w:r>
              <w:rPr>
                <w:rFonts w:ascii="Arial" w:cs="Arial" w:eastAsia="Arial" w:hAnsi="Arial"/>
                <w:sz w:val="22"/>
                <w:szCs w:val="22"/>
                <w:color w:val="auto"/>
              </w:rPr>
              <w:t>earned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480" w:type="dxa"/>
            <w:vAlign w:val="bottom"/>
            <w:tcBorders>
              <w:right w:val="single" w:sz="8" w:color="EBEBEB"/>
            </w:tcBorders>
          </w:tcPr>
          <w:p>
            <w:pPr>
              <w:spacing w:after="0"/>
              <w:rPr>
                <w:sz w:val="22"/>
                <w:szCs w:val="22"/>
                <w:color w:val="auto"/>
              </w:rPr>
            </w:pPr>
          </w:p>
        </w:tc>
        <w:tc>
          <w:tcPr>
            <w:tcW w:w="1460" w:type="dxa"/>
            <w:vAlign w:val="bottom"/>
            <w:tcBorders>
              <w:right w:val="single" w:sz="8" w:color="EBEBEB"/>
            </w:tcBorders>
            <w:shd w:val="clear" w:color="auto" w:fill="EBEBEB"/>
          </w:tcPr>
          <w:p>
            <w:pPr>
              <w:ind w:left="60"/>
              <w:spacing w:after="0"/>
              <w:rPr>
                <w:sz w:val="20"/>
                <w:szCs w:val="20"/>
                <w:color w:val="auto"/>
              </w:rPr>
            </w:pPr>
            <w:r>
              <w:rPr>
                <w:rFonts w:ascii="Arial" w:cs="Arial" w:eastAsia="Arial" w:hAnsi="Arial"/>
                <w:sz w:val="22"/>
                <w:szCs w:val="22"/>
                <w:color w:val="auto"/>
              </w:rPr>
              <w:t>75% of long-</w:t>
            </w:r>
          </w:p>
        </w:tc>
        <w:tc>
          <w:tcPr>
            <w:tcW w:w="4760" w:type="dxa"/>
            <w:vAlign w:val="bottom"/>
            <w:tcBorders>
              <w:right w:val="single" w:sz="8" w:color="F2EEF5"/>
            </w:tcBorders>
            <w:gridSpan w:val="4"/>
          </w:tcPr>
          <w:p>
            <w:pPr>
              <w:ind w:left="280"/>
              <w:spacing w:after="0"/>
              <w:rPr>
                <w:sz w:val="20"/>
                <w:szCs w:val="20"/>
                <w:color w:val="auto"/>
              </w:rPr>
            </w:pPr>
            <w:r>
              <w:rPr>
                <w:rFonts w:ascii="Arial" w:cs="Arial" w:eastAsia="Arial" w:hAnsi="Arial"/>
                <w:sz w:val="22"/>
                <w:szCs w:val="22"/>
                <w:color w:val="auto"/>
              </w:rPr>
              <w:t>Revenue Growth, Adjusted EPS Growth and</w:t>
            </w:r>
          </w:p>
        </w:tc>
        <w:tc>
          <w:tcPr>
            <w:tcW w:w="1480" w:type="dxa"/>
            <w:vAlign w:val="bottom"/>
            <w:shd w:val="clear" w:color="auto" w:fill="F2EEF5"/>
          </w:tcPr>
          <w:p>
            <w:pPr>
              <w:ind w:left="60"/>
              <w:spacing w:after="0"/>
              <w:rPr>
                <w:sz w:val="20"/>
                <w:szCs w:val="20"/>
                <w:color w:val="auto"/>
              </w:rPr>
            </w:pPr>
            <w:r>
              <w:rPr>
                <w:rFonts w:ascii="Arial" w:cs="Arial" w:eastAsia="Arial" w:hAnsi="Arial"/>
                <w:sz w:val="22"/>
                <w:szCs w:val="22"/>
                <w:color w:val="auto"/>
              </w:rPr>
              <w:t>are subject to</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480" w:type="dxa"/>
            <w:vAlign w:val="bottom"/>
            <w:tcBorders>
              <w:right w:val="single" w:sz="8" w:color="EBEBEB"/>
            </w:tcBorders>
          </w:tcPr>
          <w:p>
            <w:pPr>
              <w:spacing w:after="0"/>
              <w:rPr>
                <w:sz w:val="22"/>
                <w:szCs w:val="22"/>
                <w:color w:val="auto"/>
              </w:rPr>
            </w:pPr>
          </w:p>
        </w:tc>
        <w:tc>
          <w:tcPr>
            <w:tcW w:w="1460" w:type="dxa"/>
            <w:vAlign w:val="bottom"/>
            <w:tcBorders>
              <w:right w:val="single" w:sz="8" w:color="EBEBEB"/>
            </w:tcBorders>
            <w:shd w:val="clear" w:color="auto" w:fill="EBEBEB"/>
          </w:tcPr>
          <w:p>
            <w:pPr>
              <w:ind w:left="60"/>
              <w:spacing w:after="0"/>
              <w:rPr>
                <w:sz w:val="20"/>
                <w:szCs w:val="20"/>
                <w:color w:val="auto"/>
              </w:rPr>
            </w:pPr>
            <w:r>
              <w:rPr>
                <w:rFonts w:ascii="Arial" w:cs="Arial" w:eastAsia="Arial" w:hAnsi="Arial"/>
                <w:sz w:val="22"/>
                <w:szCs w:val="22"/>
                <w:color w:val="auto"/>
              </w:rPr>
              <w:t>term</w:t>
            </w:r>
          </w:p>
        </w:tc>
        <w:tc>
          <w:tcPr>
            <w:tcW w:w="3280" w:type="dxa"/>
            <w:vAlign w:val="bottom"/>
            <w:gridSpan w:val="3"/>
          </w:tcPr>
          <w:p>
            <w:pPr>
              <w:ind w:left="280"/>
              <w:spacing w:after="0"/>
              <w:rPr>
                <w:sz w:val="20"/>
                <w:szCs w:val="20"/>
                <w:color w:val="auto"/>
              </w:rPr>
            </w:pPr>
            <w:r>
              <w:rPr>
                <w:rFonts w:ascii="Arial" w:cs="Arial" w:eastAsia="Arial" w:hAnsi="Arial"/>
                <w:sz w:val="22"/>
                <w:szCs w:val="22"/>
                <w:color w:val="auto"/>
              </w:rPr>
              <w:t>Relative TSR targets.</w:t>
            </w:r>
          </w:p>
        </w:tc>
        <w:tc>
          <w:tcPr>
            <w:tcW w:w="1480" w:type="dxa"/>
            <w:vAlign w:val="bottom"/>
            <w:tcBorders>
              <w:right w:val="single" w:sz="8" w:color="F2EEF5"/>
            </w:tcBorders>
          </w:tcPr>
          <w:p>
            <w:pPr>
              <w:spacing w:after="0"/>
              <w:rPr>
                <w:sz w:val="22"/>
                <w:szCs w:val="22"/>
                <w:color w:val="auto"/>
              </w:rPr>
            </w:pPr>
          </w:p>
        </w:tc>
        <w:tc>
          <w:tcPr>
            <w:tcW w:w="1480" w:type="dxa"/>
            <w:vAlign w:val="bottom"/>
            <w:shd w:val="clear" w:color="auto" w:fill="F2EEF5"/>
          </w:tcPr>
          <w:p>
            <w:pPr>
              <w:ind w:left="60"/>
              <w:spacing w:after="0"/>
              <w:rPr>
                <w:sz w:val="20"/>
                <w:szCs w:val="20"/>
                <w:color w:val="auto"/>
              </w:rPr>
            </w:pPr>
            <w:r>
              <w:rPr>
                <w:rFonts w:ascii="Arial" w:cs="Arial" w:eastAsia="Arial" w:hAnsi="Arial"/>
                <w:sz w:val="22"/>
                <w:szCs w:val="22"/>
                <w:color w:val="auto"/>
              </w:rPr>
              <w:t>a 1-year</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80" w:type="dxa"/>
            <w:vAlign w:val="bottom"/>
            <w:tcBorders>
              <w:right w:val="single" w:sz="8" w:color="EBEBEB"/>
            </w:tcBorders>
          </w:tcPr>
          <w:p>
            <w:pPr>
              <w:spacing w:after="0"/>
              <w:rPr>
                <w:sz w:val="21"/>
                <w:szCs w:val="21"/>
                <w:color w:val="auto"/>
              </w:rPr>
            </w:pPr>
          </w:p>
        </w:tc>
        <w:tc>
          <w:tcPr>
            <w:tcW w:w="1460" w:type="dxa"/>
            <w:vAlign w:val="bottom"/>
            <w:tcBorders>
              <w:right w:val="single" w:sz="8" w:color="EBEBEB"/>
            </w:tcBorders>
            <w:shd w:val="clear" w:color="auto" w:fill="EBEBEB"/>
          </w:tcPr>
          <w:p>
            <w:pPr>
              <w:ind w:left="60"/>
              <w:spacing w:after="0" w:line="243" w:lineRule="exact"/>
              <w:rPr>
                <w:sz w:val="20"/>
                <w:szCs w:val="20"/>
                <w:color w:val="auto"/>
              </w:rPr>
            </w:pPr>
            <w:r>
              <w:rPr>
                <w:rFonts w:ascii="Arial" w:cs="Arial" w:eastAsia="Arial" w:hAnsi="Arial"/>
                <w:sz w:val="22"/>
                <w:szCs w:val="22"/>
                <w:color w:val="auto"/>
              </w:rPr>
              <w:t>incentive</w:t>
            </w:r>
          </w:p>
        </w:tc>
        <w:tc>
          <w:tcPr>
            <w:tcW w:w="4760" w:type="dxa"/>
            <w:vAlign w:val="bottom"/>
            <w:tcBorders>
              <w:right w:val="single" w:sz="8" w:color="F2EEF5"/>
            </w:tcBorders>
            <w:gridSpan w:val="4"/>
          </w:tcPr>
          <w:p>
            <w:pPr>
              <w:ind w:left="6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At December 31, 2021, performance was</w:t>
            </w:r>
          </w:p>
        </w:tc>
        <w:tc>
          <w:tcPr>
            <w:tcW w:w="1480" w:type="dxa"/>
            <w:vAlign w:val="bottom"/>
            <w:shd w:val="clear" w:color="auto" w:fill="F2EEF5"/>
          </w:tcPr>
          <w:p>
            <w:pPr>
              <w:ind w:left="60"/>
              <w:spacing w:after="0" w:line="243" w:lineRule="exact"/>
              <w:rPr>
                <w:sz w:val="20"/>
                <w:szCs w:val="20"/>
                <w:color w:val="auto"/>
              </w:rPr>
            </w:pPr>
            <w:r>
              <w:rPr>
                <w:rFonts w:ascii="Arial" w:cs="Arial" w:eastAsia="Arial" w:hAnsi="Arial"/>
                <w:sz w:val="22"/>
                <w:szCs w:val="22"/>
                <w:color w:val="auto"/>
              </w:rPr>
              <w:t>holding</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00" w:type="dxa"/>
            <w:vAlign w:val="bottom"/>
          </w:tcPr>
          <w:p>
            <w:pPr>
              <w:spacing w:after="0"/>
              <w:rPr>
                <w:sz w:val="21"/>
                <w:szCs w:val="21"/>
                <w:color w:val="auto"/>
              </w:rPr>
            </w:pPr>
          </w:p>
        </w:tc>
        <w:tc>
          <w:tcPr>
            <w:tcW w:w="1480" w:type="dxa"/>
            <w:vAlign w:val="bottom"/>
            <w:tcBorders>
              <w:right w:val="single" w:sz="8" w:color="EBEBEB"/>
            </w:tcBorders>
          </w:tcPr>
          <w:p>
            <w:pPr>
              <w:spacing w:after="0"/>
              <w:rPr>
                <w:sz w:val="21"/>
                <w:szCs w:val="21"/>
                <w:color w:val="auto"/>
              </w:rPr>
            </w:pPr>
          </w:p>
        </w:tc>
        <w:tc>
          <w:tcPr>
            <w:tcW w:w="1460" w:type="dxa"/>
            <w:vAlign w:val="bottom"/>
            <w:tcBorders>
              <w:right w:val="single" w:sz="8" w:color="EBEBEB"/>
            </w:tcBorders>
            <w:shd w:val="clear" w:color="auto" w:fill="EBEBEB"/>
          </w:tcPr>
          <w:p>
            <w:pPr>
              <w:ind w:left="60"/>
              <w:spacing w:after="0" w:line="243" w:lineRule="exact"/>
              <w:rPr>
                <w:sz w:val="20"/>
                <w:szCs w:val="20"/>
                <w:color w:val="auto"/>
              </w:rPr>
            </w:pPr>
            <w:r>
              <w:rPr>
                <w:rFonts w:ascii="Arial" w:cs="Arial" w:eastAsia="Arial" w:hAnsi="Arial"/>
                <w:sz w:val="22"/>
                <w:szCs w:val="22"/>
                <w:color w:val="auto"/>
              </w:rPr>
              <w:t>value</w:t>
            </w:r>
          </w:p>
        </w:tc>
        <w:tc>
          <w:tcPr>
            <w:tcW w:w="4760" w:type="dxa"/>
            <w:vAlign w:val="bottom"/>
            <w:tcBorders>
              <w:right w:val="single" w:sz="8" w:color="F2EEF5"/>
            </w:tcBorders>
            <w:gridSpan w:val="4"/>
          </w:tcPr>
          <w:p>
            <w:pPr>
              <w:ind w:left="280"/>
              <w:spacing w:after="0" w:line="243" w:lineRule="exact"/>
              <w:rPr>
                <w:sz w:val="20"/>
                <w:szCs w:val="20"/>
                <w:color w:val="auto"/>
              </w:rPr>
            </w:pPr>
            <w:r>
              <w:rPr>
                <w:rFonts w:ascii="Arial" w:cs="Arial" w:eastAsia="Arial" w:hAnsi="Arial"/>
                <w:sz w:val="22"/>
                <w:szCs w:val="22"/>
                <w:color w:val="auto"/>
              </w:rPr>
              <w:t>projected to be above target level.</w:t>
            </w:r>
          </w:p>
        </w:tc>
        <w:tc>
          <w:tcPr>
            <w:tcW w:w="1480" w:type="dxa"/>
            <w:vAlign w:val="bottom"/>
            <w:shd w:val="clear" w:color="auto" w:fill="F2EEF5"/>
          </w:tcPr>
          <w:p>
            <w:pPr>
              <w:ind w:left="60"/>
              <w:spacing w:after="0" w:line="243" w:lineRule="exact"/>
              <w:rPr>
                <w:sz w:val="20"/>
                <w:szCs w:val="20"/>
                <w:color w:val="auto"/>
              </w:rPr>
            </w:pPr>
            <w:r>
              <w:rPr>
                <w:rFonts w:ascii="Arial" w:cs="Arial" w:eastAsia="Arial" w:hAnsi="Arial"/>
                <w:sz w:val="22"/>
                <w:szCs w:val="22"/>
                <w:color w:val="auto"/>
              </w:rPr>
              <w:t>period post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1500" w:type="dxa"/>
            <w:vAlign w:val="bottom"/>
          </w:tcPr>
          <w:p>
            <w:pPr>
              <w:spacing w:after="0"/>
              <w:rPr>
                <w:sz w:val="24"/>
                <w:szCs w:val="24"/>
                <w:color w:val="auto"/>
              </w:rPr>
            </w:pPr>
          </w:p>
        </w:tc>
        <w:tc>
          <w:tcPr>
            <w:tcW w:w="1480" w:type="dxa"/>
            <w:vAlign w:val="bottom"/>
            <w:tcBorders>
              <w:right w:val="single" w:sz="8" w:color="EBEBEB"/>
            </w:tcBorders>
          </w:tcPr>
          <w:p>
            <w:pPr>
              <w:spacing w:after="0"/>
              <w:rPr>
                <w:sz w:val="24"/>
                <w:szCs w:val="24"/>
                <w:color w:val="auto"/>
              </w:rPr>
            </w:pPr>
          </w:p>
        </w:tc>
        <w:tc>
          <w:tcPr>
            <w:tcW w:w="1460" w:type="dxa"/>
            <w:vAlign w:val="bottom"/>
            <w:tcBorders>
              <w:bottom w:val="single" w:sz="8" w:color="EBEBEB"/>
              <w:right w:val="single" w:sz="8" w:color="EBEBEB"/>
            </w:tcBorders>
            <w:shd w:val="clear" w:color="auto" w:fill="EBEBEB"/>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Borders>
              <w:right w:val="single" w:sz="8" w:color="F2EEF5"/>
            </w:tcBorders>
          </w:tcPr>
          <w:p>
            <w:pPr>
              <w:spacing w:after="0"/>
              <w:rPr>
                <w:sz w:val="24"/>
                <w:szCs w:val="24"/>
                <w:color w:val="auto"/>
              </w:rPr>
            </w:pPr>
          </w:p>
        </w:tc>
        <w:tc>
          <w:tcPr>
            <w:tcW w:w="1480" w:type="dxa"/>
            <w:vAlign w:val="bottom"/>
            <w:tcBorders>
              <w:bottom w:val="single" w:sz="8" w:color="F2EEF5"/>
            </w:tcBorders>
            <w:shd w:val="clear" w:color="auto" w:fill="F2EEF5"/>
          </w:tcPr>
          <w:p>
            <w:pPr>
              <w:ind w:left="60"/>
              <w:spacing w:after="0"/>
              <w:rPr>
                <w:sz w:val="20"/>
                <w:szCs w:val="20"/>
                <w:color w:val="auto"/>
              </w:rPr>
            </w:pPr>
            <w:r>
              <w:rPr>
                <w:rFonts w:ascii="Arial" w:cs="Arial" w:eastAsia="Arial" w:hAnsi="Arial"/>
                <w:sz w:val="22"/>
                <w:szCs w:val="22"/>
                <w:color w:val="auto"/>
              </w:rPr>
              <w:t>vest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480" w:type="dxa"/>
            <w:vAlign w:val="bottom"/>
            <w:tcBorders>
              <w:right w:val="single" w:sz="8" w:color="582C83"/>
            </w:tcBorders>
          </w:tcPr>
          <w:p>
            <w:pPr>
              <w:spacing w:after="0"/>
              <w:rPr>
                <w:sz w:val="2"/>
                <w:szCs w:val="2"/>
                <w:color w:val="auto"/>
              </w:rPr>
            </w:pPr>
          </w:p>
        </w:tc>
        <w:tc>
          <w:tcPr>
            <w:tcW w:w="1460" w:type="dxa"/>
            <w:vAlign w:val="bottom"/>
            <w:tcBorders>
              <w:right w:val="single" w:sz="8" w:color="582C83"/>
            </w:tcBorders>
            <w:shd w:val="clear" w:color="auto" w:fill="582C83"/>
          </w:tcPr>
          <w:p>
            <w:pPr>
              <w:spacing w:after="0"/>
              <w:rPr>
                <w:sz w:val="2"/>
                <w:szCs w:val="2"/>
                <w:color w:val="auto"/>
              </w:rPr>
            </w:pPr>
          </w:p>
        </w:tc>
        <w:tc>
          <w:tcPr>
            <w:tcW w:w="1680" w:type="dxa"/>
            <w:vAlign w:val="bottom"/>
            <w:shd w:val="clear" w:color="auto" w:fill="582C83"/>
          </w:tcPr>
          <w:p>
            <w:pPr>
              <w:spacing w:after="0"/>
              <w:rPr>
                <w:sz w:val="2"/>
                <w:szCs w:val="2"/>
                <w:color w:val="auto"/>
              </w:rPr>
            </w:pPr>
          </w:p>
        </w:tc>
        <w:tc>
          <w:tcPr>
            <w:tcW w:w="120" w:type="dxa"/>
            <w:vAlign w:val="bottom"/>
            <w:shd w:val="clear" w:color="auto" w:fill="582C83"/>
          </w:tcPr>
          <w:p>
            <w:pPr>
              <w:spacing w:after="0"/>
              <w:rPr>
                <w:sz w:val="2"/>
                <w:szCs w:val="2"/>
                <w:color w:val="auto"/>
              </w:rPr>
            </w:pPr>
          </w:p>
        </w:tc>
        <w:tc>
          <w:tcPr>
            <w:tcW w:w="1480" w:type="dxa"/>
            <w:vAlign w:val="bottom"/>
            <w:tcBorders>
              <w:right w:val="single" w:sz="8" w:color="582C83"/>
            </w:tcBorders>
            <w:shd w:val="clear" w:color="auto" w:fill="582C83"/>
          </w:tcPr>
          <w:p>
            <w:pPr>
              <w:spacing w:after="0"/>
              <w:rPr>
                <w:sz w:val="2"/>
                <w:szCs w:val="2"/>
                <w:color w:val="auto"/>
              </w:rPr>
            </w:pPr>
          </w:p>
        </w:tc>
        <w:tc>
          <w:tcPr>
            <w:tcW w:w="1480" w:type="dxa"/>
            <w:vAlign w:val="bottom"/>
            <w:tcBorders>
              <w:right w:val="single" w:sz="8" w:color="582C83"/>
            </w:tcBorders>
            <w:shd w:val="clear" w:color="auto" w:fill="582C83"/>
          </w:tcPr>
          <w:p>
            <w:pPr>
              <w:spacing w:after="0"/>
              <w:rPr>
                <w:sz w:val="2"/>
                <w:szCs w:val="2"/>
                <w:color w:val="auto"/>
              </w:rPr>
            </w:pPr>
          </w:p>
        </w:tc>
        <w:tc>
          <w:tcPr>
            <w:tcW w:w="1480" w:type="dxa"/>
            <w:vAlign w:val="bottom"/>
            <w:shd w:val="clear" w:color="auto" w:fill="582C83"/>
          </w:tcPr>
          <w:p>
            <w:pPr>
              <w:spacing w:after="0"/>
              <w:rPr>
                <w:sz w:val="2"/>
                <w:szCs w:val="2"/>
                <w:color w:val="auto"/>
              </w:rPr>
            </w:pPr>
          </w:p>
        </w:tc>
        <w:tc>
          <w:tcPr>
            <w:tcW w:w="56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Stock Options (25%)</w:t>
      </w:r>
    </w:p>
    <w:p>
      <w:pPr>
        <w:spacing w:after="0" w:line="41"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25% of our NEOs’ long-term incentive is delivered in the form of stock options that vest ratably over 3 years and have a term of ten years. The Board believes options are an appropriate vehicle for long-term compensation because they are performance-based and emphasize growth.</w:t>
      </w:r>
    </w:p>
    <w:p>
      <w:pPr>
        <w:spacing w:after="0" w:line="150" w:lineRule="exact"/>
        <w:rPr>
          <w:sz w:val="20"/>
          <w:szCs w:val="20"/>
          <w:color w:val="auto"/>
        </w:rPr>
      </w:pPr>
    </w:p>
    <w:p>
      <w:pPr>
        <w:jc w:val="both"/>
        <w:ind w:right="40"/>
        <w:spacing w:after="0" w:line="259" w:lineRule="auto"/>
        <w:rPr>
          <w:sz w:val="20"/>
          <w:szCs w:val="20"/>
          <w:color w:val="auto"/>
        </w:rPr>
      </w:pPr>
      <w:r>
        <w:rPr>
          <w:rFonts w:ascii="Arial" w:cs="Arial" w:eastAsia="Arial" w:hAnsi="Arial"/>
          <w:sz w:val="22"/>
          <w:szCs w:val="22"/>
          <w:color w:val="auto"/>
        </w:rPr>
        <w:t>As with PSUs, NEOs must hold the net shares acquired upon exercising stock options for at least one year while also maintaining their stock ownership requirement.</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2021 Compensation Actions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EVP, CLA and General Counsel Recruitment Package</w:t>
      </w:r>
    </w:p>
    <w:p>
      <w:pPr>
        <w:spacing w:after="0" w:line="41" w:lineRule="exact"/>
        <w:rPr>
          <w:sz w:val="20"/>
          <w:szCs w:val="20"/>
          <w:color w:val="auto"/>
        </w:rPr>
      </w:pPr>
    </w:p>
    <w:p>
      <w:pPr>
        <w:jc w:val="both"/>
        <w:ind w:right="180"/>
        <w:spacing w:after="0" w:line="245" w:lineRule="auto"/>
        <w:rPr>
          <w:sz w:val="20"/>
          <w:szCs w:val="20"/>
          <w:color w:val="auto"/>
        </w:rPr>
      </w:pPr>
      <w:r>
        <w:rPr>
          <w:rFonts w:ascii="Arial" w:cs="Arial" w:eastAsia="Arial" w:hAnsi="Arial"/>
          <w:sz w:val="21"/>
          <w:szCs w:val="21"/>
          <w:color w:val="auto"/>
        </w:rPr>
        <w:t>Ms. Stein commenced employment as Executive Vice President, Corporate &amp; Legal Affairs and General Counsel on January 11, 2021. To offset the loss of certain compensation she forfeited from her previous employer and to incent her to join the Company, the People and Compensation Committee approved one-time equity grants, of which</w:t>
      </w:r>
    </w:p>
    <w:p>
      <w:pPr>
        <w:spacing w:after="0" w:line="2" w:lineRule="exact"/>
        <w:rPr>
          <w:sz w:val="20"/>
          <w:szCs w:val="20"/>
          <w:color w:val="auto"/>
        </w:rPr>
      </w:pPr>
    </w:p>
    <w:p>
      <w:pPr>
        <w:ind w:right="160"/>
        <w:spacing w:after="0" w:line="208" w:lineRule="auto"/>
        <w:rPr>
          <w:sz w:val="20"/>
          <w:szCs w:val="20"/>
          <w:color w:val="auto"/>
        </w:rPr>
      </w:pPr>
      <w:r>
        <w:rPr>
          <w:rFonts w:ascii="Arial" w:cs="Arial" w:eastAsia="Arial" w:hAnsi="Arial"/>
          <w:sz w:val="22"/>
          <w:szCs w:val="22"/>
          <w:color w:val="auto"/>
        </w:rPr>
        <w:t>approximately 90% was in the form of performance-based equity, with a grant date target value of $2,350,000</w:t>
      </w:r>
      <w:r>
        <w:rPr>
          <w:rFonts w:ascii="Arial" w:cs="Arial" w:eastAsia="Arial" w:hAnsi="Arial"/>
          <w:sz w:val="32"/>
          <w:szCs w:val="32"/>
          <w:color w:val="auto"/>
          <w:vertAlign w:val="superscript"/>
        </w:rPr>
        <w:t>(1)</w:t>
      </w:r>
      <w:r>
        <w:rPr>
          <w:rFonts w:ascii="Arial" w:cs="Arial" w:eastAsia="Arial" w:hAnsi="Arial"/>
          <w:sz w:val="22"/>
          <w:szCs w:val="22"/>
          <w:color w:val="auto"/>
        </w:rPr>
        <w:t xml:space="preserve"> (the “sign-on grants”):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40" w:right="60" w:hanging="332"/>
        <w:spacing w:after="0" w:line="265" w:lineRule="auto"/>
        <w:tabs>
          <w:tab w:leader="none" w:pos="340" w:val="left"/>
        </w:tabs>
        <w:numPr>
          <w:ilvl w:val="0"/>
          <w:numId w:val="68"/>
        </w:numPr>
        <w:rPr>
          <w:rFonts w:ascii="Arial" w:cs="Arial" w:eastAsia="Arial" w:hAnsi="Arial"/>
          <w:sz w:val="16"/>
          <w:szCs w:val="16"/>
          <w:i w:val="1"/>
          <w:iCs w:val="1"/>
          <w:color w:val="auto"/>
        </w:rPr>
      </w:pPr>
      <w:r>
        <w:rPr>
          <w:rFonts w:ascii="Arial" w:cs="Arial" w:eastAsia="Arial" w:hAnsi="Arial"/>
          <w:sz w:val="16"/>
          <w:szCs w:val="16"/>
          <w:i w:val="1"/>
          <w:iCs w:val="1"/>
          <w:color w:val="auto"/>
        </w:rPr>
        <w:t>This grant value and those in the bullet points below differ from the values in the GOPBA table; values in the GOPBA table represent accounting values of the awards; stock options are valued using Black Scholes valuation and since Relative TSR is a metric in our LTIP, 50% of the PSU accounting value is based on our Monte Carlo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left="220" w:right="180" w:hanging="212"/>
        <w:spacing w:after="0" w:line="245" w:lineRule="auto"/>
        <w:tabs>
          <w:tab w:leader="none" w:pos="220" w:val="left"/>
        </w:tabs>
        <w:numPr>
          <w:ilvl w:val="0"/>
          <w:numId w:val="69"/>
        </w:numPr>
        <w:rPr>
          <w:rFonts w:ascii="Arial" w:cs="Arial" w:eastAsia="Arial" w:hAnsi="Arial"/>
          <w:sz w:val="22"/>
          <w:szCs w:val="22"/>
          <w:color w:val="582C83"/>
        </w:rPr>
      </w:pPr>
      <w:r>
        <w:rPr>
          <w:rFonts w:ascii="Arial" w:cs="Arial" w:eastAsia="Arial" w:hAnsi="Arial"/>
          <w:sz w:val="22"/>
          <w:szCs w:val="22"/>
          <w:color w:val="auto"/>
        </w:rPr>
        <w:t>13,140 performance share units for the 2019-2021 performance cycle with a grant date target value of $750,000, subject to the same terms and conditions as the grants made to our NEOs on February 22, 2019 other than noted below.</w:t>
      </w:r>
    </w:p>
    <w:p>
      <w:pPr>
        <w:spacing w:after="0" w:line="62" w:lineRule="exact"/>
        <w:rPr>
          <w:rFonts w:ascii="Arial" w:cs="Arial" w:eastAsia="Arial" w:hAnsi="Arial"/>
          <w:sz w:val="22"/>
          <w:szCs w:val="22"/>
          <w:color w:val="582C83"/>
        </w:rPr>
      </w:pPr>
    </w:p>
    <w:p>
      <w:pPr>
        <w:ind w:left="220" w:right="180" w:hanging="212"/>
        <w:spacing w:after="0" w:line="245" w:lineRule="auto"/>
        <w:tabs>
          <w:tab w:leader="none" w:pos="220" w:val="left"/>
        </w:tabs>
        <w:numPr>
          <w:ilvl w:val="0"/>
          <w:numId w:val="69"/>
        </w:numPr>
        <w:rPr>
          <w:rFonts w:ascii="Arial" w:cs="Arial" w:eastAsia="Arial" w:hAnsi="Arial"/>
          <w:sz w:val="22"/>
          <w:szCs w:val="22"/>
          <w:color w:val="582C83"/>
        </w:rPr>
      </w:pPr>
      <w:r>
        <w:rPr>
          <w:rFonts w:ascii="Arial" w:cs="Arial" w:eastAsia="Arial" w:hAnsi="Arial"/>
          <w:sz w:val="22"/>
          <w:szCs w:val="22"/>
          <w:color w:val="auto"/>
        </w:rPr>
        <w:t>14,020 performance share units for the 2020-2022 performance cycle with a grant date target value of $800,000, subject to the same terms and conditions as the grants made to our NEOs on February 20, 2020 other than noted below.</w:t>
      </w:r>
    </w:p>
    <w:p>
      <w:pPr>
        <w:spacing w:after="0" w:line="62" w:lineRule="exact"/>
        <w:rPr>
          <w:rFonts w:ascii="Arial" w:cs="Arial" w:eastAsia="Arial" w:hAnsi="Arial"/>
          <w:sz w:val="22"/>
          <w:szCs w:val="22"/>
          <w:color w:val="582C83"/>
        </w:rPr>
      </w:pPr>
    </w:p>
    <w:p>
      <w:pPr>
        <w:ind w:left="220" w:right="100" w:hanging="212"/>
        <w:spacing w:after="0" w:line="259" w:lineRule="auto"/>
        <w:tabs>
          <w:tab w:leader="none" w:pos="220" w:val="left"/>
        </w:tabs>
        <w:numPr>
          <w:ilvl w:val="0"/>
          <w:numId w:val="69"/>
        </w:numPr>
        <w:rPr>
          <w:rFonts w:ascii="Arial" w:cs="Arial" w:eastAsia="Arial" w:hAnsi="Arial"/>
          <w:sz w:val="22"/>
          <w:szCs w:val="22"/>
          <w:color w:val="582C83"/>
        </w:rPr>
      </w:pPr>
      <w:r>
        <w:rPr>
          <w:rFonts w:ascii="Arial" w:cs="Arial" w:eastAsia="Arial" w:hAnsi="Arial"/>
          <w:sz w:val="22"/>
          <w:szCs w:val="22"/>
          <w:color w:val="auto"/>
        </w:rPr>
        <w:t>48,170 stock options with a grant date target value of $550,000. The stock options vest 33%, 33% and 34% on the first three anniversaries of her hire.</w:t>
      </w:r>
    </w:p>
    <w:p>
      <w:pPr>
        <w:spacing w:after="0" w:line="48" w:lineRule="exact"/>
        <w:rPr>
          <w:rFonts w:ascii="Arial" w:cs="Arial" w:eastAsia="Arial" w:hAnsi="Arial"/>
          <w:sz w:val="22"/>
          <w:szCs w:val="22"/>
          <w:color w:val="582C83"/>
        </w:rPr>
      </w:pPr>
    </w:p>
    <w:p>
      <w:pPr>
        <w:ind w:left="220" w:right="120" w:hanging="212"/>
        <w:spacing w:after="0" w:line="259" w:lineRule="auto"/>
        <w:tabs>
          <w:tab w:leader="none" w:pos="220" w:val="left"/>
        </w:tabs>
        <w:numPr>
          <w:ilvl w:val="0"/>
          <w:numId w:val="69"/>
        </w:numPr>
        <w:rPr>
          <w:rFonts w:ascii="Arial" w:cs="Arial" w:eastAsia="Arial" w:hAnsi="Arial"/>
          <w:sz w:val="22"/>
          <w:szCs w:val="22"/>
          <w:color w:val="582C83"/>
        </w:rPr>
      </w:pPr>
      <w:r>
        <w:rPr>
          <w:rFonts w:ascii="Arial" w:cs="Arial" w:eastAsia="Arial" w:hAnsi="Arial"/>
          <w:sz w:val="22"/>
          <w:szCs w:val="22"/>
          <w:color w:val="auto"/>
        </w:rPr>
        <w:t>4,380 deferred stock units with a grant date target value of $250,000. The deferred stock units will fully vest on the fifth anniversary of the grant date.</w:t>
      </w:r>
    </w:p>
    <w:p>
      <w:pPr>
        <w:spacing w:after="0" w:line="129"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Upon an involuntary termination without cause or termination due to death, disability or Good Reason as defined under “Executive Compensation Tables – Potential Payments Upon Termination or Change in Control”, Ms. Stein will fully vest in the sign-on grants that have not already vested. The PSUs will vest on the original vesting dates and the number of shares earned will be based on actual business results during the respective performance cycle. The deferred stock units and stock options will immediately vest upon her separation. If Ms. Stein resigns (other than for Good Reason) prior to January 11, 2023, any proceeds received from sign-on grants vesting prior to January 1, 2023 must be repaid to the Company. Other than the vesting schedule and separation treatment described above, the terms and conditions for these sign-on grants are the same as for grants to our other employees.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Elements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Deferred Compensation</w:t>
      </w:r>
    </w:p>
    <w:p>
      <w:pPr>
        <w:spacing w:after="0" w:line="41" w:lineRule="exact"/>
        <w:rPr>
          <w:sz w:val="20"/>
          <w:szCs w:val="20"/>
          <w:color w:val="auto"/>
        </w:rPr>
      </w:pPr>
    </w:p>
    <w:p>
      <w:pPr>
        <w:ind w:right="780"/>
        <w:spacing w:after="0" w:line="236" w:lineRule="auto"/>
        <w:rPr>
          <w:sz w:val="20"/>
          <w:szCs w:val="20"/>
          <w:color w:val="auto"/>
        </w:rPr>
      </w:pPr>
      <w:r>
        <w:rPr>
          <w:rFonts w:ascii="Arial" w:cs="Arial" w:eastAsia="Arial" w:hAnsi="Arial"/>
          <w:sz w:val="22"/>
          <w:szCs w:val="22"/>
          <w:color w:val="auto"/>
        </w:rPr>
        <w:t>In 2021, our U.S.-based NEOs were eligible to participate in the Mondelēz Global LLC Executive Deferred Compensation Plan (“MEDCP”), a voluntary non-qualified deferred compensation plan. The MEDCP allows executives to defer, on a pre-tax basis, up to 50% of their salary and up to 100% of their award under the AIP. Participants may invest deferred amounts in one or more notional investment options.</w:t>
      </w:r>
    </w:p>
    <w:p>
      <w:pPr>
        <w:spacing w:after="0" w:line="151"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The MEDCP is similar to plans provided to executives at many of the companies in our Compensation Survey Peer Group. The people and Compensation Committee believes the MEDCP aids in recruitment and assists executives in managing their future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130" cy="25241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6130" cy="2524125"/>
                    </a:xfrm>
                    <a:prstGeom prst="rect">
                      <a:avLst/>
                    </a:prstGeom>
                    <a:noFill/>
                  </pic:spPr>
                </pic:pic>
              </a:graphicData>
            </a:graphic>
          </wp:anchor>
        </w:drawing>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582C83"/>
        </w:rPr>
        <w:t>Limited Perquisites; No Executive-Only Welfare Plans or Tax Gross-ups</w:t>
      </w:r>
    </w:p>
    <w:p>
      <w:pPr>
        <w:spacing w:after="0" w:line="41" w:lineRule="exact"/>
        <w:rPr>
          <w:sz w:val="20"/>
          <w:szCs w:val="20"/>
          <w:color w:val="auto"/>
        </w:rPr>
      </w:pPr>
    </w:p>
    <w:p>
      <w:pPr>
        <w:jc w:val="both"/>
        <w:ind w:left="200" w:right="360"/>
        <w:spacing w:after="0" w:line="254" w:lineRule="auto"/>
        <w:rPr>
          <w:sz w:val="20"/>
          <w:szCs w:val="20"/>
          <w:color w:val="auto"/>
        </w:rPr>
      </w:pPr>
      <w:r>
        <w:rPr>
          <w:rFonts w:ascii="Arial" w:cs="Arial" w:eastAsia="Arial" w:hAnsi="Arial"/>
          <w:sz w:val="21"/>
          <w:szCs w:val="21"/>
          <w:color w:val="auto"/>
        </w:rPr>
        <w:t>The People and Compensation Committee believes offering certain limited perquisites is important for executive retention and recruitment. Our perquisites for NEOs, including car and financial planning allowances, are similar in scope and value to those offered by companies in our Compensation Survey Peer Group.</w:t>
      </w:r>
    </w:p>
    <w:p>
      <w:pPr>
        <w:spacing w:after="0" w:line="136" w:lineRule="exact"/>
        <w:rPr>
          <w:sz w:val="20"/>
          <w:szCs w:val="20"/>
          <w:color w:val="auto"/>
        </w:rPr>
      </w:pPr>
    </w:p>
    <w:p>
      <w:pPr>
        <w:ind w:left="200" w:right="220"/>
        <w:spacing w:after="0" w:line="238" w:lineRule="auto"/>
        <w:rPr>
          <w:sz w:val="20"/>
          <w:szCs w:val="20"/>
          <w:color w:val="auto"/>
        </w:rPr>
      </w:pPr>
      <w:r>
        <w:rPr>
          <w:rFonts w:ascii="Arial" w:cs="Arial" w:eastAsia="Arial" w:hAnsi="Arial"/>
          <w:sz w:val="22"/>
          <w:szCs w:val="22"/>
          <w:color w:val="auto"/>
        </w:rPr>
        <w:t>In addition, based on the findings of an independent, third-party security study, we require our CEO to use a private (non-commercial) aircraft for both business and personal travel. Use of a private aircraft enhances personal safety and increases the time available for business purposes for our CEO, which is necessary since we do business in more than 150 countries. In addition, we added a temporary provision to our policy allowing other NEOs to use private aircraft during the COVID-19 pandemic for international personal travel.</w:t>
      </w:r>
    </w:p>
    <w:p>
      <w:pPr>
        <w:spacing w:after="0" w:line="150" w:lineRule="exact"/>
        <w:rPr>
          <w:sz w:val="20"/>
          <w:szCs w:val="20"/>
          <w:color w:val="auto"/>
        </w:rPr>
      </w:pPr>
    </w:p>
    <w:p>
      <w:pPr>
        <w:ind w:left="200" w:right="360"/>
        <w:spacing w:after="0"/>
        <w:rPr>
          <w:sz w:val="20"/>
          <w:szCs w:val="20"/>
          <w:color w:val="auto"/>
        </w:rPr>
      </w:pPr>
      <w:r>
        <w:rPr>
          <w:rFonts w:ascii="Arial" w:cs="Arial" w:eastAsia="Arial" w:hAnsi="Arial"/>
          <w:sz w:val="22"/>
          <w:szCs w:val="22"/>
          <w:color w:val="auto"/>
        </w:rPr>
        <w:t>Our NEOs generally participate in the same retirement, health and welfare plans broadly available to all salaried employees in the location where they are based. The footnotes to the Summary Compensation Table list the perquisites we provided to our NEOs in 2021. We do not provide our NEOs with tax gross-ups on perquisites or health and welfare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Retirement and Separation Benefits</w:t>
      </w:r>
    </w:p>
    <w:p>
      <w:pPr>
        <w:spacing w:after="0" w:line="41"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Our U.S.-based NEOs are eligible for broad-based U.S. employee benefit plans on the same terms as U.S. salaried employees, including the Mondelēz Global LLC Thrift Plan (“Thrift Plan”).</w:t>
      </w:r>
    </w:p>
    <w:p>
      <w:pPr>
        <w:spacing w:after="0" w:line="145"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color w:val="auto"/>
        </w:rPr>
        <w:t>We also provide an unfunded non-qualified plan, the Mondelēz Global LLC Supplemental Benefits Plan (“Supplemental Plan”), for eligible U.S. employees. The Supplemental Plan provides benefits that are not provided under the Thrift Plan because:</w:t>
      </w:r>
    </w:p>
    <w:p>
      <w:pPr>
        <w:spacing w:after="0" w:line="62" w:lineRule="exact"/>
        <w:rPr>
          <w:sz w:val="20"/>
          <w:szCs w:val="20"/>
          <w:color w:val="auto"/>
        </w:rPr>
      </w:pPr>
    </w:p>
    <w:p>
      <w:pPr>
        <w:ind w:left="220" w:hanging="212"/>
        <w:spacing w:after="0"/>
        <w:tabs>
          <w:tab w:leader="none" w:pos="220" w:val="left"/>
        </w:tabs>
        <w:numPr>
          <w:ilvl w:val="0"/>
          <w:numId w:val="70"/>
        </w:numPr>
        <w:rPr>
          <w:rFonts w:ascii="Arial" w:cs="Arial" w:eastAsia="Arial" w:hAnsi="Arial"/>
          <w:sz w:val="22"/>
          <w:szCs w:val="22"/>
          <w:color w:val="582C83"/>
        </w:rPr>
      </w:pPr>
      <w:r>
        <w:rPr>
          <w:rFonts w:ascii="Arial" w:cs="Arial" w:eastAsia="Arial" w:hAnsi="Arial"/>
          <w:sz w:val="22"/>
          <w:szCs w:val="22"/>
          <w:color w:val="auto"/>
        </w:rPr>
        <w:t>an employee’s compensation exceeds the tax-qualified plan compensation limit under Code Section 401(a)(17);</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70"/>
        </w:numPr>
        <w:rPr>
          <w:rFonts w:ascii="Arial" w:cs="Arial" w:eastAsia="Arial" w:hAnsi="Arial"/>
          <w:sz w:val="22"/>
          <w:szCs w:val="22"/>
          <w:color w:val="582C83"/>
        </w:rPr>
      </w:pPr>
      <w:r>
        <w:rPr>
          <w:rFonts w:ascii="Arial" w:cs="Arial" w:eastAsia="Arial" w:hAnsi="Arial"/>
          <w:sz w:val="22"/>
          <w:szCs w:val="22"/>
          <w:color w:val="auto"/>
        </w:rPr>
        <w:t>an employee elects to defer compensation under either the MEDCP or the Supplemental Plan; or</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70"/>
        </w:numPr>
        <w:rPr>
          <w:rFonts w:ascii="Arial" w:cs="Arial" w:eastAsia="Arial" w:hAnsi="Arial"/>
          <w:sz w:val="22"/>
          <w:szCs w:val="22"/>
          <w:color w:val="582C83"/>
        </w:rPr>
      </w:pPr>
      <w:r>
        <w:rPr>
          <w:rFonts w:ascii="Arial" w:cs="Arial" w:eastAsia="Arial" w:hAnsi="Arial"/>
          <w:sz w:val="22"/>
          <w:szCs w:val="22"/>
          <w:color w:val="auto"/>
        </w:rPr>
        <w:t>a Retirement Plan participant’s benefit exceeds the limits under Section 415 of the Code.</w:t>
      </w:r>
    </w:p>
    <w:p>
      <w:pPr>
        <w:spacing w:after="0" w:line="179"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People and Compensation Committee believes the Thrift Plan and the Supplemental Plan are integral pieces of our overall executive compensation program because they promote the retention of our executive leadership team over the long term. The People and Compensation Committee believes our NEOs should be able to defer the same percentage of their compensation and receive the same corresponding notional employer contributions as all other employees, without regard to the Code’s compensation limit applicable to tax-qualified plans or whether the NEO has elected to defer compensation.</w:t>
      </w:r>
    </w:p>
    <w:p>
      <w:pPr>
        <w:spacing w:after="0" w:line="155" w:lineRule="exact"/>
        <w:rPr>
          <w:sz w:val="20"/>
          <w:szCs w:val="20"/>
          <w:color w:val="auto"/>
        </w:rPr>
      </w:pPr>
    </w:p>
    <w:p>
      <w:pPr>
        <w:ind w:right="700"/>
        <w:spacing w:after="0" w:line="259" w:lineRule="auto"/>
        <w:rPr>
          <w:sz w:val="20"/>
          <w:szCs w:val="20"/>
          <w:color w:val="auto"/>
        </w:rPr>
      </w:pPr>
      <w:r>
        <w:rPr>
          <w:rFonts w:ascii="Arial" w:cs="Arial" w:eastAsia="Arial" w:hAnsi="Arial"/>
          <w:sz w:val="22"/>
          <w:szCs w:val="22"/>
          <w:color w:val="auto"/>
        </w:rPr>
        <w:t>Mr. Gruber participates in the Company’s pension plan for Swiss employees on the same basis as other Swiss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130" cy="3458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6130" cy="3458845"/>
                    </a:xfrm>
                    <a:prstGeom prst="rect">
                      <a:avLst/>
                    </a:prstGeom>
                    <a:noFill/>
                  </pic:spPr>
                </pic:pic>
              </a:graphicData>
            </a:graphic>
          </wp:anchor>
        </w:drawing>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582C83"/>
        </w:rPr>
        <w:t>Change in Control Severance Plan</w:t>
      </w:r>
    </w:p>
    <w:p>
      <w:pPr>
        <w:spacing w:after="0" w:line="41" w:lineRule="exact"/>
        <w:rPr>
          <w:sz w:val="20"/>
          <w:szCs w:val="20"/>
          <w:color w:val="auto"/>
        </w:rPr>
      </w:pPr>
    </w:p>
    <w:p>
      <w:pPr>
        <w:ind w:left="200" w:right="220"/>
        <w:spacing w:after="0" w:line="232" w:lineRule="auto"/>
        <w:rPr>
          <w:sz w:val="20"/>
          <w:szCs w:val="20"/>
          <w:color w:val="auto"/>
        </w:rPr>
      </w:pPr>
      <w:r>
        <w:rPr>
          <w:rFonts w:ascii="Arial" w:cs="Arial" w:eastAsia="Arial" w:hAnsi="Arial"/>
          <w:sz w:val="22"/>
          <w:szCs w:val="22"/>
          <w:color w:val="auto"/>
        </w:rPr>
        <w:t>In order to promote the retention of our executive leadership team in the event of a potentially disruptive corporate transaction, we maintain a Change in Control Plan for Key Executives (the “CIC Plan”). The CIC Plan is consistent with similar severance plans maintained by companies in our Compensation Survey Peer Group, including eligibility and severance benefit levels. We structure separation payments with two goals in mind: to make key executives, including our NEOs, available to facilitate a successful transition following a CIC and to provide a competitive level of severance protection if an executive is involuntarily terminated without cause or resigns for good reason within two years following a CIC (“double trigger”). In the event a payment under the CIC Plan or otherwise triggers an excise tax under Code Section 4999, the payment will be the greater of the full benefit or a reduced benefit that does not trigger the excise tax as determined on an after-tax basis for each. We do not provide any tax gross-ups for taxes payable on CIC benefits.</w:t>
      </w:r>
    </w:p>
    <w:p>
      <w:pPr>
        <w:spacing w:after="0" w:line="158" w:lineRule="exact"/>
        <w:rPr>
          <w:sz w:val="20"/>
          <w:szCs w:val="20"/>
          <w:color w:val="auto"/>
        </w:rPr>
      </w:pPr>
    </w:p>
    <w:p>
      <w:pPr>
        <w:jc w:val="both"/>
        <w:ind w:left="200" w:right="340"/>
        <w:spacing w:after="0" w:line="245" w:lineRule="auto"/>
        <w:rPr>
          <w:sz w:val="20"/>
          <w:szCs w:val="20"/>
          <w:color w:val="auto"/>
        </w:rPr>
      </w:pPr>
      <w:r>
        <w:rPr>
          <w:rFonts w:ascii="Arial" w:cs="Arial" w:eastAsia="Arial" w:hAnsi="Arial"/>
          <w:sz w:val="22"/>
          <w:szCs w:val="22"/>
          <w:color w:val="auto"/>
        </w:rPr>
        <w:t>We further describe the severance arrangements and other benefits provided under the CIC Plan (as well as the equity treatment upon certain separations in the event of a CIC) under “Potential Payments Upon Termination or Change in Control” on page 97.</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582C83"/>
        </w:rPr>
        <w:t>Other Severance Agreements</w:t>
      </w:r>
    </w:p>
    <w:p>
      <w:pPr>
        <w:spacing w:after="0" w:line="41" w:lineRule="exact"/>
        <w:rPr>
          <w:sz w:val="20"/>
          <w:szCs w:val="20"/>
          <w:color w:val="auto"/>
        </w:rPr>
      </w:pPr>
    </w:p>
    <w:p>
      <w:pPr>
        <w:ind w:left="200" w:right="420"/>
        <w:spacing w:after="0" w:line="236" w:lineRule="auto"/>
        <w:rPr>
          <w:sz w:val="20"/>
          <w:szCs w:val="20"/>
          <w:color w:val="auto"/>
        </w:rPr>
      </w:pPr>
      <w:r>
        <w:rPr>
          <w:rFonts w:ascii="Arial" w:cs="Arial" w:eastAsia="Arial" w:hAnsi="Arial"/>
          <w:sz w:val="22"/>
          <w:szCs w:val="22"/>
          <w:color w:val="auto"/>
        </w:rPr>
        <w:t>Although we generally do not have individual severance or employment agreements with any of our NEOs, we typically provide separation benefits as consideration for the NEO entering into an agreement protecting our interests. The severance payments and other benefits provided to a typical NEO are described under “Potential Payments Upon Termination or Change in Control” on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HOW COMPENSATION DECISIONS ARE MADE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Peer Groups</w:t>
      </w:r>
    </w:p>
    <w:p>
      <w:pPr>
        <w:spacing w:after="0" w:line="60" w:lineRule="exact"/>
        <w:rPr>
          <w:sz w:val="20"/>
          <w:szCs w:val="20"/>
          <w:color w:val="auto"/>
        </w:rPr>
      </w:pPr>
    </w:p>
    <w:p>
      <w:pPr>
        <w:ind w:right="760"/>
        <w:spacing w:after="0" w:line="259" w:lineRule="auto"/>
        <w:rPr>
          <w:sz w:val="20"/>
          <w:szCs w:val="20"/>
          <w:color w:val="auto"/>
        </w:rPr>
      </w:pPr>
      <w:r>
        <w:rPr>
          <w:rFonts w:ascii="Arial" w:cs="Arial" w:eastAsia="Arial" w:hAnsi="Arial"/>
          <w:sz w:val="22"/>
          <w:szCs w:val="22"/>
          <w:color w:val="auto"/>
        </w:rPr>
        <w:t>The People and Compensation Committee uses two different groups of companies to: i) benchmark executive compensation, market practices and compensation design; and ii) assess relative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Compensation Survey Peer Group</w:t>
      </w:r>
    </w:p>
    <w:p>
      <w:pPr>
        <w:spacing w:after="0" w:line="41"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The People and Compensation Committee reviews compensation data from a comparator group of companies as one reference point when making compensation decisions for all executive pay including CEO pay, and when benchmarking compensation plan designs. Aggregate pay level benchmarking data for all elements of compensation, including salary, target bonus, total target cash, long-term incentive and target total pay, is provided for each NEO role by Aon Hewitt (“Aon”), and at the request of the People and Compensation Committee, the People and People and Compensation Committee’s consultant reviews and evaluates the Aon data. Separately, market data for the CEO is reviewed independently of the Aon data. Other factors considered in NEO compensation decisions include individual performance, responsibilities, leadership, years of experience, Company performance and long-term growth potential.</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routinely review the selection criteria and companies in our Compensation Survey Peer Group. In late 2019, the People and Compensation Committee reviewed the Compensation Survey Peer Group to ensure all companies were still meeting the original criteria for selection. This review resulted in the removal of Newell Brands from the peer group. The table on the following page shows our criteria for choosing the Compensation Survey Peer Group and how it is used. We did not change our Compensation Survey Peer Group for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 w:type="dxa"/>
            <w:vAlign w:val="bottom"/>
            <w:tcBorders>
              <w:bottom w:val="single" w:sz="8" w:color="EBE6F0"/>
            </w:tcBorders>
            <w:shd w:val="clear" w:color="auto" w:fill="EBE6F0"/>
          </w:tcPr>
          <w:p>
            <w:pPr>
              <w:spacing w:after="0"/>
              <w:rPr>
                <w:sz w:val="19"/>
                <w:szCs w:val="19"/>
                <w:color w:val="auto"/>
              </w:rPr>
            </w:pPr>
          </w:p>
        </w:tc>
        <w:tc>
          <w:tcPr>
            <w:tcW w:w="300" w:type="dxa"/>
            <w:vAlign w:val="bottom"/>
            <w:tcBorders>
              <w:bottom w:val="single" w:sz="8" w:color="EBE6F0"/>
            </w:tcBorders>
            <w:shd w:val="clear" w:color="auto" w:fill="EBE6F0"/>
          </w:tcPr>
          <w:p>
            <w:pPr>
              <w:spacing w:after="0"/>
              <w:rPr>
                <w:sz w:val="19"/>
                <w:szCs w:val="19"/>
                <w:color w:val="auto"/>
              </w:rPr>
            </w:pPr>
          </w:p>
        </w:tc>
        <w:tc>
          <w:tcPr>
            <w:tcW w:w="3400" w:type="dxa"/>
            <w:vAlign w:val="bottom"/>
            <w:tcBorders>
              <w:bottom w:val="single" w:sz="8" w:color="EBE6F0"/>
              <w:right w:val="single" w:sz="8" w:color="EBE6F0"/>
            </w:tcBorders>
            <w:shd w:val="clear" w:color="auto" w:fill="EBE6F0"/>
          </w:tcPr>
          <w:p>
            <w:pPr>
              <w:spacing w:after="0"/>
              <w:rPr>
                <w:sz w:val="19"/>
                <w:szCs w:val="19"/>
                <w:color w:val="auto"/>
              </w:rPr>
            </w:pPr>
          </w:p>
        </w:tc>
        <w:tc>
          <w:tcPr>
            <w:tcW w:w="300" w:type="dxa"/>
            <w:vAlign w:val="bottom"/>
            <w:tcBorders>
              <w:bottom w:val="single" w:sz="8" w:color="582C83"/>
            </w:tcBorders>
            <w:shd w:val="clear" w:color="auto" w:fill="EBE6F0"/>
          </w:tcPr>
          <w:p>
            <w:pPr>
              <w:spacing w:after="0"/>
              <w:rPr>
                <w:sz w:val="19"/>
                <w:szCs w:val="19"/>
                <w:color w:val="auto"/>
              </w:rPr>
            </w:pPr>
          </w:p>
        </w:tc>
        <w:tc>
          <w:tcPr>
            <w:tcW w:w="3400" w:type="dxa"/>
            <w:vAlign w:val="bottom"/>
            <w:tcBorders>
              <w:bottom w:val="single" w:sz="8" w:color="582C83"/>
              <w:right w:val="single" w:sz="8" w:color="EBE6F0"/>
            </w:tcBorders>
            <w:shd w:val="clear" w:color="auto" w:fill="EBE6F0"/>
          </w:tcPr>
          <w:p>
            <w:pPr>
              <w:spacing w:after="0"/>
              <w:rPr>
                <w:sz w:val="19"/>
                <w:szCs w:val="19"/>
                <w:color w:val="auto"/>
              </w:rPr>
            </w:pPr>
          </w:p>
        </w:tc>
        <w:tc>
          <w:tcPr>
            <w:tcW w:w="280" w:type="dxa"/>
            <w:vAlign w:val="bottom"/>
            <w:tcBorders>
              <w:bottom w:val="single" w:sz="8" w:color="EBE6F0"/>
            </w:tcBorders>
            <w:shd w:val="clear" w:color="auto" w:fill="EBE6F0"/>
          </w:tcPr>
          <w:p>
            <w:pPr>
              <w:spacing w:after="0"/>
              <w:rPr>
                <w:sz w:val="19"/>
                <w:szCs w:val="19"/>
                <w:color w:val="auto"/>
              </w:rPr>
            </w:pPr>
          </w:p>
        </w:tc>
        <w:tc>
          <w:tcPr>
            <w:tcW w:w="3380" w:type="dxa"/>
            <w:vAlign w:val="bottom"/>
            <w:tcBorders>
              <w:bottom w:val="single" w:sz="8" w:color="EBE6F0"/>
            </w:tcBorders>
            <w:shd w:val="clear" w:color="auto" w:fill="EBE6F0"/>
          </w:tcPr>
          <w:p>
            <w:pPr>
              <w:spacing w:after="0"/>
              <w:rPr>
                <w:sz w:val="19"/>
                <w:szCs w:val="19"/>
                <w:color w:val="auto"/>
              </w:rPr>
            </w:pPr>
          </w:p>
        </w:tc>
        <w:tc>
          <w:tcPr>
            <w:tcW w:w="100" w:type="dxa"/>
            <w:vAlign w:val="bottom"/>
            <w:tcBorders>
              <w:bottom w:val="single" w:sz="8" w:color="EBE6F0"/>
            </w:tcBorders>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 w:type="dxa"/>
            <w:vAlign w:val="bottom"/>
            <w:shd w:val="clear" w:color="auto" w:fill="EBE6F0"/>
          </w:tcPr>
          <w:p>
            <w:pPr>
              <w:spacing w:after="0"/>
              <w:rPr>
                <w:sz w:val="22"/>
                <w:szCs w:val="22"/>
                <w:color w:val="auto"/>
              </w:rPr>
            </w:pPr>
          </w:p>
        </w:tc>
        <w:tc>
          <w:tcPr>
            <w:tcW w:w="3700" w:type="dxa"/>
            <w:vAlign w:val="bottom"/>
            <w:tcBorders>
              <w:right w:val="single" w:sz="8" w:color="582C83"/>
            </w:tcBorders>
            <w:gridSpan w:val="2"/>
            <w:shd w:val="clear" w:color="auto" w:fill="EBE6F0"/>
          </w:tcPr>
          <w:p>
            <w:pPr>
              <w:ind w:left="140"/>
              <w:spacing w:after="0"/>
              <w:rPr>
                <w:sz w:val="20"/>
                <w:szCs w:val="20"/>
                <w:color w:val="auto"/>
              </w:rPr>
            </w:pPr>
            <w:r>
              <w:rPr>
                <w:rFonts w:ascii="Arial" w:cs="Arial" w:eastAsia="Arial" w:hAnsi="Arial"/>
                <w:sz w:val="22"/>
                <w:szCs w:val="22"/>
                <w:b w:val="1"/>
                <w:bCs w:val="1"/>
                <w:color w:val="auto"/>
              </w:rPr>
              <w:t>How the Compensation Survey</w:t>
            </w:r>
          </w:p>
        </w:tc>
        <w:tc>
          <w:tcPr>
            <w:tcW w:w="3700" w:type="dxa"/>
            <w:vAlign w:val="bottom"/>
            <w:tcBorders>
              <w:right w:val="single" w:sz="8" w:color="582C83"/>
            </w:tcBorders>
            <w:gridSpan w:val="2"/>
            <w:shd w:val="clear" w:color="auto" w:fill="EBE6F0"/>
          </w:tcPr>
          <w:p>
            <w:pPr>
              <w:ind w:left="140"/>
              <w:spacing w:after="0"/>
              <w:rPr>
                <w:sz w:val="20"/>
                <w:szCs w:val="20"/>
                <w:color w:val="auto"/>
              </w:rPr>
            </w:pPr>
            <w:r>
              <w:rPr>
                <w:rFonts w:ascii="Arial" w:cs="Arial" w:eastAsia="Arial" w:hAnsi="Arial"/>
                <w:sz w:val="22"/>
                <w:szCs w:val="22"/>
                <w:b w:val="1"/>
                <w:bCs w:val="1"/>
                <w:color w:val="auto"/>
              </w:rPr>
              <w:t>2021 Compensation Survey Peer</w:t>
            </w:r>
          </w:p>
        </w:tc>
        <w:tc>
          <w:tcPr>
            <w:tcW w:w="3760" w:type="dxa"/>
            <w:vAlign w:val="bottom"/>
            <w:gridSpan w:val="3"/>
            <w:shd w:val="clear" w:color="auto" w:fill="EBE6F0"/>
          </w:tcPr>
          <w:p>
            <w:pPr>
              <w:ind w:left="140"/>
              <w:spacing w:after="0"/>
              <w:rPr>
                <w:sz w:val="20"/>
                <w:szCs w:val="20"/>
                <w:color w:val="auto"/>
              </w:rPr>
            </w:pPr>
            <w:r>
              <w:rPr>
                <w:rFonts w:ascii="Arial" w:cs="Arial" w:eastAsia="Arial" w:hAnsi="Arial"/>
                <w:sz w:val="22"/>
                <w:szCs w:val="22"/>
                <w:b w:val="1"/>
                <w:bCs w:val="1"/>
                <w:color w:val="auto"/>
              </w:rPr>
              <w:t>How We Use the Compensation</w:t>
            </w:r>
          </w:p>
        </w:tc>
        <w:tc>
          <w:tcPr>
            <w:tcW w:w="0" w:type="dxa"/>
            <w:vAlign w:val="bottom"/>
          </w:tcPr>
          <w:p>
            <w:pPr>
              <w:spacing w:after="0"/>
              <w:rPr>
                <w:sz w:val="1"/>
                <w:szCs w:val="1"/>
                <w:color w:val="auto"/>
              </w:rPr>
            </w:pPr>
          </w:p>
        </w:tc>
      </w:tr>
      <w:tr>
        <w:trPr>
          <w:trHeight w:val="305"/>
        </w:trPr>
        <w:tc>
          <w:tcPr>
            <w:tcW w:w="80" w:type="dxa"/>
            <w:vAlign w:val="bottom"/>
            <w:tcBorders>
              <w:bottom w:val="single" w:sz="8" w:color="EBE6F0"/>
            </w:tcBorders>
            <w:shd w:val="clear" w:color="auto" w:fill="EBE6F0"/>
          </w:tcPr>
          <w:p>
            <w:pPr>
              <w:spacing w:after="0"/>
              <w:rPr>
                <w:sz w:val="24"/>
                <w:szCs w:val="24"/>
                <w:color w:val="auto"/>
              </w:rPr>
            </w:pPr>
          </w:p>
        </w:tc>
        <w:tc>
          <w:tcPr>
            <w:tcW w:w="3700" w:type="dxa"/>
            <w:vAlign w:val="bottom"/>
            <w:tcBorders>
              <w:bottom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2"/>
                <w:szCs w:val="22"/>
                <w:b w:val="1"/>
                <w:bCs w:val="1"/>
                <w:color w:val="auto"/>
              </w:rPr>
              <w:t>Peer Group Was Chosen</w:t>
            </w:r>
          </w:p>
        </w:tc>
        <w:tc>
          <w:tcPr>
            <w:tcW w:w="3700" w:type="dxa"/>
            <w:vAlign w:val="bottom"/>
            <w:tcBorders>
              <w:bottom w:val="single" w:sz="8" w:color="582C83"/>
              <w:right w:val="single" w:sz="8" w:color="582C83"/>
            </w:tcBorders>
            <w:gridSpan w:val="2"/>
            <w:shd w:val="clear" w:color="auto" w:fill="EBE6F0"/>
          </w:tcPr>
          <w:p>
            <w:pPr>
              <w:ind w:left="140"/>
              <w:spacing w:after="0"/>
              <w:rPr>
                <w:sz w:val="20"/>
                <w:szCs w:val="20"/>
                <w:color w:val="auto"/>
              </w:rPr>
            </w:pPr>
            <w:r>
              <w:rPr>
                <w:rFonts w:ascii="Arial" w:cs="Arial" w:eastAsia="Arial" w:hAnsi="Arial"/>
                <w:sz w:val="22"/>
                <w:szCs w:val="22"/>
                <w:b w:val="1"/>
                <w:bCs w:val="1"/>
                <w:color w:val="auto"/>
              </w:rPr>
              <w:t>Group</w:t>
            </w:r>
            <w:r>
              <w:rPr>
                <w:rFonts w:ascii="Arial" w:cs="Arial" w:eastAsia="Arial" w:hAnsi="Arial"/>
                <w:sz w:val="24"/>
                <w:szCs w:val="24"/>
                <w:b w:val="1"/>
                <w:bCs w:val="1"/>
                <w:color w:val="auto"/>
                <w:vertAlign w:val="superscript"/>
              </w:rPr>
              <w:t>(1)</w:t>
            </w:r>
          </w:p>
        </w:tc>
        <w:tc>
          <w:tcPr>
            <w:tcW w:w="3660" w:type="dxa"/>
            <w:vAlign w:val="bottom"/>
            <w:tcBorders>
              <w:bottom w:val="single" w:sz="8" w:color="582C83"/>
            </w:tcBorders>
            <w:gridSpan w:val="2"/>
            <w:shd w:val="clear" w:color="auto" w:fill="EBE6F0"/>
          </w:tcPr>
          <w:p>
            <w:pPr>
              <w:ind w:left="140"/>
              <w:spacing w:after="0"/>
              <w:rPr>
                <w:sz w:val="20"/>
                <w:szCs w:val="20"/>
                <w:color w:val="auto"/>
              </w:rPr>
            </w:pPr>
            <w:r>
              <w:rPr>
                <w:rFonts w:ascii="Arial" w:cs="Arial" w:eastAsia="Arial" w:hAnsi="Arial"/>
                <w:sz w:val="22"/>
                <w:szCs w:val="22"/>
                <w:b w:val="1"/>
                <w:bCs w:val="1"/>
                <w:color w:val="auto"/>
              </w:rPr>
              <w:t>Survey Peer Group</w:t>
            </w:r>
            <w:r>
              <w:rPr>
                <w:rFonts w:ascii="Arial" w:cs="Arial" w:eastAsia="Arial" w:hAnsi="Arial"/>
                <w:sz w:val="24"/>
                <w:szCs w:val="24"/>
                <w:b w:val="1"/>
                <w:bCs w:val="1"/>
                <w:color w:val="auto"/>
                <w:vertAlign w:val="superscript"/>
              </w:rPr>
              <w:t>(2)</w:t>
            </w:r>
          </w:p>
        </w:tc>
        <w:tc>
          <w:tcPr>
            <w:tcW w:w="10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EBE6F0"/>
          </w:tcPr>
          <w:p>
            <w:pPr>
              <w:spacing w:after="0"/>
              <w:rPr>
                <w:sz w:val="22"/>
                <w:szCs w:val="22"/>
                <w:color w:val="auto"/>
              </w:rPr>
            </w:pP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Comparable size (0.5x-2.5x)</w:t>
            </w: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3M Company</w:t>
            </w:r>
          </w:p>
        </w:tc>
        <w:tc>
          <w:tcPr>
            <w:tcW w:w="28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Benchmark total direct</w:t>
            </w:r>
          </w:p>
        </w:tc>
        <w:tc>
          <w:tcPr>
            <w:tcW w:w="0" w:type="dxa"/>
            <w:vAlign w:val="bottom"/>
          </w:tcPr>
          <w:p>
            <w:pPr>
              <w:spacing w:after="0"/>
              <w:rPr>
                <w:sz w:val="1"/>
                <w:szCs w:val="1"/>
                <w:color w:val="auto"/>
              </w:rPr>
            </w:pPr>
          </w:p>
        </w:tc>
      </w:tr>
      <w:tr>
        <w:trPr>
          <w:trHeight w:val="256"/>
        </w:trPr>
        <w:tc>
          <w:tcPr>
            <w:tcW w:w="80" w:type="dxa"/>
            <w:vAlign w:val="bottom"/>
            <w:shd w:val="clear" w:color="auto" w:fill="EBE6F0"/>
          </w:tcPr>
          <w:p>
            <w:pPr>
              <w:spacing w:after="0"/>
              <w:rPr>
                <w:sz w:val="22"/>
                <w:szCs w:val="22"/>
                <w:color w:val="auto"/>
              </w:rPr>
            </w:pPr>
          </w:p>
        </w:tc>
        <w:tc>
          <w:tcPr>
            <w:tcW w:w="300" w:type="dxa"/>
            <w:vAlign w:val="bottom"/>
            <w:shd w:val="clear" w:color="auto" w:fill="EBE6F0"/>
          </w:tcPr>
          <w:p>
            <w:pPr>
              <w:spacing w:after="0"/>
              <w:rPr>
                <w:sz w:val="22"/>
                <w:szCs w:val="22"/>
                <w:color w:val="auto"/>
              </w:rPr>
            </w:pP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based on net revenue and market</w:t>
            </w: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b w:val="1"/>
                <w:bCs w:val="1"/>
                <w:color w:val="auto"/>
              </w:rPr>
              <w:t>The Coca-Cola Company</w:t>
            </w:r>
          </w:p>
        </w:tc>
        <w:tc>
          <w:tcPr>
            <w:tcW w:w="280" w:type="dxa"/>
            <w:vAlign w:val="bottom"/>
            <w:shd w:val="clear" w:color="auto" w:fill="EBE6F0"/>
          </w:tcPr>
          <w:p>
            <w:pPr>
              <w:spacing w:after="0"/>
              <w:rPr>
                <w:sz w:val="22"/>
                <w:szCs w:val="22"/>
                <w:color w:val="auto"/>
              </w:rPr>
            </w:pP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compensation (at target levels),</w:t>
            </w:r>
          </w:p>
        </w:tc>
        <w:tc>
          <w:tcPr>
            <w:tcW w:w="0" w:type="dxa"/>
            <w:vAlign w:val="bottom"/>
          </w:tcPr>
          <w:p>
            <w:pPr>
              <w:spacing w:after="0"/>
              <w:rPr>
                <w:sz w:val="1"/>
                <w:szCs w:val="1"/>
                <w:color w:val="auto"/>
              </w:rPr>
            </w:pPr>
          </w:p>
        </w:tc>
      </w:tr>
      <w:tr>
        <w:trPr>
          <w:trHeight w:val="230"/>
        </w:trPr>
        <w:tc>
          <w:tcPr>
            <w:tcW w:w="80" w:type="dxa"/>
            <w:vAlign w:val="bottom"/>
            <w:shd w:val="clear" w:color="auto" w:fill="EBE6F0"/>
          </w:tcPr>
          <w:p>
            <w:pPr>
              <w:spacing w:after="0"/>
              <w:rPr>
                <w:sz w:val="20"/>
                <w:szCs w:val="20"/>
                <w:color w:val="auto"/>
              </w:rPr>
            </w:pPr>
          </w:p>
        </w:tc>
        <w:tc>
          <w:tcPr>
            <w:tcW w:w="300" w:type="dxa"/>
            <w:vAlign w:val="bottom"/>
            <w:shd w:val="clear" w:color="auto" w:fill="EBE6F0"/>
          </w:tcPr>
          <w:p>
            <w:pPr>
              <w:spacing w:after="0"/>
              <w:rPr>
                <w:sz w:val="20"/>
                <w:szCs w:val="20"/>
                <w:color w:val="auto"/>
              </w:rPr>
            </w:pPr>
          </w:p>
        </w:tc>
        <w:tc>
          <w:tcPr>
            <w:tcW w:w="3400" w:type="dxa"/>
            <w:vAlign w:val="bottom"/>
            <w:tcBorders>
              <w:right w:val="single" w:sz="8" w:color="582C83"/>
            </w:tcBorders>
            <w:shd w:val="clear" w:color="auto" w:fill="EBE6F0"/>
          </w:tcPr>
          <w:p>
            <w:pPr>
              <w:ind w:left="60"/>
              <w:spacing w:after="0" w:line="230" w:lineRule="exact"/>
              <w:rPr>
                <w:sz w:val="20"/>
                <w:szCs w:val="20"/>
                <w:color w:val="auto"/>
              </w:rPr>
            </w:pPr>
            <w:r>
              <w:rPr>
                <w:rFonts w:ascii="Arial" w:cs="Arial" w:eastAsia="Arial" w:hAnsi="Arial"/>
                <w:sz w:val="22"/>
                <w:szCs w:val="22"/>
                <w:color w:val="auto"/>
              </w:rPr>
              <w:t>capitalization</w:t>
            </w: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b w:val="1"/>
                <w:bCs w:val="1"/>
                <w:color w:val="auto"/>
              </w:rPr>
              <w:t>Colgate-Palmolive Company</w:t>
            </w:r>
          </w:p>
        </w:tc>
        <w:tc>
          <w:tcPr>
            <w:tcW w:w="280" w:type="dxa"/>
            <w:vAlign w:val="bottom"/>
            <w:shd w:val="clear" w:color="auto" w:fill="EBE6F0"/>
          </w:tcPr>
          <w:p>
            <w:pPr>
              <w:spacing w:after="0"/>
              <w:rPr>
                <w:sz w:val="20"/>
                <w:szCs w:val="20"/>
                <w:color w:val="auto"/>
              </w:rPr>
            </w:pPr>
          </w:p>
        </w:tc>
        <w:tc>
          <w:tcPr>
            <w:tcW w:w="3480" w:type="dxa"/>
            <w:vAlign w:val="bottom"/>
            <w:gridSpan w:val="2"/>
            <w:shd w:val="clear" w:color="auto" w:fill="EBE6F0"/>
          </w:tcPr>
          <w:p>
            <w:pPr>
              <w:ind w:left="60"/>
              <w:spacing w:after="0" w:line="230" w:lineRule="exact"/>
              <w:rPr>
                <w:sz w:val="20"/>
                <w:szCs w:val="20"/>
                <w:color w:val="auto"/>
              </w:rPr>
            </w:pPr>
            <w:r>
              <w:rPr>
                <w:rFonts w:ascii="Arial" w:cs="Arial" w:eastAsia="Arial" w:hAnsi="Arial"/>
                <w:sz w:val="22"/>
                <w:szCs w:val="22"/>
                <w:color w:val="auto"/>
              </w:rPr>
              <w:t>including base salary, and annual</w:t>
            </w:r>
          </w:p>
        </w:tc>
        <w:tc>
          <w:tcPr>
            <w:tcW w:w="0" w:type="dxa"/>
            <w:vAlign w:val="bottom"/>
          </w:tcPr>
          <w:p>
            <w:pPr>
              <w:spacing w:after="0"/>
              <w:rPr>
                <w:sz w:val="1"/>
                <w:szCs w:val="1"/>
                <w:color w:val="auto"/>
              </w:rPr>
            </w:pPr>
          </w:p>
        </w:tc>
      </w:tr>
      <w:tr>
        <w:trPr>
          <w:trHeight w:val="121"/>
        </w:trPr>
        <w:tc>
          <w:tcPr>
            <w:tcW w:w="80" w:type="dxa"/>
            <w:vAlign w:val="bottom"/>
            <w:shd w:val="clear" w:color="auto" w:fill="EBE6F0"/>
          </w:tcPr>
          <w:p>
            <w:pPr>
              <w:spacing w:after="0"/>
              <w:rPr>
                <w:sz w:val="10"/>
                <w:szCs w:val="10"/>
                <w:color w:val="auto"/>
              </w:rPr>
            </w:pP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rPr>
              <w:t>Considerable global presence</w:t>
            </w:r>
          </w:p>
        </w:tc>
        <w:tc>
          <w:tcPr>
            <w:tcW w:w="300" w:type="dxa"/>
            <w:vAlign w:val="bottom"/>
            <w:vMerge w:val="continue"/>
            <w:shd w:val="clear" w:color="auto" w:fill="EBE6F0"/>
          </w:tcPr>
          <w:p>
            <w:pPr>
              <w:spacing w:after="0"/>
              <w:rPr>
                <w:sz w:val="10"/>
                <w:szCs w:val="10"/>
                <w:color w:val="auto"/>
              </w:rPr>
            </w:pPr>
          </w:p>
        </w:tc>
        <w:tc>
          <w:tcPr>
            <w:tcW w:w="3400" w:type="dxa"/>
            <w:vAlign w:val="bottom"/>
            <w:tcBorders>
              <w:right w:val="single" w:sz="8" w:color="582C83"/>
            </w:tcBorders>
            <w:vMerge w:val="continue"/>
            <w:shd w:val="clear" w:color="auto" w:fill="EBE6F0"/>
          </w:tcPr>
          <w:p>
            <w:pPr>
              <w:spacing w:after="0"/>
              <w:rPr>
                <w:sz w:val="10"/>
                <w:szCs w:val="10"/>
                <w:color w:val="auto"/>
              </w:rPr>
            </w:pPr>
          </w:p>
        </w:tc>
        <w:tc>
          <w:tcPr>
            <w:tcW w:w="280" w:type="dxa"/>
            <w:vAlign w:val="bottom"/>
            <w:shd w:val="clear" w:color="auto" w:fill="EBE6F0"/>
          </w:tcPr>
          <w:p>
            <w:pPr>
              <w:spacing w:after="0"/>
              <w:rPr>
                <w:sz w:val="10"/>
                <w:szCs w:val="10"/>
                <w:color w:val="auto"/>
              </w:rPr>
            </w:pPr>
          </w:p>
        </w:tc>
        <w:tc>
          <w:tcPr>
            <w:tcW w:w="3480" w:type="dxa"/>
            <w:vAlign w:val="bottom"/>
            <w:gridSpan w:val="2"/>
            <w:vMerge w:val="restart"/>
            <w:shd w:val="clear" w:color="auto" w:fill="EBE6F0"/>
          </w:tcPr>
          <w:p>
            <w:pPr>
              <w:ind w:left="60"/>
              <w:spacing w:after="0"/>
              <w:rPr>
                <w:sz w:val="20"/>
                <w:szCs w:val="20"/>
                <w:color w:val="auto"/>
              </w:rPr>
            </w:pPr>
            <w:r>
              <w:rPr>
                <w:rFonts w:ascii="Arial" w:cs="Arial" w:eastAsia="Arial" w:hAnsi="Arial"/>
                <w:sz w:val="22"/>
                <w:szCs w:val="22"/>
                <w:color w:val="auto"/>
              </w:rPr>
              <w:t>and long-term incentive awards</w:t>
            </w:r>
          </w:p>
        </w:tc>
        <w:tc>
          <w:tcPr>
            <w:tcW w:w="0" w:type="dxa"/>
            <w:vAlign w:val="bottom"/>
          </w:tcPr>
          <w:p>
            <w:pPr>
              <w:spacing w:after="0"/>
              <w:rPr>
                <w:sz w:val="1"/>
                <w:szCs w:val="1"/>
                <w:color w:val="auto"/>
              </w:rPr>
            </w:pPr>
          </w:p>
        </w:tc>
      </w:tr>
      <w:tr>
        <w:trPr>
          <w:trHeight w:val="215"/>
        </w:trPr>
        <w:tc>
          <w:tcPr>
            <w:tcW w:w="80" w:type="dxa"/>
            <w:vAlign w:val="bottom"/>
            <w:shd w:val="clear" w:color="auto" w:fill="EBE6F0"/>
          </w:tcPr>
          <w:p>
            <w:pPr>
              <w:spacing w:after="0"/>
              <w:rPr>
                <w:sz w:val="18"/>
                <w:szCs w:val="18"/>
                <w:color w:val="auto"/>
              </w:rPr>
            </w:pPr>
          </w:p>
        </w:tc>
        <w:tc>
          <w:tcPr>
            <w:tcW w:w="300" w:type="dxa"/>
            <w:vAlign w:val="bottom"/>
            <w:vMerge w:val="continue"/>
            <w:shd w:val="clear" w:color="auto" w:fill="EBE6F0"/>
          </w:tcPr>
          <w:p>
            <w:pPr>
              <w:spacing w:after="0"/>
              <w:rPr>
                <w:sz w:val="18"/>
                <w:szCs w:val="18"/>
                <w:color w:val="auto"/>
              </w:rPr>
            </w:pPr>
          </w:p>
        </w:tc>
        <w:tc>
          <w:tcPr>
            <w:tcW w:w="3400" w:type="dxa"/>
            <w:vAlign w:val="bottom"/>
            <w:tcBorders>
              <w:right w:val="single" w:sz="8" w:color="582C83"/>
            </w:tcBorders>
            <w:vMerge w:val="continue"/>
            <w:shd w:val="clear" w:color="auto" w:fill="EBE6F0"/>
          </w:tcPr>
          <w:p>
            <w:pPr>
              <w:spacing w:after="0"/>
              <w:rPr>
                <w:sz w:val="18"/>
                <w:szCs w:val="18"/>
                <w:color w:val="auto"/>
              </w:rPr>
            </w:pPr>
          </w:p>
        </w:tc>
        <w:tc>
          <w:tcPr>
            <w:tcW w:w="300" w:type="dxa"/>
            <w:vAlign w:val="bottom"/>
            <w:shd w:val="clear" w:color="auto" w:fill="EBE6F0"/>
          </w:tcPr>
          <w:p>
            <w:pPr>
              <w:ind w:left="140"/>
              <w:spacing w:after="0" w:line="216" w:lineRule="exact"/>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line="216" w:lineRule="exact"/>
              <w:rPr>
                <w:sz w:val="20"/>
                <w:szCs w:val="20"/>
                <w:color w:val="auto"/>
              </w:rPr>
            </w:pPr>
            <w:r>
              <w:rPr>
                <w:rFonts w:ascii="Arial" w:cs="Arial" w:eastAsia="Arial" w:hAnsi="Arial"/>
                <w:sz w:val="22"/>
                <w:szCs w:val="22"/>
                <w:color w:val="auto"/>
                <w:w w:val="98"/>
              </w:rPr>
              <w:t>The Estee Lauder Companies Inc.</w:t>
            </w:r>
          </w:p>
        </w:tc>
        <w:tc>
          <w:tcPr>
            <w:tcW w:w="280" w:type="dxa"/>
            <w:vAlign w:val="bottom"/>
            <w:shd w:val="clear" w:color="auto" w:fill="EBE6F0"/>
          </w:tcPr>
          <w:p>
            <w:pPr>
              <w:spacing w:after="0"/>
              <w:rPr>
                <w:sz w:val="18"/>
                <w:szCs w:val="18"/>
                <w:color w:val="auto"/>
              </w:rPr>
            </w:pPr>
          </w:p>
        </w:tc>
        <w:tc>
          <w:tcPr>
            <w:tcW w:w="3480" w:type="dxa"/>
            <w:vAlign w:val="bottom"/>
            <w:gridSpan w:val="2"/>
            <w:vMerge w:val="continue"/>
            <w:shd w:val="clear" w:color="auto" w:fill="EBE6F0"/>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 w:type="dxa"/>
            <w:vAlign w:val="bottom"/>
            <w:shd w:val="clear" w:color="auto" w:fill="EBE6F0"/>
          </w:tcPr>
          <w:p>
            <w:pPr>
              <w:spacing w:after="0"/>
              <w:rPr>
                <w:sz w:val="16"/>
                <w:szCs w:val="16"/>
                <w:color w:val="auto"/>
              </w:rPr>
            </w:pPr>
          </w:p>
        </w:tc>
        <w:tc>
          <w:tcPr>
            <w:tcW w:w="300" w:type="dxa"/>
            <w:vAlign w:val="bottom"/>
            <w:shd w:val="clear" w:color="auto" w:fill="EBE6F0"/>
          </w:tcPr>
          <w:p>
            <w:pPr>
              <w:spacing w:after="0"/>
              <w:rPr>
                <w:sz w:val="16"/>
                <w:szCs w:val="16"/>
                <w:color w:val="auto"/>
              </w:rPr>
            </w:pPr>
          </w:p>
        </w:tc>
        <w:tc>
          <w:tcPr>
            <w:tcW w:w="3400" w:type="dxa"/>
            <w:vAlign w:val="bottom"/>
            <w:tcBorders>
              <w:right w:val="single" w:sz="8" w:color="582C83"/>
            </w:tcBorders>
            <w:shd w:val="clear" w:color="auto" w:fill="EBE6F0"/>
          </w:tcPr>
          <w:p>
            <w:pPr>
              <w:ind w:left="60"/>
              <w:spacing w:after="0" w:line="190" w:lineRule="exact"/>
              <w:rPr>
                <w:sz w:val="20"/>
                <w:szCs w:val="20"/>
                <w:color w:val="auto"/>
              </w:rPr>
            </w:pPr>
            <w:r>
              <w:rPr>
                <w:rFonts w:ascii="Arial" w:cs="Arial" w:eastAsia="Arial" w:hAnsi="Arial"/>
                <w:sz w:val="21"/>
                <w:szCs w:val="21"/>
                <w:color w:val="auto"/>
              </w:rPr>
              <w:t>with sales and operations outside</w:t>
            </w:r>
          </w:p>
        </w:tc>
        <w:tc>
          <w:tcPr>
            <w:tcW w:w="300" w:type="dxa"/>
            <w:vAlign w:val="bottom"/>
            <w:shd w:val="clear" w:color="auto" w:fill="EBE6F0"/>
          </w:tcPr>
          <w:p>
            <w:pPr>
              <w:spacing w:after="0"/>
              <w:rPr>
                <w:sz w:val="16"/>
                <w:szCs w:val="16"/>
                <w:color w:val="auto"/>
              </w:rPr>
            </w:pP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12"/>
                <w:szCs w:val="12"/>
                <w:color w:val="auto"/>
              </w:rPr>
              <w:t>(3)</w:t>
            </w:r>
          </w:p>
        </w:tc>
        <w:tc>
          <w:tcPr>
            <w:tcW w:w="3760" w:type="dxa"/>
            <w:vAlign w:val="bottom"/>
            <w:gridSpan w:val="3"/>
            <w:shd w:val="clear" w:color="auto" w:fill="EBE6F0"/>
          </w:tcPr>
          <w:p>
            <w:pPr>
              <w:ind w:left="140"/>
              <w:spacing w:after="0" w:line="190" w:lineRule="exact"/>
              <w:rPr>
                <w:sz w:val="20"/>
                <w:szCs w:val="20"/>
                <w:color w:val="auto"/>
              </w:rPr>
            </w:pPr>
            <w:r>
              <w:rPr>
                <w:rFonts w:ascii="Arial" w:cs="Arial" w:eastAsia="Arial" w:hAnsi="Arial"/>
                <w:sz w:val="21"/>
                <w:szCs w:val="21"/>
                <w:color w:val="582C83"/>
              </w:rPr>
              <w:t xml:space="preserve">• </w:t>
            </w:r>
            <w:r>
              <w:rPr>
                <w:rFonts w:ascii="Arial" w:cs="Arial" w:eastAsia="Arial" w:hAnsi="Arial"/>
                <w:sz w:val="21"/>
                <w:szCs w:val="21"/>
                <w:color w:val="000000"/>
              </w:rPr>
              <w:t>Evaluate share utilization by</w:t>
            </w:r>
          </w:p>
        </w:tc>
        <w:tc>
          <w:tcPr>
            <w:tcW w:w="0" w:type="dxa"/>
            <w:vAlign w:val="bottom"/>
          </w:tcPr>
          <w:p>
            <w:pPr>
              <w:spacing w:after="0"/>
              <w:rPr>
                <w:sz w:val="1"/>
                <w:szCs w:val="1"/>
                <w:color w:val="auto"/>
              </w:rPr>
            </w:pPr>
          </w:p>
        </w:tc>
      </w:tr>
      <w:tr>
        <w:trPr>
          <w:trHeight w:val="283"/>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spacing w:after="0"/>
              <w:rPr>
                <w:sz w:val="24"/>
                <w:szCs w:val="24"/>
                <w:color w:val="auto"/>
              </w:rPr>
            </w:pP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of the United States</w:t>
            </w: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b w:val="1"/>
                <w:bCs w:val="1"/>
                <w:color w:val="auto"/>
              </w:rPr>
              <w:t>General Mills Inc.</w:t>
            </w:r>
          </w:p>
        </w:tc>
        <w:tc>
          <w:tcPr>
            <w:tcW w:w="280" w:type="dxa"/>
            <w:vAlign w:val="bottom"/>
            <w:shd w:val="clear" w:color="auto" w:fill="EBE6F0"/>
          </w:tcPr>
          <w:p>
            <w:pPr>
              <w:spacing w:after="0"/>
              <w:rPr>
                <w:sz w:val="24"/>
                <w:szCs w:val="24"/>
                <w:color w:val="auto"/>
              </w:rPr>
            </w:pP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reviewing overhang and annual</w:t>
            </w:r>
          </w:p>
        </w:tc>
        <w:tc>
          <w:tcPr>
            <w:tcW w:w="0" w:type="dxa"/>
            <w:vAlign w:val="bottom"/>
          </w:tcPr>
          <w:p>
            <w:pPr>
              <w:spacing w:after="0"/>
              <w:rPr>
                <w:sz w:val="1"/>
                <w:szCs w:val="1"/>
                <w:color w:val="auto"/>
              </w:rPr>
            </w:pPr>
          </w:p>
        </w:tc>
      </w:tr>
      <w:tr>
        <w:trPr>
          <w:trHeight w:val="283"/>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Primarily consumer facing</w:t>
            </w: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Johnson &amp; Johnson</w:t>
            </w:r>
          </w:p>
        </w:tc>
        <w:tc>
          <w:tcPr>
            <w:tcW w:w="280" w:type="dxa"/>
            <w:vAlign w:val="bottom"/>
            <w:shd w:val="clear" w:color="auto" w:fill="EBE6F0"/>
          </w:tcPr>
          <w:p>
            <w:pPr>
              <w:spacing w:after="0"/>
              <w:rPr>
                <w:sz w:val="24"/>
                <w:szCs w:val="24"/>
                <w:color w:val="auto"/>
              </w:rPr>
            </w:pP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run rate</w:t>
            </w:r>
          </w:p>
        </w:tc>
        <w:tc>
          <w:tcPr>
            <w:tcW w:w="0" w:type="dxa"/>
            <w:vAlign w:val="bottom"/>
          </w:tcPr>
          <w:p>
            <w:pPr>
              <w:spacing w:after="0"/>
              <w:rPr>
                <w:sz w:val="1"/>
                <w:szCs w:val="1"/>
                <w:color w:val="auto"/>
              </w:rPr>
            </w:pPr>
          </w:p>
        </w:tc>
      </w:tr>
      <w:tr>
        <w:trPr>
          <w:trHeight w:val="283"/>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Market-leading brands</w:t>
            </w: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b w:val="1"/>
                <w:bCs w:val="1"/>
                <w:color w:val="auto"/>
              </w:rPr>
              <w:t>The Kellogg Company</w:t>
            </w:r>
          </w:p>
        </w:tc>
        <w:tc>
          <w:tcPr>
            <w:tcW w:w="28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Benchmark share ownership</w:t>
            </w:r>
          </w:p>
        </w:tc>
        <w:tc>
          <w:tcPr>
            <w:tcW w:w="0" w:type="dxa"/>
            <w:vAlign w:val="bottom"/>
          </w:tcPr>
          <w:p>
            <w:pPr>
              <w:spacing w:after="0"/>
              <w:rPr>
                <w:sz w:val="1"/>
                <w:szCs w:val="1"/>
                <w:color w:val="auto"/>
              </w:rPr>
            </w:pPr>
          </w:p>
        </w:tc>
      </w:tr>
      <w:tr>
        <w:trPr>
          <w:trHeight w:val="203"/>
        </w:trPr>
        <w:tc>
          <w:tcPr>
            <w:tcW w:w="80" w:type="dxa"/>
            <w:vAlign w:val="bottom"/>
            <w:shd w:val="clear" w:color="auto" w:fill="EBE6F0"/>
          </w:tcPr>
          <w:p>
            <w:pPr>
              <w:spacing w:after="0"/>
              <w:rPr>
                <w:sz w:val="17"/>
                <w:szCs w:val="17"/>
                <w:color w:val="auto"/>
              </w:rPr>
            </w:pP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rPr>
              <w:t>Incorporated in the United States</w:t>
            </w: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rPr>
              <w:t>Kimberly-Clark Corporation</w:t>
            </w:r>
          </w:p>
        </w:tc>
        <w:tc>
          <w:tcPr>
            <w:tcW w:w="280" w:type="dxa"/>
            <w:vAlign w:val="bottom"/>
            <w:shd w:val="clear" w:color="auto" w:fill="EBE6F0"/>
          </w:tcPr>
          <w:p>
            <w:pPr>
              <w:spacing w:after="0"/>
              <w:rPr>
                <w:sz w:val="17"/>
                <w:szCs w:val="17"/>
                <w:color w:val="auto"/>
              </w:rPr>
            </w:pPr>
          </w:p>
        </w:tc>
        <w:tc>
          <w:tcPr>
            <w:tcW w:w="3480" w:type="dxa"/>
            <w:vAlign w:val="bottom"/>
            <w:gridSpan w:val="2"/>
            <w:shd w:val="clear" w:color="auto" w:fill="EBE6F0"/>
          </w:tcPr>
          <w:p>
            <w:pPr>
              <w:ind w:left="60"/>
              <w:spacing w:after="0" w:line="203" w:lineRule="exact"/>
              <w:rPr>
                <w:sz w:val="20"/>
                <w:szCs w:val="20"/>
                <w:color w:val="auto"/>
              </w:rPr>
            </w:pPr>
            <w:r>
              <w:rPr>
                <w:rFonts w:ascii="Arial" w:cs="Arial" w:eastAsia="Arial" w:hAnsi="Arial"/>
                <w:sz w:val="22"/>
                <w:szCs w:val="22"/>
                <w:color w:val="auto"/>
              </w:rPr>
              <w:t>guidelines</w:t>
            </w:r>
          </w:p>
        </w:tc>
        <w:tc>
          <w:tcPr>
            <w:tcW w:w="0" w:type="dxa"/>
            <w:vAlign w:val="bottom"/>
          </w:tcPr>
          <w:p>
            <w:pPr>
              <w:spacing w:after="0"/>
              <w:rPr>
                <w:sz w:val="1"/>
                <w:szCs w:val="1"/>
                <w:color w:val="auto"/>
              </w:rPr>
            </w:pPr>
          </w:p>
        </w:tc>
      </w:tr>
      <w:tr>
        <w:trPr>
          <w:trHeight w:val="81"/>
        </w:trPr>
        <w:tc>
          <w:tcPr>
            <w:tcW w:w="80" w:type="dxa"/>
            <w:vAlign w:val="bottom"/>
            <w:shd w:val="clear" w:color="auto" w:fill="EBE6F0"/>
          </w:tcPr>
          <w:p>
            <w:pPr>
              <w:spacing w:after="0"/>
              <w:rPr>
                <w:sz w:val="7"/>
                <w:szCs w:val="7"/>
                <w:color w:val="auto"/>
              </w:rPr>
            </w:pPr>
          </w:p>
        </w:tc>
        <w:tc>
          <w:tcPr>
            <w:tcW w:w="300" w:type="dxa"/>
            <w:vAlign w:val="bottom"/>
            <w:vMerge w:val="continue"/>
            <w:shd w:val="clear" w:color="auto" w:fill="EBE6F0"/>
          </w:tcPr>
          <w:p>
            <w:pPr>
              <w:spacing w:after="0"/>
              <w:rPr>
                <w:sz w:val="7"/>
                <w:szCs w:val="7"/>
                <w:color w:val="auto"/>
              </w:rPr>
            </w:pPr>
          </w:p>
        </w:tc>
        <w:tc>
          <w:tcPr>
            <w:tcW w:w="3400" w:type="dxa"/>
            <w:vAlign w:val="bottom"/>
            <w:tcBorders>
              <w:right w:val="single" w:sz="8" w:color="582C83"/>
            </w:tcBorders>
            <w:vMerge w:val="continue"/>
            <w:shd w:val="clear" w:color="auto" w:fill="EBE6F0"/>
          </w:tcPr>
          <w:p>
            <w:pPr>
              <w:spacing w:after="0"/>
              <w:rPr>
                <w:sz w:val="7"/>
                <w:szCs w:val="7"/>
                <w:color w:val="auto"/>
              </w:rPr>
            </w:pPr>
          </w:p>
        </w:tc>
        <w:tc>
          <w:tcPr>
            <w:tcW w:w="300" w:type="dxa"/>
            <w:vAlign w:val="bottom"/>
            <w:vMerge w:val="continue"/>
            <w:shd w:val="clear" w:color="auto" w:fill="EBE6F0"/>
          </w:tcPr>
          <w:p>
            <w:pPr>
              <w:spacing w:after="0"/>
              <w:rPr>
                <w:sz w:val="7"/>
                <w:szCs w:val="7"/>
                <w:color w:val="auto"/>
              </w:rPr>
            </w:pPr>
          </w:p>
        </w:tc>
        <w:tc>
          <w:tcPr>
            <w:tcW w:w="3400" w:type="dxa"/>
            <w:vAlign w:val="bottom"/>
            <w:tcBorders>
              <w:right w:val="single" w:sz="8" w:color="582C83"/>
            </w:tcBorders>
            <w:vMerge w:val="continue"/>
            <w:shd w:val="clear" w:color="auto" w:fill="EBE6F0"/>
          </w:tcPr>
          <w:p>
            <w:pPr>
              <w:spacing w:after="0"/>
              <w:rPr>
                <w:sz w:val="7"/>
                <w:szCs w:val="7"/>
                <w:color w:val="auto"/>
              </w:rPr>
            </w:pPr>
          </w:p>
        </w:tc>
        <w:tc>
          <w:tcPr>
            <w:tcW w:w="280" w:type="dxa"/>
            <w:vAlign w:val="bottom"/>
            <w:vMerge w:val="restart"/>
            <w:shd w:val="clear" w:color="auto" w:fill="EBE6F0"/>
          </w:tcPr>
          <w:p>
            <w:pPr>
              <w:ind w:left="140"/>
              <w:spacing w:after="0" w:line="243" w:lineRule="exact"/>
              <w:rPr>
                <w:sz w:val="20"/>
                <w:szCs w:val="20"/>
                <w:color w:val="auto"/>
              </w:rPr>
            </w:pPr>
            <w:r>
              <w:rPr>
                <w:rFonts w:ascii="Arial" w:cs="Arial" w:eastAsia="Arial" w:hAnsi="Arial"/>
                <w:sz w:val="22"/>
                <w:szCs w:val="22"/>
                <w:color w:val="582C83"/>
              </w:rPr>
              <w:t>•</w:t>
            </w:r>
          </w:p>
        </w:tc>
        <w:tc>
          <w:tcPr>
            <w:tcW w:w="3480" w:type="dxa"/>
            <w:vAlign w:val="bottom"/>
            <w:gridSpan w:val="2"/>
            <w:vMerge w:val="restart"/>
            <w:shd w:val="clear" w:color="auto" w:fill="EBE6F0"/>
          </w:tcPr>
          <w:p>
            <w:pPr>
              <w:ind w:left="60"/>
              <w:spacing w:after="0" w:line="243" w:lineRule="exact"/>
              <w:rPr>
                <w:sz w:val="20"/>
                <w:szCs w:val="20"/>
                <w:color w:val="auto"/>
              </w:rPr>
            </w:pPr>
            <w:r>
              <w:rPr>
                <w:rFonts w:ascii="Arial" w:cs="Arial" w:eastAsia="Arial" w:hAnsi="Arial"/>
                <w:sz w:val="22"/>
                <w:szCs w:val="22"/>
                <w:color w:val="auto"/>
              </w:rPr>
              <w:t>Assess the competitiveness of</w:t>
            </w:r>
          </w:p>
        </w:tc>
        <w:tc>
          <w:tcPr>
            <w:tcW w:w="0" w:type="dxa"/>
            <w:vAlign w:val="bottom"/>
          </w:tcPr>
          <w:p>
            <w:pPr>
              <w:spacing w:after="0"/>
              <w:rPr>
                <w:sz w:val="1"/>
                <w:szCs w:val="1"/>
                <w:color w:val="auto"/>
              </w:rPr>
            </w:pPr>
          </w:p>
        </w:tc>
      </w:tr>
      <w:tr>
        <w:trPr>
          <w:trHeight w:val="162"/>
        </w:trPr>
        <w:tc>
          <w:tcPr>
            <w:tcW w:w="80" w:type="dxa"/>
            <w:vAlign w:val="bottom"/>
            <w:shd w:val="clear" w:color="auto" w:fill="EBE6F0"/>
          </w:tcPr>
          <w:p>
            <w:pPr>
              <w:spacing w:after="0"/>
              <w:rPr>
                <w:sz w:val="14"/>
                <w:szCs w:val="14"/>
                <w:color w:val="auto"/>
              </w:rPr>
            </w:pP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w w:val="99"/>
              </w:rPr>
              <w:t>Non-controlled company structure</w:t>
            </w: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rPr>
              <w:t>McDonald’s Corporation</w:t>
            </w:r>
          </w:p>
        </w:tc>
        <w:tc>
          <w:tcPr>
            <w:tcW w:w="280" w:type="dxa"/>
            <w:vAlign w:val="bottom"/>
            <w:vMerge w:val="continue"/>
            <w:shd w:val="clear" w:color="auto" w:fill="EBE6F0"/>
          </w:tcPr>
          <w:p>
            <w:pPr>
              <w:spacing w:after="0"/>
              <w:rPr>
                <w:sz w:val="14"/>
                <w:szCs w:val="14"/>
                <w:color w:val="auto"/>
              </w:rPr>
            </w:pPr>
          </w:p>
        </w:tc>
        <w:tc>
          <w:tcPr>
            <w:tcW w:w="3480" w:type="dxa"/>
            <w:vAlign w:val="bottom"/>
            <w:gridSpan w:val="2"/>
            <w:vMerge w:val="continue"/>
            <w:shd w:val="clear" w:color="auto" w:fill="EBE6F0"/>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EBE6F0"/>
          </w:tcPr>
          <w:p>
            <w:pPr>
              <w:spacing w:after="0"/>
              <w:rPr>
                <w:sz w:val="16"/>
                <w:szCs w:val="16"/>
                <w:color w:val="auto"/>
              </w:rPr>
            </w:pPr>
          </w:p>
        </w:tc>
        <w:tc>
          <w:tcPr>
            <w:tcW w:w="300" w:type="dxa"/>
            <w:vAlign w:val="bottom"/>
            <w:vMerge w:val="continue"/>
            <w:shd w:val="clear" w:color="auto" w:fill="EBE6F0"/>
          </w:tcPr>
          <w:p>
            <w:pPr>
              <w:spacing w:after="0"/>
              <w:rPr>
                <w:sz w:val="16"/>
                <w:szCs w:val="16"/>
                <w:color w:val="auto"/>
              </w:rPr>
            </w:pPr>
          </w:p>
        </w:tc>
        <w:tc>
          <w:tcPr>
            <w:tcW w:w="3400" w:type="dxa"/>
            <w:vAlign w:val="bottom"/>
            <w:tcBorders>
              <w:right w:val="single" w:sz="8" w:color="582C83"/>
            </w:tcBorders>
            <w:vMerge w:val="continue"/>
            <w:shd w:val="clear" w:color="auto" w:fill="EBE6F0"/>
          </w:tcPr>
          <w:p>
            <w:pPr>
              <w:spacing w:after="0"/>
              <w:rPr>
                <w:sz w:val="16"/>
                <w:szCs w:val="16"/>
                <w:color w:val="auto"/>
              </w:rPr>
            </w:pPr>
          </w:p>
        </w:tc>
        <w:tc>
          <w:tcPr>
            <w:tcW w:w="300" w:type="dxa"/>
            <w:vAlign w:val="bottom"/>
            <w:vMerge w:val="continue"/>
            <w:shd w:val="clear" w:color="auto" w:fill="EBE6F0"/>
          </w:tcPr>
          <w:p>
            <w:pPr>
              <w:spacing w:after="0"/>
              <w:rPr>
                <w:sz w:val="16"/>
                <w:szCs w:val="16"/>
                <w:color w:val="auto"/>
              </w:rPr>
            </w:pPr>
          </w:p>
        </w:tc>
        <w:tc>
          <w:tcPr>
            <w:tcW w:w="3400" w:type="dxa"/>
            <w:vAlign w:val="bottom"/>
            <w:tcBorders>
              <w:right w:val="single" w:sz="8" w:color="582C83"/>
            </w:tcBorders>
            <w:vMerge w:val="continue"/>
            <w:shd w:val="clear" w:color="auto" w:fill="EBE6F0"/>
          </w:tcPr>
          <w:p>
            <w:pPr>
              <w:spacing w:after="0"/>
              <w:rPr>
                <w:sz w:val="16"/>
                <w:szCs w:val="16"/>
                <w:color w:val="auto"/>
              </w:rPr>
            </w:pPr>
          </w:p>
        </w:tc>
        <w:tc>
          <w:tcPr>
            <w:tcW w:w="280" w:type="dxa"/>
            <w:vAlign w:val="bottom"/>
            <w:shd w:val="clear" w:color="auto" w:fill="EBE6F0"/>
          </w:tcPr>
          <w:p>
            <w:pPr>
              <w:spacing w:after="0"/>
              <w:rPr>
                <w:sz w:val="16"/>
                <w:szCs w:val="16"/>
                <w:color w:val="auto"/>
              </w:rPr>
            </w:pPr>
          </w:p>
        </w:tc>
        <w:tc>
          <w:tcPr>
            <w:tcW w:w="3480" w:type="dxa"/>
            <w:vAlign w:val="bottom"/>
            <w:gridSpan w:val="2"/>
            <w:vMerge w:val="restart"/>
            <w:shd w:val="clear" w:color="auto" w:fill="EBE6F0"/>
          </w:tcPr>
          <w:p>
            <w:pPr>
              <w:ind w:left="60"/>
              <w:spacing w:after="0" w:line="243" w:lineRule="exact"/>
              <w:rPr>
                <w:sz w:val="20"/>
                <w:szCs w:val="20"/>
                <w:color w:val="auto"/>
              </w:rPr>
            </w:pPr>
            <w:r>
              <w:rPr>
                <w:rFonts w:ascii="Arial" w:cs="Arial" w:eastAsia="Arial" w:hAnsi="Arial"/>
                <w:sz w:val="22"/>
                <w:szCs w:val="22"/>
                <w:color w:val="auto"/>
              </w:rPr>
              <w:t>total direct compensation awarded</w:t>
            </w:r>
          </w:p>
        </w:tc>
        <w:tc>
          <w:tcPr>
            <w:tcW w:w="0" w:type="dxa"/>
            <w:vAlign w:val="bottom"/>
          </w:tcPr>
          <w:p>
            <w:pPr>
              <w:spacing w:after="0"/>
              <w:rPr>
                <w:sz w:val="1"/>
                <w:szCs w:val="1"/>
                <w:color w:val="auto"/>
              </w:rPr>
            </w:pPr>
          </w:p>
        </w:tc>
      </w:tr>
      <w:tr>
        <w:trPr>
          <w:trHeight w:val="54"/>
        </w:trPr>
        <w:tc>
          <w:tcPr>
            <w:tcW w:w="80" w:type="dxa"/>
            <w:vAlign w:val="bottom"/>
            <w:shd w:val="clear" w:color="auto" w:fill="EBE6F0"/>
          </w:tcPr>
          <w:p>
            <w:pPr>
              <w:spacing w:after="0"/>
              <w:rPr>
                <w:sz w:val="4"/>
                <w:szCs w:val="4"/>
                <w:color w:val="auto"/>
              </w:rPr>
            </w:pPr>
          </w:p>
        </w:tc>
        <w:tc>
          <w:tcPr>
            <w:tcW w:w="300" w:type="dxa"/>
            <w:vAlign w:val="bottom"/>
            <w:shd w:val="clear" w:color="auto" w:fill="EBE6F0"/>
          </w:tcPr>
          <w:p>
            <w:pPr>
              <w:spacing w:after="0"/>
              <w:rPr>
                <w:sz w:val="4"/>
                <w:szCs w:val="4"/>
                <w:color w:val="auto"/>
              </w:rPr>
            </w:pPr>
          </w:p>
        </w:tc>
        <w:tc>
          <w:tcPr>
            <w:tcW w:w="3400" w:type="dxa"/>
            <w:vAlign w:val="bottom"/>
            <w:tcBorders>
              <w:right w:val="single" w:sz="8" w:color="582C83"/>
            </w:tcBorders>
            <w:shd w:val="clear" w:color="auto" w:fill="EBE6F0"/>
          </w:tcPr>
          <w:p>
            <w:pPr>
              <w:spacing w:after="0"/>
              <w:rPr>
                <w:sz w:val="4"/>
                <w:szCs w:val="4"/>
                <w:color w:val="auto"/>
              </w:rPr>
            </w:pPr>
          </w:p>
        </w:tc>
        <w:tc>
          <w:tcPr>
            <w:tcW w:w="300" w:type="dxa"/>
            <w:vAlign w:val="bottom"/>
            <w:vMerge w:val="restart"/>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shd w:val="clear" w:color="auto" w:fill="EBE6F0"/>
          </w:tcPr>
          <w:p>
            <w:pPr>
              <w:ind w:left="60"/>
              <w:spacing w:after="0"/>
              <w:rPr>
                <w:sz w:val="20"/>
                <w:szCs w:val="20"/>
                <w:color w:val="auto"/>
              </w:rPr>
            </w:pPr>
            <w:r>
              <w:rPr>
                <w:rFonts w:ascii="Arial" w:cs="Arial" w:eastAsia="Arial" w:hAnsi="Arial"/>
                <w:sz w:val="22"/>
                <w:szCs w:val="22"/>
                <w:color w:val="auto"/>
              </w:rPr>
              <w:t>Nike, Inc.</w:t>
            </w:r>
          </w:p>
        </w:tc>
        <w:tc>
          <w:tcPr>
            <w:tcW w:w="280" w:type="dxa"/>
            <w:vAlign w:val="bottom"/>
            <w:shd w:val="clear" w:color="auto" w:fill="EBE6F0"/>
          </w:tcPr>
          <w:p>
            <w:pPr>
              <w:spacing w:after="0"/>
              <w:rPr>
                <w:sz w:val="4"/>
                <w:szCs w:val="4"/>
                <w:color w:val="auto"/>
              </w:rPr>
            </w:pPr>
          </w:p>
        </w:tc>
        <w:tc>
          <w:tcPr>
            <w:tcW w:w="3480" w:type="dxa"/>
            <w:vAlign w:val="bottom"/>
            <w:gridSpan w:val="2"/>
            <w:vMerge w:val="continue"/>
            <w:shd w:val="clear" w:color="auto" w:fill="EBE6F0"/>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80" w:type="dxa"/>
            <w:vAlign w:val="bottom"/>
            <w:shd w:val="clear" w:color="auto" w:fill="EBE6F0"/>
          </w:tcPr>
          <w:p>
            <w:pPr>
              <w:spacing w:after="0"/>
              <w:rPr>
                <w:sz w:val="19"/>
                <w:szCs w:val="19"/>
                <w:color w:val="auto"/>
              </w:rPr>
            </w:pPr>
          </w:p>
        </w:tc>
        <w:tc>
          <w:tcPr>
            <w:tcW w:w="300" w:type="dxa"/>
            <w:vAlign w:val="bottom"/>
            <w:shd w:val="clear" w:color="auto" w:fill="EBE6F0"/>
          </w:tcPr>
          <w:p>
            <w:pPr>
              <w:spacing w:after="0"/>
              <w:rPr>
                <w:sz w:val="19"/>
                <w:szCs w:val="19"/>
                <w:color w:val="auto"/>
              </w:rPr>
            </w:pPr>
          </w:p>
        </w:tc>
        <w:tc>
          <w:tcPr>
            <w:tcW w:w="3400" w:type="dxa"/>
            <w:vAlign w:val="bottom"/>
            <w:tcBorders>
              <w:right w:val="single" w:sz="8" w:color="582C83"/>
            </w:tcBorders>
            <w:shd w:val="clear" w:color="auto" w:fill="EBE6F0"/>
          </w:tcPr>
          <w:p>
            <w:pPr>
              <w:spacing w:after="0"/>
              <w:rPr>
                <w:sz w:val="19"/>
                <w:szCs w:val="19"/>
                <w:color w:val="auto"/>
              </w:rPr>
            </w:pPr>
          </w:p>
        </w:tc>
        <w:tc>
          <w:tcPr>
            <w:tcW w:w="300" w:type="dxa"/>
            <w:vAlign w:val="bottom"/>
            <w:vMerge w:val="continue"/>
            <w:shd w:val="clear" w:color="auto" w:fill="EBE6F0"/>
          </w:tcPr>
          <w:p>
            <w:pPr>
              <w:spacing w:after="0"/>
              <w:rPr>
                <w:sz w:val="19"/>
                <w:szCs w:val="19"/>
                <w:color w:val="auto"/>
              </w:rPr>
            </w:pPr>
          </w:p>
        </w:tc>
        <w:tc>
          <w:tcPr>
            <w:tcW w:w="3400" w:type="dxa"/>
            <w:vAlign w:val="bottom"/>
            <w:tcBorders>
              <w:right w:val="single" w:sz="8" w:color="582C83"/>
            </w:tcBorders>
            <w:vMerge w:val="continue"/>
            <w:shd w:val="clear" w:color="auto" w:fill="EBE6F0"/>
          </w:tcPr>
          <w:p>
            <w:pPr>
              <w:spacing w:after="0"/>
              <w:rPr>
                <w:sz w:val="19"/>
                <w:szCs w:val="19"/>
                <w:color w:val="auto"/>
              </w:rPr>
            </w:pPr>
          </w:p>
        </w:tc>
        <w:tc>
          <w:tcPr>
            <w:tcW w:w="280" w:type="dxa"/>
            <w:vAlign w:val="bottom"/>
            <w:shd w:val="clear" w:color="auto" w:fill="EBE6F0"/>
          </w:tcPr>
          <w:p>
            <w:pPr>
              <w:spacing w:after="0"/>
              <w:rPr>
                <w:sz w:val="19"/>
                <w:szCs w:val="19"/>
                <w:color w:val="auto"/>
              </w:rPr>
            </w:pPr>
          </w:p>
        </w:tc>
        <w:tc>
          <w:tcPr>
            <w:tcW w:w="3480" w:type="dxa"/>
            <w:vAlign w:val="bottom"/>
            <w:gridSpan w:val="2"/>
            <w:shd w:val="clear" w:color="auto" w:fill="EBE6F0"/>
          </w:tcPr>
          <w:p>
            <w:pPr>
              <w:ind w:left="60"/>
              <w:spacing w:after="0" w:line="227" w:lineRule="exact"/>
              <w:rPr>
                <w:sz w:val="20"/>
                <w:szCs w:val="20"/>
                <w:color w:val="auto"/>
              </w:rPr>
            </w:pPr>
            <w:r>
              <w:rPr>
                <w:rFonts w:ascii="Arial" w:cs="Arial" w:eastAsia="Arial" w:hAnsi="Arial"/>
                <w:sz w:val="22"/>
                <w:szCs w:val="22"/>
                <w:color w:val="auto"/>
              </w:rPr>
              <w:t>to senior executives</w:t>
            </w:r>
          </w:p>
        </w:tc>
        <w:tc>
          <w:tcPr>
            <w:tcW w:w="0" w:type="dxa"/>
            <w:vAlign w:val="bottom"/>
          </w:tcPr>
          <w:p>
            <w:pPr>
              <w:spacing w:after="0"/>
              <w:rPr>
                <w:sz w:val="1"/>
                <w:szCs w:val="1"/>
                <w:color w:val="auto"/>
              </w:rPr>
            </w:pPr>
          </w:p>
        </w:tc>
      </w:tr>
      <w:tr>
        <w:trPr>
          <w:trHeight w:val="286"/>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spacing w:after="0"/>
              <w:rPr>
                <w:sz w:val="24"/>
                <w:szCs w:val="24"/>
                <w:color w:val="auto"/>
              </w:rPr>
            </w:pPr>
          </w:p>
        </w:tc>
        <w:tc>
          <w:tcPr>
            <w:tcW w:w="3400" w:type="dxa"/>
            <w:vAlign w:val="bottom"/>
            <w:tcBorders>
              <w:right w:val="single" w:sz="8" w:color="582C83"/>
            </w:tcBorders>
            <w:shd w:val="clear" w:color="auto" w:fill="EBE6F0"/>
          </w:tcPr>
          <w:p>
            <w:pPr>
              <w:spacing w:after="0"/>
              <w:rPr>
                <w:sz w:val="24"/>
                <w:szCs w:val="24"/>
                <w:color w:val="auto"/>
              </w:rPr>
            </w:pP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b w:val="1"/>
                <w:bCs w:val="1"/>
                <w:color w:val="auto"/>
              </w:rPr>
              <w:t>PepsiCo, Inc.</w:t>
            </w:r>
          </w:p>
        </w:tc>
        <w:tc>
          <w:tcPr>
            <w:tcW w:w="28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Compare pay-for-performance</w:t>
            </w:r>
          </w:p>
        </w:tc>
        <w:tc>
          <w:tcPr>
            <w:tcW w:w="0" w:type="dxa"/>
            <w:vAlign w:val="bottom"/>
          </w:tcPr>
          <w:p>
            <w:pPr>
              <w:spacing w:after="0"/>
              <w:rPr>
                <w:sz w:val="1"/>
                <w:szCs w:val="1"/>
                <w:color w:val="auto"/>
              </w:rPr>
            </w:pPr>
          </w:p>
        </w:tc>
      </w:tr>
      <w:tr>
        <w:trPr>
          <w:trHeight w:val="281"/>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spacing w:after="0"/>
              <w:rPr>
                <w:sz w:val="24"/>
                <w:szCs w:val="24"/>
                <w:color w:val="auto"/>
              </w:rPr>
            </w:pPr>
          </w:p>
        </w:tc>
        <w:tc>
          <w:tcPr>
            <w:tcW w:w="3400" w:type="dxa"/>
            <w:vAlign w:val="bottom"/>
            <w:tcBorders>
              <w:right w:val="single" w:sz="8" w:color="582C83"/>
            </w:tcBorders>
            <w:shd w:val="clear" w:color="auto" w:fill="EBE6F0"/>
          </w:tcPr>
          <w:p>
            <w:pPr>
              <w:spacing w:after="0"/>
              <w:rPr>
                <w:sz w:val="24"/>
                <w:szCs w:val="24"/>
                <w:color w:val="auto"/>
              </w:rPr>
            </w:pPr>
          </w:p>
        </w:tc>
        <w:tc>
          <w:tcPr>
            <w:tcW w:w="300" w:type="dxa"/>
            <w:vAlign w:val="bottom"/>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Philip Morris International, Inc.</w:t>
            </w:r>
          </w:p>
        </w:tc>
        <w:tc>
          <w:tcPr>
            <w:tcW w:w="280" w:type="dxa"/>
            <w:vAlign w:val="bottom"/>
            <w:shd w:val="clear" w:color="auto" w:fill="EBE6F0"/>
          </w:tcPr>
          <w:p>
            <w:pPr>
              <w:spacing w:after="0"/>
              <w:rPr>
                <w:sz w:val="24"/>
                <w:szCs w:val="24"/>
                <w:color w:val="auto"/>
              </w:rPr>
            </w:pP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alignment</w:t>
            </w:r>
          </w:p>
        </w:tc>
        <w:tc>
          <w:tcPr>
            <w:tcW w:w="0" w:type="dxa"/>
            <w:vAlign w:val="bottom"/>
          </w:tcPr>
          <w:p>
            <w:pPr>
              <w:spacing w:after="0"/>
              <w:rPr>
                <w:sz w:val="1"/>
                <w:szCs w:val="1"/>
                <w:color w:val="auto"/>
              </w:rPr>
            </w:pPr>
          </w:p>
        </w:tc>
      </w:tr>
      <w:tr>
        <w:trPr>
          <w:trHeight w:val="243"/>
        </w:trPr>
        <w:tc>
          <w:tcPr>
            <w:tcW w:w="80" w:type="dxa"/>
            <w:vAlign w:val="bottom"/>
            <w:shd w:val="clear" w:color="auto" w:fill="EBE6F0"/>
          </w:tcPr>
          <w:p>
            <w:pPr>
              <w:spacing w:after="0"/>
              <w:rPr>
                <w:sz w:val="21"/>
                <w:szCs w:val="21"/>
                <w:color w:val="auto"/>
              </w:rPr>
            </w:pPr>
          </w:p>
        </w:tc>
        <w:tc>
          <w:tcPr>
            <w:tcW w:w="300" w:type="dxa"/>
            <w:vAlign w:val="bottom"/>
            <w:shd w:val="clear" w:color="auto" w:fill="EBE6F0"/>
          </w:tcPr>
          <w:p>
            <w:pPr>
              <w:spacing w:after="0"/>
              <w:rPr>
                <w:sz w:val="21"/>
                <w:szCs w:val="21"/>
                <w:color w:val="auto"/>
              </w:rPr>
            </w:pPr>
          </w:p>
        </w:tc>
        <w:tc>
          <w:tcPr>
            <w:tcW w:w="3400" w:type="dxa"/>
            <w:vAlign w:val="bottom"/>
            <w:tcBorders>
              <w:right w:val="single" w:sz="8" w:color="582C83"/>
            </w:tcBorders>
            <w:shd w:val="clear" w:color="auto" w:fill="EBE6F0"/>
          </w:tcPr>
          <w:p>
            <w:pPr>
              <w:spacing w:after="0"/>
              <w:rPr>
                <w:sz w:val="21"/>
                <w:szCs w:val="21"/>
                <w:color w:val="auto"/>
              </w:rPr>
            </w:pPr>
          </w:p>
        </w:tc>
        <w:tc>
          <w:tcPr>
            <w:tcW w:w="300" w:type="dxa"/>
            <w:vAlign w:val="bottom"/>
            <w:shd w:val="clear" w:color="auto" w:fill="EBE6F0"/>
          </w:tcPr>
          <w:p>
            <w:pPr>
              <w:ind w:left="140"/>
              <w:spacing w:after="0" w:line="243" w:lineRule="exact"/>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shd w:val="clear" w:color="auto" w:fill="EBE6F0"/>
          </w:tcPr>
          <w:p>
            <w:pPr>
              <w:ind w:left="60"/>
              <w:spacing w:after="0" w:line="243" w:lineRule="exact"/>
              <w:rPr>
                <w:sz w:val="20"/>
                <w:szCs w:val="20"/>
                <w:color w:val="auto"/>
              </w:rPr>
            </w:pPr>
            <w:r>
              <w:rPr>
                <w:rFonts w:ascii="Arial" w:cs="Arial" w:eastAsia="Arial" w:hAnsi="Arial"/>
                <w:sz w:val="22"/>
                <w:szCs w:val="22"/>
                <w:b w:val="1"/>
                <w:bCs w:val="1"/>
                <w:color w:val="auto"/>
              </w:rPr>
              <w:t>The Procter &amp; Gamble</w:t>
            </w:r>
          </w:p>
        </w:tc>
        <w:tc>
          <w:tcPr>
            <w:tcW w:w="3760" w:type="dxa"/>
            <w:vAlign w:val="bottom"/>
            <w:gridSpan w:val="3"/>
            <w:shd w:val="clear" w:color="auto" w:fill="EBE6F0"/>
          </w:tcPr>
          <w:p>
            <w:pPr>
              <w:ind w:left="14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Benchmark annual and long-term</w:t>
            </w:r>
          </w:p>
        </w:tc>
        <w:tc>
          <w:tcPr>
            <w:tcW w:w="0" w:type="dxa"/>
            <w:vAlign w:val="bottom"/>
          </w:tcPr>
          <w:p>
            <w:pPr>
              <w:spacing w:after="0"/>
              <w:rPr>
                <w:sz w:val="1"/>
                <w:szCs w:val="1"/>
                <w:color w:val="auto"/>
              </w:rPr>
            </w:pPr>
          </w:p>
        </w:tc>
      </w:tr>
      <w:tr>
        <w:trPr>
          <w:trHeight w:val="285"/>
        </w:trPr>
        <w:tc>
          <w:tcPr>
            <w:tcW w:w="80" w:type="dxa"/>
            <w:vAlign w:val="bottom"/>
            <w:shd w:val="clear" w:color="auto" w:fill="EBE6F0"/>
          </w:tcPr>
          <w:p>
            <w:pPr>
              <w:spacing w:after="0"/>
              <w:rPr>
                <w:sz w:val="24"/>
                <w:szCs w:val="24"/>
                <w:color w:val="auto"/>
              </w:rPr>
            </w:pPr>
          </w:p>
        </w:tc>
        <w:tc>
          <w:tcPr>
            <w:tcW w:w="300" w:type="dxa"/>
            <w:vAlign w:val="bottom"/>
            <w:shd w:val="clear" w:color="auto" w:fill="EBE6F0"/>
          </w:tcPr>
          <w:p>
            <w:pPr>
              <w:spacing w:after="0"/>
              <w:rPr>
                <w:sz w:val="24"/>
                <w:szCs w:val="24"/>
                <w:color w:val="auto"/>
              </w:rPr>
            </w:pPr>
          </w:p>
        </w:tc>
        <w:tc>
          <w:tcPr>
            <w:tcW w:w="3400" w:type="dxa"/>
            <w:vAlign w:val="bottom"/>
            <w:tcBorders>
              <w:right w:val="single" w:sz="8" w:color="582C83"/>
            </w:tcBorders>
            <w:shd w:val="clear" w:color="auto" w:fill="EBE6F0"/>
          </w:tcPr>
          <w:p>
            <w:pPr>
              <w:spacing w:after="0"/>
              <w:rPr>
                <w:sz w:val="24"/>
                <w:szCs w:val="24"/>
                <w:color w:val="auto"/>
              </w:rPr>
            </w:pPr>
          </w:p>
        </w:tc>
        <w:tc>
          <w:tcPr>
            <w:tcW w:w="300" w:type="dxa"/>
            <w:vAlign w:val="bottom"/>
            <w:shd w:val="clear" w:color="auto" w:fill="EBE6F0"/>
          </w:tcPr>
          <w:p>
            <w:pPr>
              <w:spacing w:after="0"/>
              <w:rPr>
                <w:sz w:val="24"/>
                <w:szCs w:val="24"/>
                <w:color w:val="auto"/>
              </w:rPr>
            </w:pPr>
          </w:p>
        </w:tc>
        <w:tc>
          <w:tcPr>
            <w:tcW w:w="3400" w:type="dxa"/>
            <w:vAlign w:val="bottom"/>
            <w:tcBorders>
              <w:right w:val="single" w:sz="8" w:color="582C83"/>
            </w:tcBorders>
            <w:shd w:val="clear" w:color="auto" w:fill="EBE6F0"/>
          </w:tcPr>
          <w:p>
            <w:pPr>
              <w:ind w:left="60"/>
              <w:spacing w:after="0"/>
              <w:rPr>
                <w:sz w:val="20"/>
                <w:szCs w:val="20"/>
                <w:color w:val="auto"/>
              </w:rPr>
            </w:pPr>
            <w:r>
              <w:rPr>
                <w:rFonts w:ascii="Arial" w:cs="Arial" w:eastAsia="Arial" w:hAnsi="Arial"/>
                <w:sz w:val="22"/>
                <w:szCs w:val="22"/>
                <w:b w:val="1"/>
                <w:bCs w:val="1"/>
                <w:color w:val="auto"/>
              </w:rPr>
              <w:t>Company</w:t>
            </w:r>
          </w:p>
        </w:tc>
        <w:tc>
          <w:tcPr>
            <w:tcW w:w="280" w:type="dxa"/>
            <w:vAlign w:val="bottom"/>
            <w:shd w:val="clear" w:color="auto" w:fill="EBE6F0"/>
          </w:tcPr>
          <w:p>
            <w:pPr>
              <w:spacing w:after="0"/>
              <w:rPr>
                <w:sz w:val="24"/>
                <w:szCs w:val="24"/>
                <w:color w:val="auto"/>
              </w:rPr>
            </w:pPr>
          </w:p>
        </w:tc>
        <w:tc>
          <w:tcPr>
            <w:tcW w:w="3480" w:type="dxa"/>
            <w:vAlign w:val="bottom"/>
            <w:gridSpan w:val="2"/>
            <w:shd w:val="clear" w:color="auto" w:fill="EBE6F0"/>
          </w:tcPr>
          <w:p>
            <w:pPr>
              <w:ind w:left="60"/>
              <w:spacing w:after="0"/>
              <w:rPr>
                <w:sz w:val="20"/>
                <w:szCs w:val="20"/>
                <w:color w:val="auto"/>
              </w:rPr>
            </w:pPr>
            <w:r>
              <w:rPr>
                <w:rFonts w:ascii="Arial" w:cs="Arial" w:eastAsia="Arial" w:hAnsi="Arial"/>
                <w:sz w:val="22"/>
                <w:szCs w:val="22"/>
                <w:color w:val="auto"/>
              </w:rPr>
              <w:t>incentive plan design</w:t>
            </w:r>
          </w:p>
        </w:tc>
        <w:tc>
          <w:tcPr>
            <w:tcW w:w="0" w:type="dxa"/>
            <w:vAlign w:val="bottom"/>
          </w:tcPr>
          <w:p>
            <w:pPr>
              <w:spacing w:after="0"/>
              <w:rPr>
                <w:sz w:val="1"/>
                <w:szCs w:val="1"/>
                <w:color w:val="auto"/>
              </w:rPr>
            </w:pPr>
          </w:p>
        </w:tc>
      </w:tr>
      <w:tr>
        <w:trPr>
          <w:trHeight w:val="322"/>
        </w:trPr>
        <w:tc>
          <w:tcPr>
            <w:tcW w:w="80" w:type="dxa"/>
            <w:vAlign w:val="bottom"/>
            <w:tcBorders>
              <w:bottom w:val="single" w:sz="8" w:color="EBE6F0"/>
            </w:tcBorders>
            <w:shd w:val="clear" w:color="auto" w:fill="EBE6F0"/>
          </w:tcPr>
          <w:p>
            <w:pPr>
              <w:spacing w:after="0"/>
              <w:rPr>
                <w:sz w:val="24"/>
                <w:szCs w:val="24"/>
                <w:color w:val="auto"/>
              </w:rPr>
            </w:pPr>
          </w:p>
        </w:tc>
        <w:tc>
          <w:tcPr>
            <w:tcW w:w="300" w:type="dxa"/>
            <w:vAlign w:val="bottom"/>
            <w:tcBorders>
              <w:bottom w:val="single" w:sz="8" w:color="EBE6F0"/>
            </w:tcBorders>
            <w:shd w:val="clear" w:color="auto" w:fill="EBE6F0"/>
          </w:tcPr>
          <w:p>
            <w:pPr>
              <w:spacing w:after="0"/>
              <w:rPr>
                <w:sz w:val="24"/>
                <w:szCs w:val="24"/>
                <w:color w:val="auto"/>
              </w:rPr>
            </w:pPr>
          </w:p>
        </w:tc>
        <w:tc>
          <w:tcPr>
            <w:tcW w:w="3400" w:type="dxa"/>
            <w:vAlign w:val="bottom"/>
            <w:tcBorders>
              <w:bottom w:val="single" w:sz="8" w:color="EBE6F0"/>
              <w:right w:val="single" w:sz="8" w:color="582C83"/>
            </w:tcBorders>
            <w:shd w:val="clear" w:color="auto" w:fill="EBE6F0"/>
          </w:tcPr>
          <w:p>
            <w:pPr>
              <w:spacing w:after="0"/>
              <w:rPr>
                <w:sz w:val="24"/>
                <w:szCs w:val="24"/>
                <w:color w:val="auto"/>
              </w:rPr>
            </w:pPr>
          </w:p>
        </w:tc>
        <w:tc>
          <w:tcPr>
            <w:tcW w:w="300" w:type="dxa"/>
            <w:vAlign w:val="bottom"/>
            <w:tcBorders>
              <w:bottom w:val="single" w:sz="8" w:color="EBE6F0"/>
            </w:tcBorders>
            <w:shd w:val="clear" w:color="auto" w:fill="EBE6F0"/>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bottom w:val="single" w:sz="8" w:color="EBE6F0"/>
              <w:right w:val="single" w:sz="8" w:color="582C83"/>
            </w:tcBorders>
            <w:shd w:val="clear" w:color="auto" w:fill="EBE6F0"/>
          </w:tcPr>
          <w:p>
            <w:pPr>
              <w:ind w:left="60"/>
              <w:spacing w:after="0"/>
              <w:rPr>
                <w:sz w:val="20"/>
                <w:szCs w:val="20"/>
                <w:color w:val="auto"/>
              </w:rPr>
            </w:pPr>
            <w:r>
              <w:rPr>
                <w:rFonts w:ascii="Arial" w:cs="Arial" w:eastAsia="Arial" w:hAnsi="Arial"/>
                <w:sz w:val="22"/>
                <w:szCs w:val="22"/>
                <w:color w:val="auto"/>
              </w:rPr>
              <w:t>Starbucks Corporation</w:t>
            </w:r>
          </w:p>
        </w:tc>
        <w:tc>
          <w:tcPr>
            <w:tcW w:w="280" w:type="dxa"/>
            <w:vAlign w:val="bottom"/>
            <w:tcBorders>
              <w:bottom w:val="single" w:sz="8" w:color="EBE6F0"/>
            </w:tcBorders>
            <w:shd w:val="clear" w:color="auto" w:fill="EBE6F0"/>
          </w:tcPr>
          <w:p>
            <w:pPr>
              <w:spacing w:after="0"/>
              <w:rPr>
                <w:sz w:val="24"/>
                <w:szCs w:val="24"/>
                <w:color w:val="auto"/>
              </w:rPr>
            </w:pPr>
          </w:p>
        </w:tc>
        <w:tc>
          <w:tcPr>
            <w:tcW w:w="3380" w:type="dxa"/>
            <w:vAlign w:val="bottom"/>
            <w:tcBorders>
              <w:bottom w:val="single" w:sz="8" w:color="EBE6F0"/>
            </w:tcBorders>
            <w:shd w:val="clear" w:color="auto" w:fill="EBE6F0"/>
          </w:tcPr>
          <w:p>
            <w:pPr>
              <w:spacing w:after="0"/>
              <w:rPr>
                <w:sz w:val="24"/>
                <w:szCs w:val="24"/>
                <w:color w:val="auto"/>
              </w:rPr>
            </w:pPr>
          </w:p>
        </w:tc>
        <w:tc>
          <w:tcPr>
            <w:tcW w:w="10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0" w:type="dxa"/>
            <w:vAlign w:val="bottom"/>
            <w:tcBorders>
              <w:top w:val="single" w:sz="8" w:color="EBE6F0"/>
            </w:tcBorders>
            <w:shd w:val="clear" w:color="auto" w:fill="EBE6F0"/>
          </w:tcPr>
          <w:p>
            <w:pPr>
              <w:spacing w:after="0"/>
              <w:rPr>
                <w:sz w:val="24"/>
                <w:szCs w:val="24"/>
                <w:color w:val="auto"/>
              </w:rPr>
            </w:pPr>
          </w:p>
        </w:tc>
        <w:tc>
          <w:tcPr>
            <w:tcW w:w="300" w:type="dxa"/>
            <w:vAlign w:val="bottom"/>
            <w:tcBorders>
              <w:top w:val="single" w:sz="8" w:color="582C83"/>
            </w:tcBorders>
            <w:shd w:val="clear" w:color="auto" w:fill="EBE6F0"/>
          </w:tcPr>
          <w:p>
            <w:pPr>
              <w:jc w:val="right"/>
              <w:spacing w:after="0"/>
              <w:rPr>
                <w:sz w:val="20"/>
                <w:szCs w:val="20"/>
                <w:color w:val="auto"/>
              </w:rPr>
            </w:pPr>
            <w:r>
              <w:rPr>
                <w:rFonts w:ascii="Arial" w:cs="Arial" w:eastAsia="Arial" w:hAnsi="Arial"/>
                <w:sz w:val="16"/>
                <w:szCs w:val="16"/>
                <w:color w:val="auto"/>
                <w:w w:val="91"/>
              </w:rPr>
              <w:t>(1)</w:t>
            </w:r>
          </w:p>
        </w:tc>
        <w:tc>
          <w:tcPr>
            <w:tcW w:w="10760" w:type="dxa"/>
            <w:vAlign w:val="bottom"/>
            <w:tcBorders>
              <w:top w:val="single" w:sz="8" w:color="582C83"/>
            </w:tcBorders>
            <w:gridSpan w:val="5"/>
            <w:shd w:val="clear" w:color="auto" w:fill="EBE6F0"/>
          </w:tcPr>
          <w:p>
            <w:pPr>
              <w:ind w:left="60"/>
              <w:spacing w:after="0"/>
              <w:rPr>
                <w:sz w:val="20"/>
                <w:szCs w:val="20"/>
                <w:color w:val="auto"/>
              </w:rPr>
            </w:pPr>
            <w:r>
              <w:rPr>
                <w:rFonts w:ascii="Arial" w:cs="Arial" w:eastAsia="Arial" w:hAnsi="Arial"/>
                <w:sz w:val="16"/>
                <w:szCs w:val="16"/>
                <w:color w:val="auto"/>
              </w:rPr>
              <w:t>Companies indicated in bold are represented in both the Compensation Survey and Performance Peer Groups.</w:t>
            </w:r>
          </w:p>
        </w:tc>
        <w:tc>
          <w:tcPr>
            <w:tcW w:w="100" w:type="dxa"/>
            <w:vAlign w:val="bottom"/>
            <w:tcBorders>
              <w:top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gridSpan w:val="2"/>
            <w:shd w:val="clear" w:color="auto" w:fill="EBE6F0"/>
          </w:tcPr>
          <w:p>
            <w:pPr>
              <w:jc w:val="right"/>
              <w:spacing w:after="0"/>
              <w:rPr>
                <w:sz w:val="20"/>
                <w:szCs w:val="20"/>
                <w:color w:val="auto"/>
              </w:rPr>
            </w:pPr>
            <w:r>
              <w:rPr>
                <w:rFonts w:ascii="Arial" w:cs="Arial" w:eastAsia="Arial" w:hAnsi="Arial"/>
                <w:sz w:val="16"/>
                <w:szCs w:val="16"/>
                <w:color w:val="auto"/>
              </w:rPr>
              <w:t>(2)</w:t>
            </w:r>
          </w:p>
        </w:tc>
        <w:tc>
          <w:tcPr>
            <w:tcW w:w="10860" w:type="dxa"/>
            <w:vAlign w:val="bottom"/>
            <w:gridSpan w:val="6"/>
            <w:shd w:val="clear" w:color="auto" w:fill="EBE6F0"/>
          </w:tcPr>
          <w:p>
            <w:pPr>
              <w:ind w:left="60"/>
              <w:spacing w:after="0"/>
              <w:rPr>
                <w:sz w:val="20"/>
                <w:szCs w:val="20"/>
                <w:color w:val="auto"/>
              </w:rPr>
            </w:pPr>
            <w:r>
              <w:rPr>
                <w:rFonts w:ascii="Arial" w:cs="Arial" w:eastAsia="Arial" w:hAnsi="Arial"/>
                <w:sz w:val="16"/>
                <w:szCs w:val="16"/>
                <w:color w:val="auto"/>
              </w:rPr>
              <w:t>The People and Compensation Committee also considers pay at Nestlé, Danone and Unilever when reviewing CEO compensation.</w:t>
            </w:r>
          </w:p>
        </w:tc>
        <w:tc>
          <w:tcPr>
            <w:tcW w:w="0" w:type="dxa"/>
            <w:vAlign w:val="bottom"/>
          </w:tcPr>
          <w:p>
            <w:pPr>
              <w:spacing w:after="0"/>
              <w:rPr>
                <w:sz w:val="1"/>
                <w:szCs w:val="1"/>
                <w:color w:val="auto"/>
              </w:rPr>
            </w:pPr>
          </w:p>
        </w:tc>
      </w:tr>
      <w:tr>
        <w:trPr>
          <w:trHeight w:val="230"/>
        </w:trPr>
        <w:tc>
          <w:tcPr>
            <w:tcW w:w="380" w:type="dxa"/>
            <w:vAlign w:val="bottom"/>
            <w:gridSpan w:val="2"/>
            <w:shd w:val="clear" w:color="auto" w:fill="EBE6F0"/>
          </w:tcPr>
          <w:p>
            <w:pPr>
              <w:jc w:val="right"/>
              <w:spacing w:after="0"/>
              <w:rPr>
                <w:sz w:val="20"/>
                <w:szCs w:val="20"/>
                <w:color w:val="auto"/>
              </w:rPr>
            </w:pPr>
            <w:r>
              <w:rPr>
                <w:rFonts w:ascii="Arial" w:cs="Arial" w:eastAsia="Arial" w:hAnsi="Arial"/>
                <w:sz w:val="16"/>
                <w:szCs w:val="16"/>
                <w:color w:val="auto"/>
              </w:rPr>
              <w:t>(3)</w:t>
            </w:r>
          </w:p>
        </w:tc>
        <w:tc>
          <w:tcPr>
            <w:tcW w:w="7100" w:type="dxa"/>
            <w:vAlign w:val="bottom"/>
            <w:tcBorders>
              <w:right w:val="single" w:sz="8" w:color="EBE6F0"/>
            </w:tcBorders>
            <w:gridSpan w:val="3"/>
            <w:shd w:val="clear" w:color="auto" w:fill="EBE6F0"/>
          </w:tcPr>
          <w:p>
            <w:pPr>
              <w:ind w:left="60"/>
              <w:spacing w:after="0"/>
              <w:rPr>
                <w:sz w:val="20"/>
                <w:szCs w:val="20"/>
                <w:color w:val="auto"/>
              </w:rPr>
            </w:pPr>
            <w:r>
              <w:rPr>
                <w:rFonts w:ascii="Arial" w:cs="Arial" w:eastAsia="Arial" w:hAnsi="Arial"/>
                <w:sz w:val="16"/>
                <w:szCs w:val="16"/>
                <w:color w:val="auto"/>
              </w:rPr>
              <w:t>Excluded by the People and Compensation Committee when reviewing CEO compensation.</w:t>
            </w:r>
          </w:p>
        </w:tc>
        <w:tc>
          <w:tcPr>
            <w:tcW w:w="280" w:type="dxa"/>
            <w:vAlign w:val="bottom"/>
            <w:shd w:val="clear" w:color="auto" w:fill="EBE6F0"/>
          </w:tcPr>
          <w:p>
            <w:pPr>
              <w:spacing w:after="0"/>
              <w:rPr>
                <w:sz w:val="19"/>
                <w:szCs w:val="19"/>
                <w:color w:val="auto"/>
              </w:rPr>
            </w:pPr>
          </w:p>
        </w:tc>
        <w:tc>
          <w:tcPr>
            <w:tcW w:w="3380" w:type="dxa"/>
            <w:vAlign w:val="bottom"/>
            <w:shd w:val="clear" w:color="auto" w:fill="EBE6F0"/>
          </w:tcPr>
          <w:p>
            <w:pPr>
              <w:spacing w:after="0"/>
              <w:rPr>
                <w:sz w:val="19"/>
                <w:szCs w:val="19"/>
                <w:color w:val="auto"/>
              </w:rPr>
            </w:pPr>
          </w:p>
        </w:tc>
        <w:tc>
          <w:tcPr>
            <w:tcW w:w="100" w:type="dxa"/>
            <w:vAlign w:val="bottom"/>
            <w:shd w:val="clear" w:color="auto" w:fill="EBE6F0"/>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shd w:val="clear" w:color="auto" w:fill="EBE6F0"/>
          </w:tcPr>
          <w:p>
            <w:pPr>
              <w:spacing w:after="0"/>
              <w:rPr>
                <w:sz w:val="15"/>
                <w:szCs w:val="15"/>
                <w:color w:val="auto"/>
              </w:rPr>
            </w:pPr>
          </w:p>
        </w:tc>
        <w:tc>
          <w:tcPr>
            <w:tcW w:w="300" w:type="dxa"/>
            <w:vAlign w:val="bottom"/>
            <w:shd w:val="clear" w:color="auto" w:fill="EBE6F0"/>
          </w:tcPr>
          <w:p>
            <w:pPr>
              <w:spacing w:after="0"/>
              <w:rPr>
                <w:sz w:val="15"/>
                <w:szCs w:val="15"/>
                <w:color w:val="auto"/>
              </w:rPr>
            </w:pPr>
          </w:p>
        </w:tc>
        <w:tc>
          <w:tcPr>
            <w:tcW w:w="3400" w:type="dxa"/>
            <w:vAlign w:val="bottom"/>
            <w:tcBorders>
              <w:right w:val="single" w:sz="8" w:color="EBE6F0"/>
            </w:tcBorders>
            <w:shd w:val="clear" w:color="auto" w:fill="EBE6F0"/>
          </w:tcPr>
          <w:p>
            <w:pPr>
              <w:spacing w:after="0"/>
              <w:rPr>
                <w:sz w:val="15"/>
                <w:szCs w:val="15"/>
                <w:color w:val="auto"/>
              </w:rPr>
            </w:pPr>
          </w:p>
        </w:tc>
        <w:tc>
          <w:tcPr>
            <w:tcW w:w="300" w:type="dxa"/>
            <w:vAlign w:val="bottom"/>
            <w:shd w:val="clear" w:color="auto" w:fill="EBE6F0"/>
          </w:tcPr>
          <w:p>
            <w:pPr>
              <w:spacing w:after="0"/>
              <w:rPr>
                <w:sz w:val="15"/>
                <w:szCs w:val="15"/>
                <w:color w:val="auto"/>
              </w:rPr>
            </w:pPr>
          </w:p>
        </w:tc>
        <w:tc>
          <w:tcPr>
            <w:tcW w:w="3400" w:type="dxa"/>
            <w:vAlign w:val="bottom"/>
            <w:tcBorders>
              <w:right w:val="single" w:sz="8" w:color="EBE6F0"/>
            </w:tcBorders>
            <w:shd w:val="clear" w:color="auto" w:fill="EBE6F0"/>
          </w:tcPr>
          <w:p>
            <w:pPr>
              <w:spacing w:after="0"/>
              <w:rPr>
                <w:sz w:val="15"/>
                <w:szCs w:val="15"/>
                <w:color w:val="auto"/>
              </w:rPr>
            </w:pPr>
          </w:p>
        </w:tc>
        <w:tc>
          <w:tcPr>
            <w:tcW w:w="280" w:type="dxa"/>
            <w:vAlign w:val="bottom"/>
            <w:shd w:val="clear" w:color="auto" w:fill="EBE6F0"/>
          </w:tcPr>
          <w:p>
            <w:pPr>
              <w:spacing w:after="0"/>
              <w:rPr>
                <w:sz w:val="15"/>
                <w:szCs w:val="15"/>
                <w:color w:val="auto"/>
              </w:rPr>
            </w:pPr>
          </w:p>
        </w:tc>
        <w:tc>
          <w:tcPr>
            <w:tcW w:w="3380" w:type="dxa"/>
            <w:vAlign w:val="bottom"/>
            <w:shd w:val="clear" w:color="auto" w:fill="EBE6F0"/>
          </w:tcPr>
          <w:p>
            <w:pPr>
              <w:spacing w:after="0"/>
              <w:rPr>
                <w:sz w:val="15"/>
                <w:szCs w:val="15"/>
                <w:color w:val="auto"/>
              </w:rPr>
            </w:pPr>
          </w:p>
        </w:tc>
        <w:tc>
          <w:tcPr>
            <w:tcW w:w="100" w:type="dxa"/>
            <w:vAlign w:val="bottom"/>
            <w:shd w:val="clear" w:color="auto" w:fill="EBE6F0"/>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right="620"/>
        <w:spacing w:after="0" w:line="262" w:lineRule="auto"/>
        <w:rPr>
          <w:sz w:val="20"/>
          <w:szCs w:val="20"/>
          <w:color w:val="auto"/>
        </w:rPr>
      </w:pPr>
      <w:r>
        <w:rPr>
          <w:rFonts w:ascii="Arial" w:cs="Arial" w:eastAsia="Arial" w:hAnsi="Arial"/>
          <w:sz w:val="21"/>
          <w:szCs w:val="21"/>
          <w:color w:val="auto"/>
        </w:rPr>
        <w:t>To further validate our compensation levels, using data provided by the executive compensation consultant, the People and Compensation Committee retrospectively evaluates our pay-for-performance alignment versus our Compensation Survey Peer Group. The Committee believes that pay and performance is appropriately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Performance Peer Group</w:t>
      </w:r>
    </w:p>
    <w:p>
      <w:pPr>
        <w:spacing w:after="0" w:line="41"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We compare our financial and TSR performance against our Performance Peer Group, which allows us to link long-term incentive compensation directly to the delivery of superior financial results relative to our food and beverage peers. This group of companies is less relevant as a comparator for compensation levels for certain executive positions because of differences in company size, scope and complexity. However, we consider these companies direct competitors both for business and talent so comparing our results with this peer group’s performance provides a valuable and relevant measure of our performance. We did not change our Performance Peer Group for 2021. The table below shows our criteria for choosing the Performance Peer Group and how it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wp:posOffset>
            </wp:positionV>
            <wp:extent cx="7136130" cy="31159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6130" cy="3115945"/>
                    </a:xfrm>
                    <a:prstGeom prst="rect">
                      <a:avLst/>
                    </a:prstGeom>
                    <a:noFill/>
                  </pic:spPr>
                </pic:pic>
              </a:graphicData>
            </a:graphic>
          </wp:anchor>
        </w:drawing>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700" w:type="dxa"/>
            <w:vAlign w:val="bottom"/>
            <w:tcBorders>
              <w:right w:val="single" w:sz="8" w:color="582C83"/>
            </w:tcBorders>
          </w:tcPr>
          <w:p>
            <w:pPr>
              <w:ind w:left="140"/>
              <w:spacing w:after="0"/>
              <w:rPr>
                <w:sz w:val="20"/>
                <w:szCs w:val="20"/>
                <w:color w:val="auto"/>
              </w:rPr>
            </w:pPr>
            <w:r>
              <w:rPr>
                <w:rFonts w:ascii="Arial" w:cs="Arial" w:eastAsia="Arial" w:hAnsi="Arial"/>
                <w:sz w:val="22"/>
                <w:szCs w:val="22"/>
                <w:b w:val="1"/>
                <w:bCs w:val="1"/>
                <w:color w:val="auto"/>
                <w:w w:val="99"/>
              </w:rPr>
              <w:t>How the Performance Peer Group</w:t>
            </w:r>
          </w:p>
        </w:tc>
        <w:tc>
          <w:tcPr>
            <w:tcW w:w="300" w:type="dxa"/>
            <w:vAlign w:val="bottom"/>
            <w:tcBorders>
              <w:top w:val="single" w:sz="8" w:color="582C83"/>
            </w:tcBorders>
          </w:tcPr>
          <w:p>
            <w:pPr>
              <w:spacing w:after="0"/>
              <w:rPr>
                <w:sz w:val="24"/>
                <w:szCs w:val="24"/>
                <w:color w:val="auto"/>
              </w:rPr>
            </w:pPr>
          </w:p>
        </w:tc>
        <w:tc>
          <w:tcPr>
            <w:tcW w:w="3400" w:type="dxa"/>
            <w:vAlign w:val="bottom"/>
            <w:tcBorders>
              <w:top w:val="single" w:sz="8" w:color="582C83"/>
              <w:right w:val="single" w:sz="8" w:color="582C83"/>
            </w:tcBorders>
          </w:tcPr>
          <w:p>
            <w:pPr>
              <w:spacing w:after="0"/>
              <w:rPr>
                <w:sz w:val="24"/>
                <w:szCs w:val="24"/>
                <w:color w:val="auto"/>
              </w:rPr>
            </w:pPr>
          </w:p>
        </w:tc>
        <w:tc>
          <w:tcPr>
            <w:tcW w:w="3660" w:type="dxa"/>
            <w:vAlign w:val="bottom"/>
          </w:tcPr>
          <w:p>
            <w:pPr>
              <w:ind w:left="140"/>
              <w:spacing w:after="0"/>
              <w:rPr>
                <w:sz w:val="20"/>
                <w:szCs w:val="20"/>
                <w:color w:val="auto"/>
              </w:rPr>
            </w:pPr>
            <w:r>
              <w:rPr>
                <w:rFonts w:ascii="Arial" w:cs="Arial" w:eastAsia="Arial" w:hAnsi="Arial"/>
                <w:sz w:val="22"/>
                <w:szCs w:val="22"/>
                <w:b w:val="1"/>
                <w:bCs w:val="1"/>
                <w:color w:val="auto"/>
              </w:rPr>
              <w:t>How We Use the Performance</w:t>
            </w:r>
          </w:p>
        </w:tc>
        <w:tc>
          <w:tcPr>
            <w:tcW w:w="0" w:type="dxa"/>
            <w:vAlign w:val="bottom"/>
          </w:tcPr>
          <w:p>
            <w:pPr>
              <w:spacing w:after="0"/>
              <w:rPr>
                <w:sz w:val="1"/>
                <w:szCs w:val="1"/>
                <w:color w:val="auto"/>
              </w:rPr>
            </w:pPr>
          </w:p>
        </w:tc>
      </w:tr>
      <w:tr>
        <w:trPr>
          <w:trHeight w:val="305"/>
        </w:trPr>
        <w:tc>
          <w:tcPr>
            <w:tcW w:w="3700" w:type="dxa"/>
            <w:vAlign w:val="bottom"/>
            <w:tcBorders>
              <w:bottom w:val="single" w:sz="8" w:color="582C83"/>
              <w:right w:val="single" w:sz="8" w:color="582C83"/>
            </w:tcBorders>
          </w:tcPr>
          <w:p>
            <w:pPr>
              <w:ind w:left="140"/>
              <w:spacing w:after="0"/>
              <w:rPr>
                <w:sz w:val="20"/>
                <w:szCs w:val="20"/>
                <w:color w:val="auto"/>
              </w:rPr>
            </w:pPr>
            <w:r>
              <w:rPr>
                <w:rFonts w:ascii="Arial" w:cs="Arial" w:eastAsia="Arial" w:hAnsi="Arial"/>
                <w:sz w:val="22"/>
                <w:szCs w:val="22"/>
                <w:b w:val="1"/>
                <w:bCs w:val="1"/>
                <w:color w:val="auto"/>
              </w:rPr>
              <w:t>Was Chosen</w:t>
            </w:r>
          </w:p>
        </w:tc>
        <w:tc>
          <w:tcPr>
            <w:tcW w:w="3700" w:type="dxa"/>
            <w:vAlign w:val="bottom"/>
            <w:tcBorders>
              <w:bottom w:val="single" w:sz="8" w:color="582C83"/>
              <w:right w:val="single" w:sz="8" w:color="582C83"/>
            </w:tcBorders>
            <w:gridSpan w:val="2"/>
          </w:tcPr>
          <w:p>
            <w:pPr>
              <w:ind w:left="140"/>
              <w:spacing w:after="0"/>
              <w:rPr>
                <w:sz w:val="20"/>
                <w:szCs w:val="20"/>
                <w:color w:val="auto"/>
              </w:rPr>
            </w:pPr>
            <w:r>
              <w:rPr>
                <w:rFonts w:ascii="Arial" w:cs="Arial" w:eastAsia="Arial" w:hAnsi="Arial"/>
                <w:sz w:val="22"/>
                <w:szCs w:val="22"/>
                <w:b w:val="1"/>
                <w:bCs w:val="1"/>
                <w:color w:val="auto"/>
              </w:rPr>
              <w:t>2021 Performance Peer Group</w:t>
            </w:r>
            <w:r>
              <w:rPr>
                <w:rFonts w:ascii="Arial" w:cs="Arial" w:eastAsia="Arial" w:hAnsi="Arial"/>
                <w:sz w:val="24"/>
                <w:szCs w:val="24"/>
                <w:b w:val="1"/>
                <w:bCs w:val="1"/>
                <w:color w:val="auto"/>
                <w:vertAlign w:val="superscript"/>
              </w:rPr>
              <w:t>(1)</w:t>
            </w:r>
          </w:p>
        </w:tc>
        <w:tc>
          <w:tcPr>
            <w:tcW w:w="3660" w:type="dxa"/>
            <w:vAlign w:val="bottom"/>
            <w:tcBorders>
              <w:bottom w:val="single" w:sz="8" w:color="582C83"/>
            </w:tcBorders>
          </w:tcPr>
          <w:p>
            <w:pPr>
              <w:ind w:left="140"/>
              <w:spacing w:after="0"/>
              <w:rPr>
                <w:sz w:val="20"/>
                <w:szCs w:val="20"/>
                <w:color w:val="auto"/>
              </w:rPr>
            </w:pPr>
            <w:r>
              <w:rPr>
                <w:rFonts w:ascii="Arial" w:cs="Arial" w:eastAsia="Arial" w:hAnsi="Arial"/>
                <w:sz w:val="22"/>
                <w:szCs w:val="22"/>
                <w:b w:val="1"/>
                <w:bCs w:val="1"/>
                <w:color w:val="auto"/>
              </w:rPr>
              <w:t>Peer Group</w:t>
            </w:r>
          </w:p>
        </w:tc>
        <w:tc>
          <w:tcPr>
            <w:tcW w:w="0" w:type="dxa"/>
            <w:vAlign w:val="bottom"/>
          </w:tcPr>
          <w:p>
            <w:pPr>
              <w:spacing w:after="0"/>
              <w:rPr>
                <w:sz w:val="1"/>
                <w:szCs w:val="1"/>
                <w:color w:val="auto"/>
              </w:rPr>
            </w:pPr>
          </w:p>
        </w:tc>
      </w:tr>
      <w:tr>
        <w:trPr>
          <w:trHeight w:val="257"/>
        </w:trPr>
        <w:tc>
          <w:tcPr>
            <w:tcW w:w="3700" w:type="dxa"/>
            <w:vAlign w:val="bottom"/>
            <w:tcBorders>
              <w:right w:val="single" w:sz="8" w:color="582C83"/>
            </w:tcBorders>
          </w:tcPr>
          <w:p>
            <w:pPr>
              <w:ind w:left="14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Industry competitor</w:t>
            </w: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Campbell Soup Company</w:t>
            </w:r>
          </w:p>
        </w:tc>
        <w:tc>
          <w:tcPr>
            <w:tcW w:w="3660" w:type="dxa"/>
            <w:vAlign w:val="bottom"/>
          </w:tcPr>
          <w:p>
            <w:pPr>
              <w:ind w:left="14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Compare annualized TSR to</w:t>
            </w:r>
          </w:p>
        </w:tc>
        <w:tc>
          <w:tcPr>
            <w:tcW w:w="0" w:type="dxa"/>
            <w:vAlign w:val="bottom"/>
          </w:tcPr>
          <w:p>
            <w:pPr>
              <w:spacing w:after="0"/>
              <w:rPr>
                <w:sz w:val="1"/>
                <w:szCs w:val="1"/>
                <w:color w:val="auto"/>
              </w:rPr>
            </w:pPr>
          </w:p>
        </w:tc>
      </w:tr>
      <w:tr>
        <w:trPr>
          <w:trHeight w:val="256"/>
        </w:trPr>
        <w:tc>
          <w:tcPr>
            <w:tcW w:w="3700" w:type="dxa"/>
            <w:vAlign w:val="bottom"/>
            <w:tcBorders>
              <w:right w:val="single" w:sz="8" w:color="582C83"/>
            </w:tcBorders>
          </w:tcPr>
          <w:p>
            <w:pPr>
              <w:ind w:left="14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Focused on the production and</w:t>
            </w: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The Coca-Cola Company</w:t>
            </w:r>
          </w:p>
        </w:tc>
        <w:tc>
          <w:tcPr>
            <w:tcW w:w="3660" w:type="dxa"/>
            <w:vAlign w:val="bottom"/>
          </w:tcPr>
          <w:p>
            <w:pPr>
              <w:ind w:left="340"/>
              <w:spacing w:after="0"/>
              <w:rPr>
                <w:sz w:val="20"/>
                <w:szCs w:val="20"/>
                <w:color w:val="auto"/>
              </w:rPr>
            </w:pPr>
            <w:r>
              <w:rPr>
                <w:rFonts w:ascii="Arial" w:cs="Arial" w:eastAsia="Arial" w:hAnsi="Arial"/>
                <w:sz w:val="22"/>
                <w:szCs w:val="22"/>
                <w:color w:val="auto"/>
              </w:rPr>
              <w:t>assess our results against the</w:t>
            </w:r>
          </w:p>
        </w:tc>
        <w:tc>
          <w:tcPr>
            <w:tcW w:w="0" w:type="dxa"/>
            <w:vAlign w:val="bottom"/>
          </w:tcPr>
          <w:p>
            <w:pPr>
              <w:spacing w:after="0"/>
              <w:rPr>
                <w:sz w:val="1"/>
                <w:szCs w:val="1"/>
                <w:color w:val="auto"/>
              </w:rPr>
            </w:pPr>
          </w:p>
        </w:tc>
      </w:tr>
      <w:tr>
        <w:trPr>
          <w:trHeight w:val="283"/>
        </w:trPr>
        <w:tc>
          <w:tcPr>
            <w:tcW w:w="3700" w:type="dxa"/>
            <w:vAlign w:val="bottom"/>
            <w:tcBorders>
              <w:right w:val="single" w:sz="8" w:color="582C83"/>
            </w:tcBorders>
          </w:tcPr>
          <w:p>
            <w:pPr>
              <w:ind w:left="360"/>
              <w:spacing w:after="0"/>
              <w:rPr>
                <w:sz w:val="20"/>
                <w:szCs w:val="20"/>
                <w:color w:val="auto"/>
              </w:rPr>
            </w:pPr>
            <w:r>
              <w:rPr>
                <w:rFonts w:ascii="Arial" w:cs="Arial" w:eastAsia="Arial" w:hAnsi="Arial"/>
                <w:sz w:val="22"/>
                <w:szCs w:val="22"/>
                <w:color w:val="auto"/>
              </w:rPr>
              <w:t>marketing of food and non-</w:t>
            </w: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Colgate-Palmolive Company</w:t>
            </w:r>
          </w:p>
        </w:tc>
        <w:tc>
          <w:tcPr>
            <w:tcW w:w="3660" w:type="dxa"/>
            <w:vAlign w:val="bottom"/>
          </w:tcPr>
          <w:p>
            <w:pPr>
              <w:ind w:left="340"/>
              <w:spacing w:after="0"/>
              <w:rPr>
                <w:sz w:val="20"/>
                <w:szCs w:val="20"/>
                <w:color w:val="auto"/>
              </w:rPr>
            </w:pPr>
            <w:r>
              <w:rPr>
                <w:rFonts w:ascii="Arial" w:cs="Arial" w:eastAsia="Arial" w:hAnsi="Arial"/>
                <w:sz w:val="22"/>
                <w:szCs w:val="22"/>
                <w:color w:val="auto"/>
              </w:rPr>
              <w:t>TSR performance measure for</w:t>
            </w:r>
          </w:p>
        </w:tc>
        <w:tc>
          <w:tcPr>
            <w:tcW w:w="0" w:type="dxa"/>
            <w:vAlign w:val="bottom"/>
          </w:tcPr>
          <w:p>
            <w:pPr>
              <w:spacing w:after="0"/>
              <w:rPr>
                <w:sz w:val="1"/>
                <w:szCs w:val="1"/>
                <w:color w:val="auto"/>
              </w:rPr>
            </w:pPr>
          </w:p>
        </w:tc>
      </w:tr>
      <w:tr>
        <w:trPr>
          <w:trHeight w:val="283"/>
        </w:trPr>
        <w:tc>
          <w:tcPr>
            <w:tcW w:w="3700" w:type="dxa"/>
            <w:vAlign w:val="bottom"/>
            <w:tcBorders>
              <w:right w:val="single" w:sz="8" w:color="582C83"/>
            </w:tcBorders>
          </w:tcPr>
          <w:p>
            <w:pPr>
              <w:ind w:left="360"/>
              <w:spacing w:after="0"/>
              <w:rPr>
                <w:sz w:val="20"/>
                <w:szCs w:val="20"/>
                <w:color w:val="auto"/>
              </w:rPr>
            </w:pPr>
            <w:r>
              <w:rPr>
                <w:rFonts w:ascii="Arial" w:cs="Arial" w:eastAsia="Arial" w:hAnsi="Arial"/>
                <w:sz w:val="22"/>
                <w:szCs w:val="22"/>
                <w:color w:val="auto"/>
              </w:rPr>
              <w:t>alcoholic beverages</w:t>
            </w:r>
          </w:p>
        </w:tc>
        <w:tc>
          <w:tcPr>
            <w:tcW w:w="300" w:type="dxa"/>
            <w:vAlign w:val="bottom"/>
            <w:vMerge w:val="restart"/>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vMerge w:val="restart"/>
          </w:tcPr>
          <w:p>
            <w:pPr>
              <w:ind w:left="60"/>
              <w:spacing w:after="0"/>
              <w:rPr>
                <w:sz w:val="20"/>
                <w:szCs w:val="20"/>
                <w:color w:val="auto"/>
              </w:rPr>
            </w:pPr>
            <w:r>
              <w:rPr>
                <w:rFonts w:ascii="Arial" w:cs="Arial" w:eastAsia="Arial" w:hAnsi="Arial"/>
                <w:sz w:val="22"/>
                <w:szCs w:val="22"/>
                <w:color w:val="auto"/>
              </w:rPr>
              <w:t>Danone</w:t>
            </w:r>
          </w:p>
        </w:tc>
        <w:tc>
          <w:tcPr>
            <w:tcW w:w="3660" w:type="dxa"/>
            <w:vAlign w:val="bottom"/>
          </w:tcPr>
          <w:p>
            <w:pPr>
              <w:ind w:left="340"/>
              <w:spacing w:after="0"/>
              <w:rPr>
                <w:sz w:val="20"/>
                <w:szCs w:val="20"/>
                <w:color w:val="auto"/>
              </w:rPr>
            </w:pPr>
            <w:r>
              <w:rPr>
                <w:rFonts w:ascii="Arial" w:cs="Arial" w:eastAsia="Arial" w:hAnsi="Arial"/>
                <w:sz w:val="22"/>
                <w:szCs w:val="22"/>
                <w:color w:val="auto"/>
              </w:rPr>
              <w:t>PSUs</w:t>
            </w:r>
          </w:p>
        </w:tc>
        <w:tc>
          <w:tcPr>
            <w:tcW w:w="0" w:type="dxa"/>
            <w:vAlign w:val="bottom"/>
          </w:tcPr>
          <w:p>
            <w:pPr>
              <w:spacing w:after="0"/>
              <w:rPr>
                <w:sz w:val="1"/>
                <w:szCs w:val="1"/>
                <w:color w:val="auto"/>
              </w:rPr>
            </w:pPr>
          </w:p>
        </w:tc>
      </w:tr>
      <w:tr>
        <w:trPr>
          <w:trHeight w:val="66"/>
        </w:trPr>
        <w:tc>
          <w:tcPr>
            <w:tcW w:w="3700" w:type="dxa"/>
            <w:vAlign w:val="bottom"/>
            <w:tcBorders>
              <w:right w:val="single" w:sz="8" w:color="582C83"/>
            </w:tcBorders>
          </w:tcPr>
          <w:p>
            <w:pPr>
              <w:spacing w:after="0"/>
              <w:rPr>
                <w:sz w:val="5"/>
                <w:szCs w:val="5"/>
                <w:color w:val="auto"/>
              </w:rPr>
            </w:pPr>
          </w:p>
        </w:tc>
        <w:tc>
          <w:tcPr>
            <w:tcW w:w="300" w:type="dxa"/>
            <w:vAlign w:val="bottom"/>
            <w:vMerge w:val="continue"/>
          </w:tcPr>
          <w:p>
            <w:pPr>
              <w:spacing w:after="0"/>
              <w:rPr>
                <w:sz w:val="5"/>
                <w:szCs w:val="5"/>
                <w:color w:val="auto"/>
              </w:rPr>
            </w:pPr>
          </w:p>
        </w:tc>
        <w:tc>
          <w:tcPr>
            <w:tcW w:w="3400" w:type="dxa"/>
            <w:vAlign w:val="bottom"/>
            <w:tcBorders>
              <w:right w:val="single" w:sz="8" w:color="582C83"/>
            </w:tcBorders>
            <w:vMerge w:val="continue"/>
          </w:tcPr>
          <w:p>
            <w:pPr>
              <w:spacing w:after="0"/>
              <w:rPr>
                <w:sz w:val="5"/>
                <w:szCs w:val="5"/>
                <w:color w:val="auto"/>
              </w:rPr>
            </w:pPr>
          </w:p>
        </w:tc>
        <w:tc>
          <w:tcPr>
            <w:tcW w:w="3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General Mills Inc.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The Hershey Company</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The Kellogg Company</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The Kraft Heinz Company</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Nestlé S.A</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PepsiCo, Inc</w:t>
            </w:r>
            <w:r>
              <w:rPr>
                <w:rFonts w:ascii="Arial" w:cs="Arial" w:eastAsia="Arial" w:hAnsi="Arial"/>
                <w:sz w:val="22"/>
                <w:szCs w:val="22"/>
                <w:color w:val="auto"/>
              </w:rPr>
              <w: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00" w:type="dxa"/>
            <w:vAlign w:val="bottom"/>
            <w:tcBorders>
              <w:right w:val="single" w:sz="8" w:color="582C83"/>
            </w:tcBorders>
          </w:tcPr>
          <w:p>
            <w:pPr>
              <w:spacing w:after="0"/>
              <w:rPr>
                <w:sz w:val="21"/>
                <w:szCs w:val="21"/>
                <w:color w:val="auto"/>
              </w:rPr>
            </w:pPr>
          </w:p>
        </w:tc>
        <w:tc>
          <w:tcPr>
            <w:tcW w:w="300" w:type="dxa"/>
            <w:vAlign w:val="bottom"/>
          </w:tcPr>
          <w:p>
            <w:pPr>
              <w:ind w:left="140"/>
              <w:spacing w:after="0" w:line="243" w:lineRule="exact"/>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line="243" w:lineRule="exact"/>
              <w:rPr>
                <w:sz w:val="20"/>
                <w:szCs w:val="20"/>
                <w:color w:val="auto"/>
              </w:rPr>
            </w:pPr>
            <w:r>
              <w:rPr>
                <w:rFonts w:ascii="Arial" w:cs="Arial" w:eastAsia="Arial" w:hAnsi="Arial"/>
                <w:sz w:val="22"/>
                <w:szCs w:val="22"/>
                <w:b w:val="1"/>
                <w:bCs w:val="1"/>
                <w:color w:val="auto"/>
              </w:rPr>
              <w:t>The Procter &amp; Gamble</w:t>
            </w: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3700" w:type="dxa"/>
            <w:vAlign w:val="bottom"/>
            <w:tcBorders>
              <w:right w:val="single" w:sz="8" w:color="582C83"/>
            </w:tcBorders>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b w:val="1"/>
                <w:bCs w:val="1"/>
                <w:color w:val="auto"/>
              </w:rPr>
              <w:t>Company</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700" w:type="dxa"/>
            <w:vAlign w:val="bottom"/>
            <w:tcBorders>
              <w:right w:val="single" w:sz="8" w:color="582C83"/>
            </w:tcBorders>
          </w:tcPr>
          <w:p>
            <w:pPr>
              <w:spacing w:after="0"/>
              <w:rPr>
                <w:sz w:val="24"/>
                <w:szCs w:val="24"/>
                <w:color w:val="auto"/>
              </w:rPr>
            </w:pPr>
          </w:p>
        </w:tc>
        <w:tc>
          <w:tcPr>
            <w:tcW w:w="300" w:type="dxa"/>
            <w:vAlign w:val="bottom"/>
          </w:tcPr>
          <w:p>
            <w:pPr>
              <w:ind w:left="140"/>
              <w:spacing w:after="0"/>
              <w:rPr>
                <w:sz w:val="20"/>
                <w:szCs w:val="20"/>
                <w:color w:val="auto"/>
              </w:rPr>
            </w:pPr>
            <w:r>
              <w:rPr>
                <w:rFonts w:ascii="Arial" w:cs="Arial" w:eastAsia="Arial" w:hAnsi="Arial"/>
                <w:sz w:val="22"/>
                <w:szCs w:val="22"/>
                <w:color w:val="582C83"/>
              </w:rPr>
              <w:t>•</w:t>
            </w:r>
          </w:p>
        </w:tc>
        <w:tc>
          <w:tcPr>
            <w:tcW w:w="3400" w:type="dxa"/>
            <w:vAlign w:val="bottom"/>
            <w:tcBorders>
              <w:right w:val="single" w:sz="8" w:color="582C83"/>
            </w:tcBorders>
          </w:tcPr>
          <w:p>
            <w:pPr>
              <w:ind w:left="60"/>
              <w:spacing w:after="0"/>
              <w:rPr>
                <w:sz w:val="20"/>
                <w:szCs w:val="20"/>
                <w:color w:val="auto"/>
              </w:rPr>
            </w:pPr>
            <w:r>
              <w:rPr>
                <w:rFonts w:ascii="Arial" w:cs="Arial" w:eastAsia="Arial" w:hAnsi="Arial"/>
                <w:sz w:val="22"/>
                <w:szCs w:val="22"/>
                <w:color w:val="auto"/>
              </w:rPr>
              <w:t>Unilever PLC</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700" w:type="dxa"/>
            <w:vAlign w:val="bottom"/>
            <w:tcBorders>
              <w:bottom w:val="single" w:sz="8" w:color="582C83"/>
              <w:right w:val="single" w:sz="8" w:color="582C83"/>
            </w:tcBorders>
          </w:tcPr>
          <w:p>
            <w:pPr>
              <w:spacing w:after="0"/>
              <w:rPr>
                <w:sz w:val="2"/>
                <w:szCs w:val="2"/>
                <w:color w:val="auto"/>
              </w:rPr>
            </w:pPr>
          </w:p>
        </w:tc>
        <w:tc>
          <w:tcPr>
            <w:tcW w:w="300" w:type="dxa"/>
            <w:vAlign w:val="bottom"/>
            <w:tcBorders>
              <w:bottom w:val="single" w:sz="8" w:color="582C83"/>
            </w:tcBorders>
          </w:tcPr>
          <w:p>
            <w:pPr>
              <w:spacing w:after="0"/>
              <w:rPr>
                <w:sz w:val="2"/>
                <w:szCs w:val="2"/>
                <w:color w:val="auto"/>
              </w:rPr>
            </w:pPr>
          </w:p>
        </w:tc>
        <w:tc>
          <w:tcPr>
            <w:tcW w:w="3400" w:type="dxa"/>
            <w:vAlign w:val="bottom"/>
            <w:tcBorders>
              <w:bottom w:val="single" w:sz="8" w:color="582C83"/>
              <w:right w:val="single" w:sz="8" w:color="582C83"/>
            </w:tcBorders>
          </w:tcPr>
          <w:p>
            <w:pPr>
              <w:spacing w:after="0"/>
              <w:rPr>
                <w:sz w:val="2"/>
                <w:szCs w:val="2"/>
                <w:color w:val="auto"/>
              </w:rPr>
            </w:pPr>
          </w:p>
        </w:tc>
        <w:tc>
          <w:tcPr>
            <w:tcW w:w="3660" w:type="dxa"/>
            <w:vAlign w:val="bottom"/>
            <w:tcBorders>
              <w:bottom w:val="single" w:sz="8" w:color="582C8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
        <w:spacing w:after="0"/>
        <w:tabs>
          <w:tab w:leader="none" w:pos="420" w:val="left"/>
        </w:tabs>
        <w:rPr>
          <w:sz w:val="20"/>
          <w:szCs w:val="20"/>
          <w:color w:val="auto"/>
        </w:rPr>
      </w:pPr>
      <w:r>
        <w:rPr>
          <w:rFonts w:ascii="Arial" w:cs="Arial" w:eastAsia="Arial" w:hAnsi="Arial"/>
          <w:sz w:val="16"/>
          <w:szCs w:val="16"/>
          <w:color w:val="auto"/>
        </w:rPr>
        <w:t>(1)</w:t>
        <w:tab/>
        <w:t>Companies indicated in bold are represented in both the Compensation Survey and Performance Peer Groups.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Decision-Making Process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Role of the Compensation Consultant</w:t>
      </w:r>
    </w:p>
    <w:p>
      <w:pPr>
        <w:spacing w:after="0" w:line="41"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 People and Compensation Committee retains an independent compensation consultant to assist in evaluating executive compensation programs, advising the Committee regarding the amount and form of executive and director compensation and determining pay-for-performance alignment. Conferring with a consultant provides additional assurance that our executive and director compensation programs are reasonable, competitive and consistent with our objectives. The People and Compensation Committee directly engages the consultant.</w:t>
      </w:r>
    </w:p>
    <w:p>
      <w:pPr>
        <w:spacing w:after="0" w:line="150"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Since August 2019, the People and Compensation Committee has engaged Semler Brossy as its independent compensation consultant. For additional information regarding the People and Compensation Committee’s use of an independent compensation consultant, see “The People and Compensation Committee’s Use of an Independent Compensation Consultant” on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36130" cy="36214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6130" cy="3621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582C83"/>
        </w:rPr>
        <w:t>Compensation Consultant Responsibilities:</w:t>
      </w:r>
    </w:p>
    <w:p>
      <w:pPr>
        <w:spacing w:after="0" w:line="41" w:lineRule="exact"/>
        <w:rPr>
          <w:sz w:val="20"/>
          <w:szCs w:val="20"/>
          <w:color w:val="auto"/>
        </w:rPr>
      </w:pPr>
    </w:p>
    <w:p>
      <w:pPr>
        <w:ind w:left="380" w:right="380" w:hanging="179"/>
        <w:spacing w:after="0" w:line="244"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Attend all People and Compensation Committee meetings, including executive sessions without management present;</w:t>
      </w:r>
    </w:p>
    <w:p>
      <w:pPr>
        <w:spacing w:after="0" w:line="64" w:lineRule="exact"/>
        <w:rPr>
          <w:rFonts w:ascii="Arial" w:cs="Arial" w:eastAsia="Arial" w:hAnsi="Arial"/>
          <w:sz w:val="22"/>
          <w:szCs w:val="22"/>
          <w:color w:val="808080"/>
        </w:rPr>
      </w:pPr>
    </w:p>
    <w:p>
      <w:pPr>
        <w:ind w:left="380" w:right="86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Review and provide guidance on our executive compensation programs and strategy to promote market-competitiveness;</w:t>
      </w:r>
    </w:p>
    <w:p>
      <w:pPr>
        <w:spacing w:after="0" w:line="48" w:lineRule="exact"/>
        <w:rPr>
          <w:rFonts w:ascii="Arial" w:cs="Arial" w:eastAsia="Arial" w:hAnsi="Arial"/>
          <w:sz w:val="22"/>
          <w:szCs w:val="22"/>
          <w:color w:val="808080"/>
        </w:rPr>
      </w:pPr>
    </w:p>
    <w:p>
      <w:pPr>
        <w:ind w:left="380" w:right="62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Regularly update the People and Compensation Committee on market trends, changing incentive practices and legislation pertaining to executive compensation;</w:t>
      </w:r>
    </w:p>
    <w:p>
      <w:pPr>
        <w:spacing w:after="0" w:line="48" w:lineRule="exact"/>
        <w:rPr>
          <w:rFonts w:ascii="Arial" w:cs="Arial" w:eastAsia="Arial" w:hAnsi="Arial"/>
          <w:sz w:val="22"/>
          <w:szCs w:val="22"/>
          <w:color w:val="808080"/>
        </w:rPr>
      </w:pPr>
    </w:p>
    <w:p>
      <w:pPr>
        <w:ind w:left="380" w:right="68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Provide research, data analyses, survey information and design expertise in support of the development of compensation programs for executives and the design of incentive programs for eligible employees;</w:t>
      </w:r>
    </w:p>
    <w:p>
      <w:pPr>
        <w:spacing w:after="0" w:line="48" w:lineRule="exact"/>
        <w:rPr>
          <w:rFonts w:ascii="Arial" w:cs="Arial" w:eastAsia="Arial" w:hAnsi="Arial"/>
          <w:sz w:val="22"/>
          <w:szCs w:val="22"/>
          <w:color w:val="808080"/>
        </w:rPr>
      </w:pPr>
    </w:p>
    <w:p>
      <w:pPr>
        <w:ind w:left="380" w:right="46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Review the assessment process conducted by the People and Compensation Committee to analyze whether compensation policies and practices for employees create material risk for the Company;</w:t>
      </w:r>
    </w:p>
    <w:p>
      <w:pPr>
        <w:spacing w:after="0" w:line="48" w:lineRule="exact"/>
        <w:rPr>
          <w:rFonts w:ascii="Arial" w:cs="Arial" w:eastAsia="Arial" w:hAnsi="Arial"/>
          <w:sz w:val="22"/>
          <w:szCs w:val="22"/>
          <w:color w:val="808080"/>
        </w:rPr>
      </w:pPr>
    </w:p>
    <w:p>
      <w:pPr>
        <w:ind w:left="400" w:hanging="199"/>
        <w:spacing w:after="0"/>
        <w:tabs>
          <w:tab w:leader="none" w:pos="400"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Conduct a pay-for-performance assessment as referenced above;</w:t>
      </w:r>
    </w:p>
    <w:p>
      <w:pPr>
        <w:spacing w:after="0" w:line="98" w:lineRule="exact"/>
        <w:rPr>
          <w:rFonts w:ascii="Arial" w:cs="Arial" w:eastAsia="Arial" w:hAnsi="Arial"/>
          <w:sz w:val="22"/>
          <w:szCs w:val="22"/>
          <w:color w:val="808080"/>
        </w:rPr>
      </w:pPr>
    </w:p>
    <w:p>
      <w:pPr>
        <w:ind w:left="400" w:hanging="199"/>
        <w:spacing w:after="0"/>
        <w:tabs>
          <w:tab w:leader="none" w:pos="400"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Participate in shareholder outreach strategy sessions;</w:t>
      </w:r>
    </w:p>
    <w:p>
      <w:pPr>
        <w:spacing w:after="0" w:line="98" w:lineRule="exact"/>
        <w:rPr>
          <w:rFonts w:ascii="Arial" w:cs="Arial" w:eastAsia="Arial" w:hAnsi="Arial"/>
          <w:sz w:val="22"/>
          <w:szCs w:val="22"/>
          <w:color w:val="808080"/>
        </w:rPr>
      </w:pPr>
    </w:p>
    <w:p>
      <w:pPr>
        <w:ind w:left="400" w:hanging="199"/>
        <w:spacing w:after="0"/>
        <w:tabs>
          <w:tab w:leader="none" w:pos="400"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Advise the People and Compensation Committee on the appropriate comparator groups for compensation;</w:t>
      </w:r>
    </w:p>
    <w:p>
      <w:pPr>
        <w:spacing w:after="0" w:line="98" w:lineRule="exact"/>
        <w:rPr>
          <w:rFonts w:ascii="Arial" w:cs="Arial" w:eastAsia="Arial" w:hAnsi="Arial"/>
          <w:sz w:val="22"/>
          <w:szCs w:val="22"/>
          <w:color w:val="808080"/>
        </w:rPr>
      </w:pPr>
    </w:p>
    <w:p>
      <w:pPr>
        <w:ind w:left="380" w:right="26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Provide an independent range of recommendations and guidance to the People and Compensation Committee on CEO compensation; and</w:t>
      </w:r>
    </w:p>
    <w:p>
      <w:pPr>
        <w:spacing w:after="0" w:line="48" w:lineRule="exact"/>
        <w:rPr>
          <w:rFonts w:ascii="Arial" w:cs="Arial" w:eastAsia="Arial" w:hAnsi="Arial"/>
          <w:sz w:val="22"/>
          <w:szCs w:val="22"/>
          <w:color w:val="808080"/>
        </w:rPr>
      </w:pPr>
    </w:p>
    <w:p>
      <w:pPr>
        <w:ind w:left="380" w:right="300" w:hanging="179"/>
        <w:spacing w:after="0" w:line="259" w:lineRule="auto"/>
        <w:tabs>
          <w:tab w:leader="none" w:pos="392" w:val="left"/>
        </w:tabs>
        <w:numPr>
          <w:ilvl w:val="0"/>
          <w:numId w:val="71"/>
        </w:numPr>
        <w:rPr>
          <w:rFonts w:ascii="Arial" w:cs="Arial" w:eastAsia="Arial" w:hAnsi="Arial"/>
          <w:sz w:val="22"/>
          <w:szCs w:val="22"/>
          <w:color w:val="808080"/>
        </w:rPr>
      </w:pPr>
      <w:r>
        <w:rPr>
          <w:rFonts w:ascii="Arial" w:cs="Arial" w:eastAsia="Arial" w:hAnsi="Arial"/>
          <w:sz w:val="22"/>
          <w:szCs w:val="22"/>
          <w:color w:val="auto"/>
        </w:rPr>
        <w:t>Provide an independent assessment of the CEO’s recommendations on NEO compensation to the People and Compensation Committee.</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Role of the People and Compensation Committee</w:t>
      </w:r>
    </w:p>
    <w:p>
      <w:pPr>
        <w:spacing w:after="0" w:line="41"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The People and Compensation Committee understands that CEO pay should be perceived as reasonable relative to overall employee pay and is mindful of the pay grades and salary ranges of our employees when making compensation decisions. The approach used to determine both CEO and NEO compensation is the same approach used in determining compensation for the broader employee population, including pay competitiveness and the use of performance-based metrics that reward exceptional financial performance. When determining CEO and NEO pay, the People and Compensation Committee also considers other factors that it regularly reviews, including shareholder feedback, the advisory vote on compensation, global pay fairness, performance and progress against the strategic KPIs.</w:t>
      </w:r>
    </w:p>
    <w:p>
      <w:pPr>
        <w:spacing w:after="0" w:line="153" w:lineRule="exact"/>
        <w:rPr>
          <w:sz w:val="20"/>
          <w:szCs w:val="20"/>
          <w:color w:val="auto"/>
        </w:rPr>
      </w:pPr>
    </w:p>
    <w:p>
      <w:pPr>
        <w:jc w:val="both"/>
        <w:ind w:right="120"/>
        <w:spacing w:after="0" w:line="251" w:lineRule="auto"/>
        <w:rPr>
          <w:sz w:val="20"/>
          <w:szCs w:val="20"/>
          <w:color w:val="auto"/>
        </w:rPr>
      </w:pPr>
      <w:r>
        <w:rPr>
          <w:rFonts w:ascii="Arial" w:cs="Arial" w:eastAsia="Arial" w:hAnsi="Arial"/>
          <w:sz w:val="21"/>
          <w:szCs w:val="21"/>
          <w:color w:val="auto"/>
        </w:rPr>
        <w:t>The People and Compensation Committee reviews and discusses the CEO’s self-evaluation of his performance with the Board and makes preliminary recommendations about base salary and long-term incentive compensation based on a consideration of all the factors mentioned above. The People and Compensation Committee then discusses the compensation recommendations with the Board before approving the final compensation decisions. The CEO is not present during People and Compensation Committee voting or deliberations regarding his own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Role of the Chief Executive Officer</w:t>
      </w:r>
    </w:p>
    <w:p>
      <w:pPr>
        <w:spacing w:after="0" w:line="41"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The CEO makes compensation recommendations to the People and Compensation Committee for base salary and long-term incentive compensation for the NEOs other than himself, and considers pay competitiveness as well as both individual and Company performance when making his recommendations. We consider individual performance in the base salary and long-term incentive recommendations made by the CEO. Based on an NEO’s contributions in specific areas, such as achievement of key strategic initiatives, operational efficiency, enterprise leadership, quality of financial results, leadership in a time of crisis and talent management, the CEO provides the People and Compensation Committee with an individual performance assessment and rating recommendation as well as compensation recommendation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300"/>
        <w:spacing w:after="0" w:line="245" w:lineRule="auto"/>
        <w:rPr>
          <w:sz w:val="20"/>
          <w:szCs w:val="20"/>
          <w:color w:val="auto"/>
        </w:rPr>
      </w:pPr>
      <w:r>
        <w:rPr>
          <w:rFonts w:ascii="Arial" w:cs="Arial" w:eastAsia="Arial" w:hAnsi="Arial"/>
          <w:sz w:val="22"/>
          <w:szCs w:val="22"/>
          <w:color w:val="auto"/>
        </w:rPr>
        <w:t>The People and Compensation Committee considers the CEO’s analysis and direct knowledge of each NEO’s performance and contributions when determining each NEO’s individual performance rating and when making their final compensation decisions.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People and Compensation Committee Resources</w:t>
      </w:r>
    </w:p>
    <w:p>
      <w:pPr>
        <w:spacing w:after="0" w:line="4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The People and Compensation Committee uses several resources to help with decision-making including competitive market data and “tally sheets” that quantify each compensation element as well as accumulated outstanding long-term equity awards for each NEO.</w:t>
      </w:r>
    </w:p>
    <w:p>
      <w:pPr>
        <w:spacing w:after="0" w:line="14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Compensation Governance</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STOCK OWNERSHIP</w:t>
      </w:r>
    </w:p>
    <w:p>
      <w:pPr>
        <w:spacing w:after="0" w:line="10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To further align NEO and shareholder interests, the People and Compensation Committee requires all executives to hold a significant amount of Common Stock. The following chart summarizes our requirements, which are comparable to, or greater than, such requirements at the majority of companies in our Compensation Survey Peer Group.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82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Key Provisions</w:t>
            </w:r>
          </w:p>
        </w:tc>
        <w:tc>
          <w:tcPr>
            <w:tcW w:w="8420" w:type="dxa"/>
            <w:vAlign w:val="bottom"/>
            <w:tcBorders>
              <w:bottom w:val="single" w:sz="8" w:color="582C83"/>
            </w:tcBorders>
            <w:gridSpan w:val="2"/>
          </w:tcPr>
          <w:p>
            <w:pPr>
              <w:ind w:left="60"/>
              <w:spacing w:after="0"/>
              <w:rPr>
                <w:sz w:val="20"/>
                <w:szCs w:val="20"/>
                <w:color w:val="auto"/>
              </w:rPr>
            </w:pPr>
            <w:r>
              <w:rPr>
                <w:rFonts w:ascii="Arial" w:cs="Arial" w:eastAsia="Arial" w:hAnsi="Arial"/>
                <w:sz w:val="22"/>
                <w:szCs w:val="22"/>
                <w:b w:val="1"/>
                <w:bCs w:val="1"/>
                <w:color w:val="auto"/>
              </w:rPr>
              <w:t>Explanation of Key Provisions</w:t>
            </w:r>
          </w:p>
        </w:tc>
        <w:tc>
          <w:tcPr>
            <w:tcW w:w="20" w:type="dxa"/>
            <w:vAlign w:val="bottom"/>
            <w:tcBorders>
              <w:bottom w:val="single" w:sz="8" w:color="582C83"/>
            </w:tcBorders>
          </w:tcPr>
          <w:p>
            <w:pPr>
              <w:spacing w:after="0"/>
              <w:rPr>
                <w:sz w:val="24"/>
                <w:szCs w:val="24"/>
                <w:color w:val="auto"/>
              </w:rPr>
            </w:pPr>
          </w:p>
        </w:tc>
      </w:tr>
      <w:tr>
        <w:trPr>
          <w:trHeight w:val="311"/>
        </w:trPr>
        <w:tc>
          <w:tcPr>
            <w:tcW w:w="282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Ownership Requirement</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200" w:type="dxa"/>
            <w:vAlign w:val="bottom"/>
            <w:shd w:val="clear" w:color="auto" w:fill="EBE6F0"/>
          </w:tcPr>
          <w:p>
            <w:pPr>
              <w:ind w:left="80"/>
              <w:spacing w:after="0"/>
              <w:rPr>
                <w:sz w:val="20"/>
                <w:szCs w:val="20"/>
                <w:color w:val="auto"/>
              </w:rPr>
            </w:pPr>
            <w:r>
              <w:rPr>
                <w:rFonts w:ascii="Arial" w:cs="Arial" w:eastAsia="Arial" w:hAnsi="Arial"/>
                <w:sz w:val="22"/>
                <w:szCs w:val="22"/>
                <w:color w:val="auto"/>
              </w:rPr>
              <w:t>CEO: 8 times salary.</w:t>
            </w:r>
          </w:p>
        </w:tc>
        <w:tc>
          <w:tcPr>
            <w:tcW w:w="20" w:type="dxa"/>
            <w:vAlign w:val="bottom"/>
            <w:shd w:val="clear" w:color="auto" w:fill="EBE6F0"/>
          </w:tcPr>
          <w:p>
            <w:pPr>
              <w:spacing w:after="0"/>
              <w:rPr>
                <w:sz w:val="24"/>
                <w:szCs w:val="24"/>
                <w:color w:val="auto"/>
              </w:rPr>
            </w:pPr>
          </w:p>
        </w:tc>
      </w:tr>
      <w:tr>
        <w:trPr>
          <w:trHeight w:val="317"/>
        </w:trPr>
        <w:tc>
          <w:tcPr>
            <w:tcW w:w="28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Other NEOs: 4 times salary.</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69"/>
        </w:trPr>
        <w:tc>
          <w:tcPr>
            <w:tcW w:w="2820" w:type="dxa"/>
            <w:vAlign w:val="bottom"/>
          </w:tcPr>
          <w:p>
            <w:pPr>
              <w:ind w:left="80"/>
              <w:spacing w:after="0"/>
              <w:rPr>
                <w:sz w:val="20"/>
                <w:szCs w:val="20"/>
                <w:color w:val="auto"/>
              </w:rPr>
            </w:pPr>
            <w:r>
              <w:rPr>
                <w:rFonts w:ascii="Arial" w:cs="Arial" w:eastAsia="Arial" w:hAnsi="Arial"/>
                <w:sz w:val="22"/>
                <w:szCs w:val="22"/>
                <w:b w:val="1"/>
                <w:bCs w:val="1"/>
                <w:color w:val="auto"/>
              </w:rPr>
              <w:t>Time to Meet</w:t>
            </w:r>
          </w:p>
        </w:tc>
        <w:tc>
          <w:tcPr>
            <w:tcW w:w="220" w:type="dxa"/>
            <w:vAlign w:val="bottom"/>
          </w:tcPr>
          <w:p>
            <w:pPr>
              <w:ind w:left="60"/>
              <w:spacing w:after="0"/>
              <w:rPr>
                <w:sz w:val="20"/>
                <w:szCs w:val="20"/>
                <w:color w:val="auto"/>
              </w:rPr>
            </w:pPr>
            <w:r>
              <w:rPr>
                <w:rFonts w:ascii="Arial" w:cs="Arial" w:eastAsia="Arial" w:hAnsi="Arial"/>
                <w:sz w:val="22"/>
                <w:szCs w:val="22"/>
                <w:color w:val="582C83"/>
              </w:rPr>
              <w:t>•</w:t>
            </w:r>
          </w:p>
        </w:tc>
        <w:tc>
          <w:tcPr>
            <w:tcW w:w="8200" w:type="dxa"/>
            <w:vAlign w:val="bottom"/>
          </w:tcPr>
          <w:p>
            <w:pPr>
              <w:ind w:left="60"/>
              <w:spacing w:after="0"/>
              <w:rPr>
                <w:sz w:val="20"/>
                <w:szCs w:val="20"/>
                <w:color w:val="auto"/>
              </w:rPr>
            </w:pPr>
            <w:r>
              <w:rPr>
                <w:rFonts w:ascii="Arial" w:cs="Arial" w:eastAsia="Arial" w:hAnsi="Arial"/>
                <w:sz w:val="22"/>
                <w:szCs w:val="22"/>
                <w:color w:val="auto"/>
              </w:rPr>
              <w:t>5 years from employment date or 3 years following a promotion.</w:t>
            </w:r>
          </w:p>
        </w:tc>
        <w:tc>
          <w:tcPr>
            <w:tcW w:w="20" w:type="dxa"/>
            <w:vAlign w:val="bottom"/>
          </w:tcPr>
          <w:p>
            <w:pPr>
              <w:spacing w:after="0"/>
              <w:rPr>
                <w:sz w:val="23"/>
                <w:szCs w:val="23"/>
                <w:color w:val="auto"/>
              </w:rPr>
            </w:pPr>
          </w:p>
        </w:tc>
      </w:tr>
      <w:tr>
        <w:trPr>
          <w:trHeight w:val="297"/>
        </w:trPr>
        <w:tc>
          <w:tcPr>
            <w:tcW w:w="2820" w:type="dxa"/>
            <w:vAlign w:val="bottom"/>
          </w:tcPr>
          <w:p>
            <w:pPr>
              <w:ind w:left="80"/>
              <w:spacing w:after="0"/>
              <w:rPr>
                <w:sz w:val="20"/>
                <w:szCs w:val="20"/>
                <w:color w:val="auto"/>
              </w:rPr>
            </w:pPr>
            <w:r>
              <w:rPr>
                <w:rFonts w:ascii="Arial" w:cs="Arial" w:eastAsia="Arial" w:hAnsi="Arial"/>
                <w:sz w:val="22"/>
                <w:szCs w:val="22"/>
                <w:b w:val="1"/>
                <w:bCs w:val="1"/>
                <w:color w:val="auto"/>
              </w:rPr>
              <w:t>Requirements</w:t>
            </w:r>
          </w:p>
        </w:tc>
        <w:tc>
          <w:tcPr>
            <w:tcW w:w="2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282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Shares Counted Toward</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200" w:type="dxa"/>
            <w:vAlign w:val="bottom"/>
            <w:shd w:val="clear" w:color="auto" w:fill="EBE6F0"/>
          </w:tcPr>
          <w:p>
            <w:pPr>
              <w:ind w:left="80"/>
              <w:spacing w:after="0"/>
              <w:rPr>
                <w:sz w:val="20"/>
                <w:szCs w:val="20"/>
                <w:color w:val="auto"/>
              </w:rPr>
            </w:pPr>
            <w:r>
              <w:rPr>
                <w:rFonts w:ascii="Arial" w:cs="Arial" w:eastAsia="Arial" w:hAnsi="Arial"/>
                <w:sz w:val="22"/>
                <w:szCs w:val="22"/>
                <w:color w:val="auto"/>
              </w:rPr>
              <w:t>Common Stock, including shares owned outright, direct purchase plan shares,</w:t>
            </w:r>
          </w:p>
        </w:tc>
        <w:tc>
          <w:tcPr>
            <w:tcW w:w="20" w:type="dxa"/>
            <w:vAlign w:val="bottom"/>
            <w:shd w:val="clear" w:color="auto" w:fill="EBE6F0"/>
          </w:tcPr>
          <w:p>
            <w:pPr>
              <w:spacing w:after="0"/>
              <w:rPr>
                <w:sz w:val="24"/>
                <w:szCs w:val="24"/>
                <w:color w:val="auto"/>
              </w:rPr>
            </w:pPr>
          </w:p>
        </w:tc>
      </w:tr>
      <w:tr>
        <w:trPr>
          <w:trHeight w:val="245"/>
        </w:trPr>
        <w:tc>
          <w:tcPr>
            <w:tcW w:w="2820" w:type="dxa"/>
            <w:vAlign w:val="bottom"/>
            <w:shd w:val="clear" w:color="auto" w:fill="EBE6F0"/>
          </w:tcPr>
          <w:p>
            <w:pPr>
              <w:ind w:left="80"/>
              <w:spacing w:after="0" w:line="245" w:lineRule="exact"/>
              <w:rPr>
                <w:sz w:val="20"/>
                <w:szCs w:val="20"/>
                <w:color w:val="auto"/>
              </w:rPr>
            </w:pPr>
            <w:r>
              <w:rPr>
                <w:rFonts w:ascii="Arial" w:cs="Arial" w:eastAsia="Arial" w:hAnsi="Arial"/>
                <w:sz w:val="22"/>
                <w:szCs w:val="22"/>
                <w:b w:val="1"/>
                <w:bCs w:val="1"/>
                <w:color w:val="auto"/>
              </w:rPr>
              <w:t>Ownership</w:t>
            </w:r>
          </w:p>
        </w:tc>
        <w:tc>
          <w:tcPr>
            <w:tcW w:w="220" w:type="dxa"/>
            <w:vAlign w:val="bottom"/>
            <w:shd w:val="clear" w:color="auto" w:fill="EBE6F0"/>
          </w:tcPr>
          <w:p>
            <w:pPr>
              <w:spacing w:after="0"/>
              <w:rPr>
                <w:sz w:val="21"/>
                <w:szCs w:val="21"/>
                <w:color w:val="auto"/>
              </w:rPr>
            </w:pPr>
          </w:p>
        </w:tc>
        <w:tc>
          <w:tcPr>
            <w:tcW w:w="8200" w:type="dxa"/>
            <w:vAlign w:val="bottom"/>
            <w:shd w:val="clear" w:color="auto" w:fill="EBE6F0"/>
          </w:tcPr>
          <w:p>
            <w:pPr>
              <w:ind w:left="80"/>
              <w:spacing w:after="0" w:line="245" w:lineRule="exact"/>
              <w:rPr>
                <w:sz w:val="20"/>
                <w:szCs w:val="20"/>
                <w:color w:val="auto"/>
              </w:rPr>
            </w:pPr>
            <w:r>
              <w:rPr>
                <w:rFonts w:ascii="Arial" w:cs="Arial" w:eastAsia="Arial" w:hAnsi="Arial"/>
                <w:sz w:val="22"/>
                <w:szCs w:val="22"/>
                <w:color w:val="auto"/>
              </w:rPr>
              <w:t>unvested deferred stock units and accounts over which the executive has direct or</w:t>
            </w:r>
          </w:p>
        </w:tc>
        <w:tc>
          <w:tcPr>
            <w:tcW w:w="20" w:type="dxa"/>
            <w:vAlign w:val="bottom"/>
            <w:shd w:val="clear" w:color="auto" w:fill="EBE6F0"/>
          </w:tcPr>
          <w:p>
            <w:pPr>
              <w:spacing w:after="0"/>
              <w:rPr>
                <w:sz w:val="21"/>
                <w:szCs w:val="21"/>
                <w:color w:val="auto"/>
              </w:rPr>
            </w:pPr>
          </w:p>
        </w:tc>
      </w:tr>
      <w:tr>
        <w:trPr>
          <w:trHeight w:val="283"/>
        </w:trPr>
        <w:tc>
          <w:tcPr>
            <w:tcW w:w="2820" w:type="dxa"/>
            <w:vAlign w:val="bottom"/>
            <w:shd w:val="clear" w:color="auto" w:fill="EBE6F0"/>
          </w:tcPr>
          <w:p>
            <w:pPr>
              <w:spacing w:after="0"/>
              <w:rPr>
                <w:sz w:val="24"/>
                <w:szCs w:val="24"/>
                <w:color w:val="auto"/>
              </w:rPr>
            </w:pPr>
          </w:p>
        </w:tc>
        <w:tc>
          <w:tcPr>
            <w:tcW w:w="220" w:type="dxa"/>
            <w:vAlign w:val="bottom"/>
            <w:shd w:val="clear" w:color="auto" w:fill="EBE6F0"/>
          </w:tcPr>
          <w:p>
            <w:pPr>
              <w:spacing w:after="0"/>
              <w:rPr>
                <w:sz w:val="24"/>
                <w:szCs w:val="24"/>
                <w:color w:val="auto"/>
              </w:rPr>
            </w:pPr>
          </w:p>
        </w:tc>
        <w:tc>
          <w:tcPr>
            <w:tcW w:w="8200" w:type="dxa"/>
            <w:vAlign w:val="bottom"/>
            <w:shd w:val="clear" w:color="auto" w:fill="EBE6F0"/>
          </w:tcPr>
          <w:p>
            <w:pPr>
              <w:ind w:left="80"/>
              <w:spacing w:after="0"/>
              <w:rPr>
                <w:sz w:val="20"/>
                <w:szCs w:val="20"/>
                <w:color w:val="auto"/>
              </w:rPr>
            </w:pPr>
            <w:r>
              <w:rPr>
                <w:rFonts w:ascii="Arial" w:cs="Arial" w:eastAsia="Arial" w:hAnsi="Arial"/>
                <w:sz w:val="22"/>
                <w:szCs w:val="22"/>
                <w:color w:val="auto"/>
              </w:rPr>
              <w:t>indirect ownership or control.</w:t>
            </w:r>
          </w:p>
        </w:tc>
        <w:tc>
          <w:tcPr>
            <w:tcW w:w="20" w:type="dxa"/>
            <w:vAlign w:val="bottom"/>
            <w:shd w:val="clear" w:color="auto" w:fill="EBE6F0"/>
          </w:tcPr>
          <w:p>
            <w:pPr>
              <w:spacing w:after="0"/>
              <w:rPr>
                <w:sz w:val="24"/>
                <w:szCs w:val="24"/>
                <w:color w:val="auto"/>
              </w:rPr>
            </w:pPr>
          </w:p>
        </w:tc>
      </w:tr>
      <w:tr>
        <w:trPr>
          <w:trHeight w:val="317"/>
        </w:trPr>
        <w:tc>
          <w:tcPr>
            <w:tcW w:w="282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Excludes unexercised Mondelēz International stock options and unvested PSUs.</w:t>
            </w:r>
          </w:p>
        </w:tc>
        <w:tc>
          <w:tcPr>
            <w:tcW w:w="20" w:type="dxa"/>
            <w:vAlign w:val="bottom"/>
            <w:tcBorders>
              <w:bottom w:val="single" w:sz="8" w:color="EBE6F0"/>
            </w:tcBorders>
            <w:shd w:val="clear" w:color="auto" w:fill="EBE6F0"/>
          </w:tcPr>
          <w:p>
            <w:pPr>
              <w:spacing w:after="0"/>
              <w:rPr>
                <w:sz w:val="24"/>
                <w:szCs w:val="24"/>
                <w:color w:val="auto"/>
              </w:rPr>
            </w:pPr>
          </w:p>
        </w:tc>
      </w:tr>
      <w:tr>
        <w:trPr>
          <w:trHeight w:val="269"/>
        </w:trPr>
        <w:tc>
          <w:tcPr>
            <w:tcW w:w="2820" w:type="dxa"/>
            <w:vAlign w:val="bottom"/>
          </w:tcPr>
          <w:p>
            <w:pPr>
              <w:ind w:left="80"/>
              <w:spacing w:after="0"/>
              <w:rPr>
                <w:sz w:val="20"/>
                <w:szCs w:val="20"/>
                <w:color w:val="auto"/>
              </w:rPr>
            </w:pPr>
            <w:r>
              <w:rPr>
                <w:rFonts w:ascii="Arial" w:cs="Arial" w:eastAsia="Arial" w:hAnsi="Arial"/>
                <w:sz w:val="22"/>
                <w:szCs w:val="22"/>
                <w:b w:val="1"/>
                <w:bCs w:val="1"/>
                <w:color w:val="auto"/>
              </w:rPr>
              <w:t>Additional Holding</w:t>
            </w:r>
          </w:p>
        </w:tc>
        <w:tc>
          <w:tcPr>
            <w:tcW w:w="220" w:type="dxa"/>
            <w:vAlign w:val="bottom"/>
          </w:tcPr>
          <w:p>
            <w:pPr>
              <w:ind w:left="60"/>
              <w:spacing w:after="0"/>
              <w:rPr>
                <w:sz w:val="20"/>
                <w:szCs w:val="20"/>
                <w:color w:val="auto"/>
              </w:rPr>
            </w:pPr>
            <w:r>
              <w:rPr>
                <w:rFonts w:ascii="Arial" w:cs="Arial" w:eastAsia="Arial" w:hAnsi="Arial"/>
                <w:sz w:val="22"/>
                <w:szCs w:val="22"/>
                <w:color w:val="582C83"/>
              </w:rPr>
              <w:t>•</w:t>
            </w:r>
          </w:p>
        </w:tc>
        <w:tc>
          <w:tcPr>
            <w:tcW w:w="8200" w:type="dxa"/>
            <w:vAlign w:val="bottom"/>
          </w:tcPr>
          <w:p>
            <w:pPr>
              <w:ind w:left="60"/>
              <w:spacing w:after="0"/>
              <w:rPr>
                <w:sz w:val="20"/>
                <w:szCs w:val="20"/>
                <w:color w:val="auto"/>
              </w:rPr>
            </w:pPr>
            <w:r>
              <w:rPr>
                <w:rFonts w:ascii="Arial" w:cs="Arial" w:eastAsia="Arial" w:hAnsi="Arial"/>
                <w:sz w:val="22"/>
                <w:szCs w:val="22"/>
                <w:color w:val="auto"/>
              </w:rPr>
              <w:t>Until an NEO satisfies our stock ownership requirements, the NEO must hold 100%</w:t>
            </w:r>
          </w:p>
        </w:tc>
        <w:tc>
          <w:tcPr>
            <w:tcW w:w="20" w:type="dxa"/>
            <w:vAlign w:val="bottom"/>
          </w:tcPr>
          <w:p>
            <w:pPr>
              <w:spacing w:after="0"/>
              <w:rPr>
                <w:sz w:val="23"/>
                <w:szCs w:val="23"/>
                <w:color w:val="auto"/>
              </w:rPr>
            </w:pPr>
          </w:p>
        </w:tc>
      </w:tr>
      <w:tr>
        <w:trPr>
          <w:trHeight w:val="245"/>
        </w:trPr>
        <w:tc>
          <w:tcPr>
            <w:tcW w:w="2820" w:type="dxa"/>
            <w:vAlign w:val="bottom"/>
          </w:tcPr>
          <w:p>
            <w:pPr>
              <w:ind w:left="80"/>
              <w:spacing w:after="0" w:line="245" w:lineRule="exact"/>
              <w:rPr>
                <w:sz w:val="20"/>
                <w:szCs w:val="20"/>
                <w:color w:val="auto"/>
              </w:rPr>
            </w:pPr>
            <w:r>
              <w:rPr>
                <w:rFonts w:ascii="Arial" w:cs="Arial" w:eastAsia="Arial" w:hAnsi="Arial"/>
                <w:sz w:val="22"/>
                <w:szCs w:val="22"/>
                <w:b w:val="1"/>
                <w:bCs w:val="1"/>
                <w:color w:val="auto"/>
              </w:rPr>
              <w:t>Requirements</w:t>
            </w:r>
          </w:p>
        </w:tc>
        <w:tc>
          <w:tcPr>
            <w:tcW w:w="220" w:type="dxa"/>
            <w:vAlign w:val="bottom"/>
          </w:tcPr>
          <w:p>
            <w:pPr>
              <w:spacing w:after="0"/>
              <w:rPr>
                <w:sz w:val="21"/>
                <w:szCs w:val="21"/>
                <w:color w:val="auto"/>
              </w:rPr>
            </w:pPr>
          </w:p>
        </w:tc>
        <w:tc>
          <w:tcPr>
            <w:tcW w:w="8200" w:type="dxa"/>
            <w:vAlign w:val="bottom"/>
          </w:tcPr>
          <w:p>
            <w:pPr>
              <w:ind w:left="60"/>
              <w:spacing w:after="0" w:line="245" w:lineRule="exact"/>
              <w:rPr>
                <w:sz w:val="20"/>
                <w:szCs w:val="20"/>
                <w:color w:val="auto"/>
              </w:rPr>
            </w:pPr>
            <w:r>
              <w:rPr>
                <w:rFonts w:ascii="Arial" w:cs="Arial" w:eastAsia="Arial" w:hAnsi="Arial"/>
                <w:sz w:val="22"/>
                <w:szCs w:val="22"/>
                <w:color w:val="auto"/>
                <w:w w:val="99"/>
              </w:rPr>
              <w:t>of all shares acquired under our equity program (including stock after the restrictions</w:t>
            </w:r>
          </w:p>
        </w:tc>
        <w:tc>
          <w:tcPr>
            <w:tcW w:w="2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0" w:type="dxa"/>
            <w:vAlign w:val="bottom"/>
          </w:tcPr>
          <w:p>
            <w:pPr>
              <w:ind w:left="60"/>
              <w:spacing w:after="0" w:line="243" w:lineRule="exact"/>
              <w:rPr>
                <w:sz w:val="20"/>
                <w:szCs w:val="20"/>
                <w:color w:val="auto"/>
              </w:rPr>
            </w:pPr>
            <w:r>
              <w:rPr>
                <w:rFonts w:ascii="Arial" w:cs="Arial" w:eastAsia="Arial" w:hAnsi="Arial"/>
                <w:sz w:val="22"/>
                <w:szCs w:val="22"/>
                <w:color w:val="auto"/>
              </w:rPr>
              <w:t>have lapsed, shares awarded for vested deferred stock units, shares acquired upon</w:t>
            </w:r>
          </w:p>
        </w:tc>
        <w:tc>
          <w:tcPr>
            <w:tcW w:w="2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0" w:type="dxa"/>
            <w:vAlign w:val="bottom"/>
          </w:tcPr>
          <w:p>
            <w:pPr>
              <w:ind w:left="60"/>
              <w:spacing w:after="0" w:line="243" w:lineRule="exact"/>
              <w:rPr>
                <w:sz w:val="20"/>
                <w:szCs w:val="20"/>
                <w:color w:val="auto"/>
              </w:rPr>
            </w:pPr>
            <w:r>
              <w:rPr>
                <w:rFonts w:ascii="Arial" w:cs="Arial" w:eastAsia="Arial" w:hAnsi="Arial"/>
                <w:sz w:val="22"/>
                <w:szCs w:val="22"/>
                <w:color w:val="auto"/>
                <w:w w:val="99"/>
              </w:rPr>
              <w:t>exercise of a stock option and shares awarded for PSUs), net of shares withheld for</w:t>
            </w:r>
          </w:p>
        </w:tc>
        <w:tc>
          <w:tcPr>
            <w:tcW w:w="20" w:type="dxa"/>
            <w:vAlign w:val="bottom"/>
          </w:tcPr>
          <w:p>
            <w:pPr>
              <w:spacing w:after="0"/>
              <w:rPr>
                <w:sz w:val="21"/>
                <w:szCs w:val="21"/>
                <w:color w:val="auto"/>
              </w:rPr>
            </w:pPr>
          </w:p>
        </w:tc>
      </w:tr>
      <w:tr>
        <w:trPr>
          <w:trHeight w:val="281"/>
        </w:trPr>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0" w:type="dxa"/>
            <w:vAlign w:val="bottom"/>
          </w:tcPr>
          <w:p>
            <w:pPr>
              <w:ind w:left="60"/>
              <w:spacing w:after="0"/>
              <w:rPr>
                <w:sz w:val="20"/>
                <w:szCs w:val="20"/>
                <w:color w:val="auto"/>
              </w:rPr>
            </w:pPr>
            <w:r>
              <w:rPr>
                <w:rFonts w:ascii="Arial" w:cs="Arial" w:eastAsia="Arial" w:hAnsi="Arial"/>
                <w:sz w:val="22"/>
                <w:szCs w:val="22"/>
                <w:color w:val="auto"/>
              </w:rPr>
              <w:t>taxes or payment of exercise price.</w:t>
            </w:r>
          </w:p>
        </w:tc>
        <w:tc>
          <w:tcPr>
            <w:tcW w:w="20" w:type="dxa"/>
            <w:vAlign w:val="bottom"/>
          </w:tcPr>
          <w:p>
            <w:pPr>
              <w:spacing w:after="0"/>
              <w:rPr>
                <w:sz w:val="24"/>
                <w:szCs w:val="24"/>
                <w:color w:val="auto"/>
              </w:rPr>
            </w:pPr>
          </w:p>
        </w:tc>
      </w:tr>
      <w:tr>
        <w:trPr>
          <w:trHeight w:val="243"/>
        </w:trPr>
        <w:tc>
          <w:tcPr>
            <w:tcW w:w="2820" w:type="dxa"/>
            <w:vAlign w:val="bottom"/>
          </w:tcPr>
          <w:p>
            <w:pPr>
              <w:spacing w:after="0"/>
              <w:rPr>
                <w:sz w:val="21"/>
                <w:szCs w:val="21"/>
                <w:color w:val="auto"/>
              </w:rPr>
            </w:pPr>
          </w:p>
        </w:tc>
        <w:tc>
          <w:tcPr>
            <w:tcW w:w="220" w:type="dxa"/>
            <w:vAlign w:val="bottom"/>
          </w:tcPr>
          <w:p>
            <w:pPr>
              <w:ind w:left="60"/>
              <w:spacing w:after="0" w:line="243" w:lineRule="exact"/>
              <w:rPr>
                <w:sz w:val="20"/>
                <w:szCs w:val="20"/>
                <w:color w:val="auto"/>
              </w:rPr>
            </w:pPr>
            <w:r>
              <w:rPr>
                <w:rFonts w:ascii="Arial" w:cs="Arial" w:eastAsia="Arial" w:hAnsi="Arial"/>
                <w:sz w:val="22"/>
                <w:szCs w:val="22"/>
                <w:color w:val="582C83"/>
              </w:rPr>
              <w:t>•</w:t>
            </w:r>
          </w:p>
        </w:tc>
        <w:tc>
          <w:tcPr>
            <w:tcW w:w="8200" w:type="dxa"/>
            <w:vAlign w:val="bottom"/>
          </w:tcPr>
          <w:p>
            <w:pPr>
              <w:ind w:left="60"/>
              <w:spacing w:after="0" w:line="243" w:lineRule="exact"/>
              <w:rPr>
                <w:sz w:val="20"/>
                <w:szCs w:val="20"/>
                <w:color w:val="auto"/>
              </w:rPr>
            </w:pPr>
            <w:r>
              <w:rPr>
                <w:rFonts w:ascii="Arial" w:cs="Arial" w:eastAsia="Arial" w:hAnsi="Arial"/>
                <w:sz w:val="22"/>
                <w:szCs w:val="22"/>
                <w:color w:val="auto"/>
              </w:rPr>
              <w:t xml:space="preserve">Once an NEO satisfies our stock ownership requirements, the NEO </w:t>
            </w:r>
            <w:r>
              <w:rPr>
                <w:rFonts w:ascii="Arial" w:cs="Arial" w:eastAsia="Arial" w:hAnsi="Arial"/>
                <w:sz w:val="22"/>
                <w:szCs w:val="22"/>
                <w:b w:val="1"/>
                <w:bCs w:val="1"/>
                <w:color w:val="582C83"/>
              </w:rPr>
              <w:t>must hold</w:t>
            </w:r>
          </w:p>
        </w:tc>
        <w:tc>
          <w:tcPr>
            <w:tcW w:w="20" w:type="dxa"/>
            <w:vAlign w:val="bottom"/>
          </w:tcPr>
          <w:p>
            <w:pPr>
              <w:spacing w:after="0"/>
              <w:rPr>
                <w:sz w:val="21"/>
                <w:szCs w:val="21"/>
                <w:color w:val="auto"/>
              </w:rPr>
            </w:pPr>
          </w:p>
        </w:tc>
      </w:tr>
      <w:tr>
        <w:trPr>
          <w:trHeight w:val="245"/>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0" w:type="dxa"/>
            <w:vAlign w:val="bottom"/>
          </w:tcPr>
          <w:p>
            <w:pPr>
              <w:ind w:left="60"/>
              <w:spacing w:after="0" w:line="245" w:lineRule="exact"/>
              <w:rPr>
                <w:sz w:val="20"/>
                <w:szCs w:val="20"/>
                <w:color w:val="auto"/>
              </w:rPr>
            </w:pPr>
            <w:r>
              <w:rPr>
                <w:rFonts w:ascii="Arial" w:cs="Arial" w:eastAsia="Arial" w:hAnsi="Arial"/>
                <w:sz w:val="22"/>
                <w:szCs w:val="22"/>
                <w:b w:val="1"/>
                <w:bCs w:val="1"/>
                <w:color w:val="582C83"/>
              </w:rPr>
              <w:t xml:space="preserve">100% of new shares acquired </w:t>
            </w:r>
            <w:r>
              <w:rPr>
                <w:rFonts w:ascii="Arial" w:cs="Arial" w:eastAsia="Arial" w:hAnsi="Arial"/>
                <w:sz w:val="22"/>
                <w:szCs w:val="22"/>
                <w:color w:val="000000"/>
              </w:rPr>
              <w:t>under our equity program (including stock after the</w:t>
            </w:r>
          </w:p>
        </w:tc>
        <w:tc>
          <w:tcPr>
            <w:tcW w:w="2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0" w:type="dxa"/>
            <w:vAlign w:val="bottom"/>
          </w:tcPr>
          <w:p>
            <w:pPr>
              <w:ind w:left="60"/>
              <w:spacing w:after="0" w:line="243" w:lineRule="exact"/>
              <w:rPr>
                <w:sz w:val="20"/>
                <w:szCs w:val="20"/>
                <w:color w:val="auto"/>
              </w:rPr>
            </w:pPr>
            <w:r>
              <w:rPr>
                <w:rFonts w:ascii="Arial" w:cs="Arial" w:eastAsia="Arial" w:hAnsi="Arial"/>
                <w:sz w:val="22"/>
                <w:szCs w:val="22"/>
                <w:color w:val="auto"/>
              </w:rPr>
              <w:t>restrictions have lapsed, shares awarded for vested deferred stock units, shares</w:t>
            </w:r>
          </w:p>
        </w:tc>
        <w:tc>
          <w:tcPr>
            <w:tcW w:w="20" w:type="dxa"/>
            <w:vAlign w:val="bottom"/>
          </w:tcPr>
          <w:p>
            <w:pPr>
              <w:spacing w:after="0"/>
              <w:rPr>
                <w:sz w:val="21"/>
                <w:szCs w:val="21"/>
                <w:color w:val="auto"/>
              </w:rPr>
            </w:pPr>
          </w:p>
        </w:tc>
      </w:tr>
      <w:tr>
        <w:trPr>
          <w:trHeight w:val="24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0" w:type="dxa"/>
            <w:vAlign w:val="bottom"/>
          </w:tcPr>
          <w:p>
            <w:pPr>
              <w:ind w:left="60"/>
              <w:spacing w:after="0" w:line="241" w:lineRule="exact"/>
              <w:rPr>
                <w:sz w:val="20"/>
                <w:szCs w:val="20"/>
                <w:color w:val="auto"/>
              </w:rPr>
            </w:pPr>
            <w:r>
              <w:rPr>
                <w:rFonts w:ascii="Arial" w:cs="Arial" w:eastAsia="Arial" w:hAnsi="Arial"/>
                <w:sz w:val="22"/>
                <w:szCs w:val="22"/>
                <w:color w:val="auto"/>
              </w:rPr>
              <w:t>acquired upon exercise of a stock option and shares awarded for PSUs), net of</w:t>
            </w:r>
          </w:p>
        </w:tc>
        <w:tc>
          <w:tcPr>
            <w:tcW w:w="20" w:type="dxa"/>
            <w:vAlign w:val="bottom"/>
          </w:tcPr>
          <w:p>
            <w:pPr>
              <w:spacing w:after="0"/>
              <w:rPr>
                <w:sz w:val="20"/>
                <w:szCs w:val="20"/>
                <w:color w:val="auto"/>
              </w:rPr>
            </w:pPr>
          </w:p>
        </w:tc>
      </w:tr>
      <w:tr>
        <w:trPr>
          <w:trHeight w:val="243"/>
        </w:trPr>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0" w:type="dxa"/>
            <w:vAlign w:val="bottom"/>
          </w:tcPr>
          <w:p>
            <w:pPr>
              <w:ind w:left="60"/>
              <w:spacing w:after="0" w:line="243" w:lineRule="exact"/>
              <w:rPr>
                <w:sz w:val="20"/>
                <w:szCs w:val="20"/>
                <w:color w:val="auto"/>
              </w:rPr>
            </w:pPr>
            <w:r>
              <w:rPr>
                <w:rFonts w:ascii="Arial" w:cs="Arial" w:eastAsia="Arial" w:hAnsi="Arial"/>
                <w:sz w:val="22"/>
                <w:szCs w:val="22"/>
                <w:color w:val="auto"/>
              </w:rPr>
              <w:t xml:space="preserve">shares withheld for taxes or payment of exercise price, </w:t>
            </w:r>
            <w:r>
              <w:rPr>
                <w:rFonts w:ascii="Arial" w:cs="Arial" w:eastAsia="Arial" w:hAnsi="Arial"/>
                <w:sz w:val="22"/>
                <w:szCs w:val="22"/>
                <w:b w:val="1"/>
                <w:bCs w:val="1"/>
                <w:color w:val="582C83"/>
              </w:rPr>
              <w:t>for at least one additional</w:t>
            </w:r>
          </w:p>
        </w:tc>
        <w:tc>
          <w:tcPr>
            <w:tcW w:w="20" w:type="dxa"/>
            <w:vAlign w:val="bottom"/>
          </w:tcPr>
          <w:p>
            <w:pPr>
              <w:spacing w:after="0"/>
              <w:rPr>
                <w:sz w:val="21"/>
                <w:szCs w:val="21"/>
                <w:color w:val="auto"/>
              </w:rPr>
            </w:pPr>
          </w:p>
        </w:tc>
      </w:tr>
      <w:tr>
        <w:trPr>
          <w:trHeight w:val="297"/>
        </w:trPr>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0" w:type="dxa"/>
            <w:vAlign w:val="bottom"/>
          </w:tcPr>
          <w:p>
            <w:pPr>
              <w:ind w:left="60"/>
              <w:spacing w:after="0"/>
              <w:rPr>
                <w:sz w:val="20"/>
                <w:szCs w:val="20"/>
                <w:color w:val="auto"/>
              </w:rPr>
            </w:pPr>
            <w:r>
              <w:rPr>
                <w:rFonts w:ascii="Arial" w:cs="Arial" w:eastAsia="Arial" w:hAnsi="Arial"/>
                <w:sz w:val="22"/>
                <w:szCs w:val="22"/>
                <w:b w:val="1"/>
                <w:bCs w:val="1"/>
                <w:color w:val="582C83"/>
              </w:rPr>
              <w:t>year</w:t>
            </w:r>
            <w:r>
              <w:rPr>
                <w:rFonts w:ascii="Arial" w:cs="Arial" w:eastAsia="Arial" w:hAnsi="Arial"/>
                <w:sz w:val="22"/>
                <w:szCs w:val="22"/>
                <w:color w:val="000000"/>
              </w:rPr>
              <w:t>.</w:t>
            </w:r>
          </w:p>
        </w:tc>
        <w:tc>
          <w:tcPr>
            <w:tcW w:w="20" w:type="dxa"/>
            <w:vAlign w:val="bottom"/>
          </w:tcPr>
          <w:p>
            <w:pPr>
              <w:spacing w:after="0"/>
              <w:rPr>
                <w:sz w:val="24"/>
                <w:szCs w:val="24"/>
                <w:color w:val="auto"/>
              </w:rPr>
            </w:pPr>
          </w:p>
        </w:tc>
      </w:tr>
      <w:tr>
        <w:trPr>
          <w:trHeight w:val="35"/>
        </w:trPr>
        <w:tc>
          <w:tcPr>
            <w:tcW w:w="2820" w:type="dxa"/>
            <w:vAlign w:val="bottom"/>
            <w:tcBorders>
              <w:bottom w:val="single" w:sz="8" w:color="582C83"/>
            </w:tcBorders>
          </w:tcPr>
          <w:p>
            <w:pPr>
              <w:spacing w:after="0"/>
              <w:rPr>
                <w:sz w:val="3"/>
                <w:szCs w:val="3"/>
                <w:color w:val="auto"/>
              </w:rPr>
            </w:pPr>
          </w:p>
        </w:tc>
        <w:tc>
          <w:tcPr>
            <w:tcW w:w="220" w:type="dxa"/>
            <w:vAlign w:val="bottom"/>
            <w:tcBorders>
              <w:bottom w:val="single" w:sz="8" w:color="582C83"/>
            </w:tcBorders>
          </w:tcPr>
          <w:p>
            <w:pPr>
              <w:spacing w:after="0"/>
              <w:rPr>
                <w:sz w:val="3"/>
                <w:szCs w:val="3"/>
                <w:color w:val="auto"/>
              </w:rPr>
            </w:pPr>
          </w:p>
        </w:tc>
        <w:tc>
          <w:tcPr>
            <w:tcW w:w="8200" w:type="dxa"/>
            <w:vAlign w:val="bottom"/>
            <w:tcBorders>
              <w:bottom w:val="single" w:sz="8" w:color="582C83"/>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176"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The People and Compensation Committee monitors our executives’ compliance with these requirements. As of March 14, 2022, all NEOs have satisfied, exceeded or were on track to meet their stock ownership requirements and adhered to the 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CLAWBACK POLICY</w:t>
      </w:r>
    </w:p>
    <w:p>
      <w:pPr>
        <w:spacing w:after="0" w:line="10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Board or an appropriate committee of the Board may determine the extent to which the Company should recoup the incentive-based compensation of any executive officer whose act or omission necessitated a restatement or who participated in significant misconduct. The Board or committee, in its discretion, may then take the actions it deems necessary or appropriate to address the events that gave rise to the restatement or misconduct and to prevent its recurrence. Those actions may include, to the extent permitted by applicable law:</w:t>
      </w:r>
    </w:p>
    <w:p>
      <w:pPr>
        <w:spacing w:after="0" w:line="69" w:lineRule="exact"/>
        <w:rPr>
          <w:sz w:val="20"/>
          <w:szCs w:val="20"/>
          <w:color w:val="auto"/>
        </w:rPr>
      </w:pPr>
    </w:p>
    <w:p>
      <w:pPr>
        <w:ind w:left="220" w:right="400" w:hanging="212"/>
        <w:spacing w:after="0" w:line="259" w:lineRule="auto"/>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requiring a covered executive or executive officer to repay some or all of the incentive compensation granted or paid during the last three years including annual incentive bonus and long-term incentive grants;</w:t>
      </w:r>
    </w:p>
    <w:p>
      <w:pPr>
        <w:spacing w:after="0" w:line="48" w:lineRule="exact"/>
        <w:rPr>
          <w:rFonts w:ascii="Arial" w:cs="Arial" w:eastAsia="Arial" w:hAnsi="Arial"/>
          <w:sz w:val="22"/>
          <w:szCs w:val="22"/>
          <w:color w:val="582C83"/>
        </w:rPr>
      </w:pPr>
    </w:p>
    <w:p>
      <w:pPr>
        <w:ind w:left="220" w:right="40" w:hanging="212"/>
        <w:spacing w:after="0" w:line="259" w:lineRule="auto"/>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requiring a covered executive or executive officer to repay any gains realized on the exercise of stock options or on the open-market sale of vested shares occurring in the previous three years;</w:t>
      </w:r>
    </w:p>
    <w:p>
      <w:pPr>
        <w:spacing w:after="0" w:line="48" w:lineRule="exact"/>
        <w:rPr>
          <w:rFonts w:ascii="Arial" w:cs="Arial" w:eastAsia="Arial" w:hAnsi="Arial"/>
          <w:sz w:val="22"/>
          <w:szCs w:val="22"/>
          <w:color w:val="582C83"/>
        </w:rPr>
      </w:pPr>
    </w:p>
    <w:p>
      <w:pPr>
        <w:ind w:left="220" w:right="300" w:hanging="212"/>
        <w:spacing w:after="0" w:line="259" w:lineRule="auto"/>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canceling some, or all, of a covered executive or executive officer’s restricted stock or deferred stock unit grants, PSUs and outstanding stock options;</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adjusting a covered executive or executive officer’s future compensation;</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terminating a covered executive or executive officer; and/or</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72"/>
        </w:numPr>
        <w:rPr>
          <w:rFonts w:ascii="Arial" w:cs="Arial" w:eastAsia="Arial" w:hAnsi="Arial"/>
          <w:sz w:val="22"/>
          <w:szCs w:val="22"/>
          <w:color w:val="582C83"/>
        </w:rPr>
      </w:pPr>
      <w:r>
        <w:rPr>
          <w:rFonts w:ascii="Arial" w:cs="Arial" w:eastAsia="Arial" w:hAnsi="Arial"/>
          <w:sz w:val="22"/>
          <w:szCs w:val="22"/>
          <w:color w:val="auto"/>
        </w:rPr>
        <w:t>initiating legal action against a covered executive or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TRADING RESTRICTIONS, ANTI-HEDGING AND ANTI-PLEDGING POLICY</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22"/>
          <w:szCs w:val="22"/>
          <w:color w:val="auto"/>
        </w:rPr>
        <w:t>Our insider trading policy limits the timing and types of transactions in Mondelēz International securities by Section 16 officers, including our NEOs. Among other restrictions, the policy:</w:t>
      </w:r>
    </w:p>
    <w:p>
      <w:pPr>
        <w:spacing w:after="0" w:line="48" w:lineRule="exact"/>
        <w:rPr>
          <w:sz w:val="20"/>
          <w:szCs w:val="20"/>
          <w:color w:val="auto"/>
        </w:rPr>
      </w:pPr>
    </w:p>
    <w:p>
      <w:pPr>
        <w:ind w:left="220" w:right="260" w:hanging="212"/>
        <w:spacing w:after="0" w:line="259" w:lineRule="auto"/>
        <w:tabs>
          <w:tab w:leader="none" w:pos="220" w:val="left"/>
        </w:tabs>
        <w:numPr>
          <w:ilvl w:val="0"/>
          <w:numId w:val="73"/>
        </w:numPr>
        <w:rPr>
          <w:rFonts w:ascii="Arial" w:cs="Arial" w:eastAsia="Arial" w:hAnsi="Arial"/>
          <w:sz w:val="22"/>
          <w:szCs w:val="22"/>
          <w:color w:val="582C83"/>
        </w:rPr>
      </w:pPr>
      <w:r>
        <w:rPr>
          <w:rFonts w:ascii="Arial" w:cs="Arial" w:eastAsia="Arial" w:hAnsi="Arial"/>
          <w:sz w:val="22"/>
          <w:szCs w:val="22"/>
          <w:color w:val="auto"/>
        </w:rPr>
        <w:t>allows Section 16 officers to trade Company securities only during open window periods and only after they have pre-cleared transactions with the Corporate Secretary;</w:t>
      </w:r>
    </w:p>
    <w:p>
      <w:pPr>
        <w:spacing w:after="0" w:line="48" w:lineRule="exact"/>
        <w:rPr>
          <w:rFonts w:ascii="Arial" w:cs="Arial" w:eastAsia="Arial" w:hAnsi="Arial"/>
          <w:sz w:val="22"/>
          <w:szCs w:val="22"/>
          <w:color w:val="582C83"/>
        </w:rPr>
      </w:pPr>
    </w:p>
    <w:p>
      <w:pPr>
        <w:ind w:left="220" w:right="460" w:hanging="212"/>
        <w:spacing w:after="0" w:line="259" w:lineRule="auto"/>
        <w:tabs>
          <w:tab w:leader="none" w:pos="220" w:val="left"/>
        </w:tabs>
        <w:numPr>
          <w:ilvl w:val="0"/>
          <w:numId w:val="73"/>
        </w:numPr>
        <w:rPr>
          <w:rFonts w:ascii="Arial" w:cs="Arial" w:eastAsia="Arial" w:hAnsi="Arial"/>
          <w:sz w:val="22"/>
          <w:szCs w:val="22"/>
          <w:color w:val="582C83"/>
        </w:rPr>
      </w:pPr>
      <w:r>
        <w:rPr>
          <w:rFonts w:ascii="Arial" w:cs="Arial" w:eastAsia="Arial" w:hAnsi="Arial"/>
          <w:sz w:val="22"/>
          <w:szCs w:val="22"/>
          <w:color w:val="auto"/>
        </w:rPr>
        <w:t>prohibits Section 16 officers from short-selling Company securities or “selling against the box” (failing to deliver sold securities); and</w:t>
      </w:r>
    </w:p>
    <w:p>
      <w:pPr>
        <w:spacing w:after="0" w:line="48" w:lineRule="exact"/>
        <w:rPr>
          <w:rFonts w:ascii="Arial" w:cs="Arial" w:eastAsia="Arial" w:hAnsi="Arial"/>
          <w:sz w:val="22"/>
          <w:szCs w:val="22"/>
          <w:color w:val="582C83"/>
        </w:rPr>
      </w:pPr>
    </w:p>
    <w:p>
      <w:pPr>
        <w:ind w:left="220" w:right="400" w:hanging="212"/>
        <w:spacing w:after="0" w:line="245" w:lineRule="auto"/>
        <w:tabs>
          <w:tab w:leader="none" w:pos="220" w:val="left"/>
        </w:tabs>
        <w:numPr>
          <w:ilvl w:val="0"/>
          <w:numId w:val="73"/>
        </w:numPr>
        <w:rPr>
          <w:rFonts w:ascii="Arial" w:cs="Arial" w:eastAsia="Arial" w:hAnsi="Arial"/>
          <w:sz w:val="22"/>
          <w:szCs w:val="22"/>
          <w:color w:val="582C83"/>
        </w:rPr>
      </w:pPr>
      <w:r>
        <w:rPr>
          <w:rFonts w:ascii="Arial" w:cs="Arial" w:eastAsia="Arial" w:hAnsi="Arial"/>
          <w:sz w:val="22"/>
          <w:szCs w:val="22"/>
          <w:color w:val="auto"/>
        </w:rPr>
        <w:t>prohibits Section 16 officers from entering into transactions in puts, calls or other derivatives on Mondelēz International securities on an exchange or in any other organized market, or engaging in any other derivative or hedging transactions on Mondelēz International securities.</w:t>
      </w:r>
    </w:p>
    <w:p>
      <w:pPr>
        <w:spacing w:after="0" w:line="143"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Our insider trading policy also prohibits our executive officers and certain additional executives from holding Mondelēz International securities in a margin account or pledging Mondelēz International securities as collateral for a loan.</w:t>
      </w:r>
    </w:p>
    <w:p>
      <w:pPr>
        <w:spacing w:after="0" w:line="14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These restrictions extend to any member of a Section 16 officer’s family sharing the same household, any corporations or other business entities a Section 16 officer controls or manages, and any trusts of which a Section 16 officer is the trustee or over which a Section 16 officer has investment control. See “Anti-Hedging Policy” on page 43 for more information on our hedging policy.</w:t>
      </w: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TAX DEDUCTIBILITY</w:t>
      </w:r>
    </w:p>
    <w:p>
      <w:pPr>
        <w:spacing w:after="0" w:line="103"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Section 162(m) of the Code generally places a limit of $1 million per year on the amount of deductible compensation paid to certain “covered employees” under the Code, which includes our NEOs. The People and Compensation Committee believes that shareholder interests are best served if it retains discretion and flexibility in awarding compensation. Even though some compensation awards may result in non-deductible compensation expenses, the People and Compensation Committee intends to maintain strong pay-for-performance alignment of executive compensation arrangements even though the exemption for certain performance-based compensation has been repealed.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spacing w:after="0"/>
        <w:rPr>
          <w:sz w:val="20"/>
          <w:szCs w:val="20"/>
          <w:color w:val="auto"/>
        </w:rPr>
      </w:pPr>
      <w:r>
        <w:rPr>
          <w:rFonts w:ascii="Arial" w:cs="Arial" w:eastAsia="Arial" w:hAnsi="Arial"/>
          <w:sz w:val="47"/>
          <w:szCs w:val="47"/>
          <w:b w:val="1"/>
          <w:bCs w:val="1"/>
          <w:color w:val="582C83"/>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Summary Compensation Table</w:t>
      </w:r>
    </w:p>
    <w:p>
      <w:pPr>
        <w:spacing w:after="0" w:line="239"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6"/>
                <w:szCs w:val="16"/>
                <w:b w:val="1"/>
                <w:bCs w:val="1"/>
                <w:color w:val="auto"/>
              </w:rPr>
              <w:t>Non-Equity</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6"/>
                <w:szCs w:val="16"/>
                <w:b w:val="1"/>
                <w:bCs w:val="1"/>
                <w:color w:val="auto"/>
              </w:rPr>
              <w:t>Incentive Plan</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6"/>
                <w:szCs w:val="16"/>
                <w:b w:val="1"/>
                <w:bCs w:val="1"/>
                <w:color w:val="auto"/>
              </w:rPr>
              <w:t>Compensation</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6"/>
                <w:szCs w:val="16"/>
                <w:b w:val="1"/>
                <w:bCs w:val="1"/>
                <w:color w:val="auto"/>
              </w:rPr>
              <w:t>Annual</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Change in</w:t>
            </w: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Salary</w:t>
            </w:r>
            <w:r>
              <w:rPr>
                <w:rFonts w:ascii="Arial" w:cs="Arial" w:eastAsia="Arial" w:hAnsi="Arial"/>
                <w:sz w:val="26"/>
                <w:szCs w:val="26"/>
                <w:b w:val="1"/>
                <w:bCs w:val="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Stock</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1300" w:type="dxa"/>
            <w:vAlign w:val="bottom"/>
          </w:tcPr>
          <w:p>
            <w:pPr>
              <w:jc w:val="right"/>
              <w:ind w:right="35"/>
              <w:spacing w:after="0"/>
              <w:rPr>
                <w:sz w:val="20"/>
                <w:szCs w:val="20"/>
                <w:color w:val="auto"/>
              </w:rPr>
            </w:pPr>
            <w:r>
              <w:rPr>
                <w:rFonts w:ascii="Arial" w:cs="Arial" w:eastAsia="Arial" w:hAnsi="Arial"/>
                <w:sz w:val="16"/>
                <w:szCs w:val="16"/>
                <w:b w:val="1"/>
                <w:bCs w:val="1"/>
                <w:color w:val="auto"/>
              </w:rPr>
              <w:t>Incentive</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Pension</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280" w:type="dxa"/>
            <w:vAlign w:val="bottom"/>
          </w:tcPr>
          <w:p>
            <w:pPr>
              <w:ind w:left="80"/>
              <w:spacing w:after="0"/>
              <w:rPr>
                <w:sz w:val="20"/>
                <w:szCs w:val="20"/>
                <w:color w:val="auto"/>
              </w:rPr>
            </w:pPr>
            <w:r>
              <w:rPr>
                <w:rFonts w:ascii="Arial" w:cs="Arial" w:eastAsia="Arial" w:hAnsi="Arial"/>
                <w:sz w:val="16"/>
                <w:szCs w:val="16"/>
                <w:b w:val="1"/>
                <w:bCs w:val="1"/>
                <w:color w:val="auto"/>
              </w:rPr>
              <w:t>Name and</w:t>
            </w:r>
          </w:p>
        </w:tc>
        <w:tc>
          <w:tcPr>
            <w:tcW w:w="5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(2)</w:t>
            </w:r>
          </w:p>
        </w:tc>
        <w:tc>
          <w:tcPr>
            <w:tcW w:w="92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(3)</w:t>
            </w:r>
          </w:p>
        </w:tc>
        <w:tc>
          <w:tcPr>
            <w:tcW w:w="1300" w:type="dxa"/>
            <w:vAlign w:val="bottom"/>
          </w:tcPr>
          <w:p>
            <w:pPr>
              <w:jc w:val="right"/>
              <w:ind w:right="35"/>
              <w:spacing w:after="0" w:line="216"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4"/>
                <w:szCs w:val="24"/>
                <w:b w:val="1"/>
                <w:bCs w:val="1"/>
                <w:color w:val="auto"/>
                <w:vertAlign w:val="superscript"/>
              </w:rPr>
              <w:t>(4)</w:t>
            </w:r>
          </w:p>
        </w:tc>
        <w:tc>
          <w:tcPr>
            <w:tcW w:w="94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Value</w:t>
            </w:r>
            <w:r>
              <w:rPr>
                <w:rFonts w:ascii="Arial" w:cs="Arial" w:eastAsia="Arial" w:hAnsi="Arial"/>
                <w:sz w:val="24"/>
                <w:szCs w:val="24"/>
                <w:b w:val="1"/>
                <w:bCs w:val="1"/>
                <w:color w:val="auto"/>
                <w:vertAlign w:val="superscript"/>
              </w:rPr>
              <w:t>(5)</w:t>
            </w:r>
          </w:p>
        </w:tc>
        <w:tc>
          <w:tcPr>
            <w:tcW w:w="140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24"/>
                <w:szCs w:val="24"/>
                <w:b w:val="1"/>
                <w:bCs w:val="1"/>
                <w:color w:val="auto"/>
                <w:vertAlign w:val="superscript"/>
              </w:rPr>
              <w:t>(6)</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51"/>
        </w:trPr>
        <w:tc>
          <w:tcPr>
            <w:tcW w:w="228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Principal Position</w:t>
            </w:r>
          </w:p>
        </w:tc>
        <w:tc>
          <w:tcPr>
            <w:tcW w:w="56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Year</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582C83"/>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2"/>
        </w:trPr>
        <w:tc>
          <w:tcPr>
            <w:tcW w:w="22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Van de Put, Dirk</w:t>
            </w:r>
          </w:p>
        </w:tc>
        <w:tc>
          <w:tcPr>
            <w:tcW w:w="5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1,487,670</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9,120,315</w:t>
            </w:r>
          </w:p>
        </w:tc>
        <w:tc>
          <w:tcPr>
            <w:tcW w:w="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2,320,357</w:t>
            </w:r>
          </w:p>
        </w:tc>
        <w:tc>
          <w:tcPr>
            <w:tcW w:w="1300" w:type="dxa"/>
            <w:vAlign w:val="bottom"/>
            <w:tcBorders>
              <w:bottom w:val="single" w:sz="8" w:color="EBE6F0"/>
            </w:tcBorders>
            <w:shd w:val="clear" w:color="auto" w:fill="EBE6F0"/>
          </w:tcPr>
          <w:p>
            <w:pPr>
              <w:jc w:val="right"/>
              <w:ind w:right="35"/>
              <w:spacing w:after="0"/>
              <w:rPr>
                <w:sz w:val="20"/>
                <w:szCs w:val="20"/>
                <w:color w:val="auto"/>
              </w:rPr>
            </w:pPr>
            <w:r>
              <w:rPr>
                <w:rFonts w:ascii="Arial" w:cs="Arial" w:eastAsia="Arial" w:hAnsi="Arial"/>
                <w:sz w:val="18"/>
                <w:szCs w:val="18"/>
                <w:color w:val="auto"/>
              </w:rPr>
              <w:t>2,525,250</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674,728</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16,128,320</w:t>
            </w:r>
          </w:p>
        </w:tc>
        <w:tc>
          <w:tcPr>
            <w:tcW w:w="0" w:type="dxa"/>
            <w:vAlign w:val="bottom"/>
          </w:tcPr>
          <w:p>
            <w:pPr>
              <w:spacing w:after="0"/>
              <w:rPr>
                <w:sz w:val="1"/>
                <w:szCs w:val="1"/>
                <w:color w:val="auto"/>
              </w:rPr>
            </w:pPr>
          </w:p>
        </w:tc>
      </w:tr>
      <w:tr>
        <w:trPr>
          <w:trHeight w:val="143"/>
        </w:trPr>
        <w:tc>
          <w:tcPr>
            <w:tcW w:w="2280" w:type="dxa"/>
            <w:vAlign w:val="bottom"/>
            <w:tcBorders>
              <w:top w:val="single" w:sz="8" w:color="EBE6F0"/>
            </w:tcBorders>
            <w:shd w:val="clear" w:color="auto" w:fill="EBE6F0"/>
          </w:tcPr>
          <w:p>
            <w:pPr>
              <w:ind w:left="160"/>
              <w:spacing w:after="0" w:line="143" w:lineRule="exact"/>
              <w:rPr>
                <w:sz w:val="20"/>
                <w:szCs w:val="20"/>
                <w:color w:val="auto"/>
              </w:rPr>
            </w:pPr>
            <w:r>
              <w:rPr>
                <w:rFonts w:ascii="Arial" w:cs="Arial" w:eastAsia="Arial" w:hAnsi="Arial"/>
                <w:sz w:val="16"/>
                <w:szCs w:val="16"/>
                <w:color w:val="auto"/>
              </w:rPr>
              <w:t>Chairman and Chief</w:t>
            </w:r>
          </w:p>
        </w:tc>
        <w:tc>
          <w:tcPr>
            <w:tcW w:w="56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1,450,000</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9,199,084</w:t>
            </w:r>
          </w:p>
        </w:tc>
        <w:tc>
          <w:tcPr>
            <w:tcW w:w="92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2,021,572</w:t>
            </w:r>
          </w:p>
        </w:tc>
        <w:tc>
          <w:tcPr>
            <w:tcW w:w="1300" w:type="dxa"/>
            <w:vAlign w:val="bottom"/>
            <w:tcBorders>
              <w:top w:val="single" w:sz="8" w:color="572C83"/>
            </w:tcBorders>
            <w:vMerge w:val="restart"/>
            <w:shd w:val="clear" w:color="auto" w:fill="EBE6F0"/>
          </w:tcPr>
          <w:p>
            <w:pPr>
              <w:jc w:val="right"/>
              <w:ind w:right="35"/>
              <w:spacing w:after="0"/>
              <w:rPr>
                <w:sz w:val="20"/>
                <w:szCs w:val="20"/>
                <w:color w:val="auto"/>
              </w:rPr>
            </w:pPr>
            <w:r>
              <w:rPr>
                <w:rFonts w:ascii="Arial" w:cs="Arial" w:eastAsia="Arial" w:hAnsi="Arial"/>
                <w:sz w:val="18"/>
                <w:szCs w:val="18"/>
                <w:color w:val="auto"/>
              </w:rPr>
              <w:t>3,420,550</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751,487</w:t>
            </w:r>
          </w:p>
        </w:tc>
        <w:tc>
          <w:tcPr>
            <w:tcW w:w="12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16,842,693</w:t>
            </w:r>
          </w:p>
        </w:tc>
        <w:tc>
          <w:tcPr>
            <w:tcW w:w="0" w:type="dxa"/>
            <w:vAlign w:val="bottom"/>
          </w:tcPr>
          <w:p>
            <w:pPr>
              <w:spacing w:after="0"/>
              <w:rPr>
                <w:sz w:val="1"/>
                <w:szCs w:val="1"/>
                <w:color w:val="auto"/>
              </w:rPr>
            </w:pPr>
          </w:p>
        </w:tc>
      </w:tr>
      <w:tr>
        <w:trPr>
          <w:trHeight w:val="107"/>
        </w:trPr>
        <w:tc>
          <w:tcPr>
            <w:tcW w:w="2280" w:type="dxa"/>
            <w:vAlign w:val="bottom"/>
            <w:tcBorders>
              <w:bottom w:val="single" w:sz="8" w:color="EBE6F0"/>
            </w:tcBorders>
            <w:vMerge w:val="restart"/>
            <w:shd w:val="clear" w:color="auto" w:fill="EBE6F0"/>
          </w:tcPr>
          <w:p>
            <w:pPr>
              <w:ind w:left="160"/>
              <w:spacing w:after="0"/>
              <w:rPr>
                <w:sz w:val="20"/>
                <w:szCs w:val="20"/>
                <w:color w:val="auto"/>
              </w:rPr>
            </w:pPr>
            <w:r>
              <w:rPr>
                <w:rFonts w:ascii="Arial" w:cs="Arial" w:eastAsia="Arial" w:hAnsi="Arial"/>
                <w:sz w:val="18"/>
                <w:szCs w:val="18"/>
                <w:color w:val="auto"/>
              </w:rPr>
              <w:t>Executive Officer</w:t>
            </w:r>
          </w:p>
        </w:tc>
        <w:tc>
          <w:tcPr>
            <w:tcW w:w="56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920" w:type="dxa"/>
            <w:vAlign w:val="bottom"/>
            <w:tcBorders>
              <w:bottom w:val="single" w:sz="8" w:color="572C83"/>
            </w:tcBorders>
            <w:vMerge w:val="continue"/>
            <w:shd w:val="clear" w:color="auto" w:fill="EBE6F0"/>
          </w:tcPr>
          <w:p>
            <w:pPr>
              <w:spacing w:after="0"/>
              <w:rPr>
                <w:sz w:val="8"/>
                <w:szCs w:val="8"/>
                <w:color w:val="auto"/>
              </w:rPr>
            </w:pPr>
          </w:p>
        </w:tc>
        <w:tc>
          <w:tcPr>
            <w:tcW w:w="130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1400" w:type="dxa"/>
            <w:vAlign w:val="bottom"/>
            <w:tcBorders>
              <w:bottom w:val="single" w:sz="8" w:color="572C83"/>
            </w:tcBorders>
            <w:vMerge w:val="continue"/>
            <w:shd w:val="clear" w:color="auto" w:fill="EBE6F0"/>
          </w:tcPr>
          <w:p>
            <w:pPr>
              <w:spacing w:after="0"/>
              <w:rPr>
                <w:sz w:val="8"/>
                <w:szCs w:val="8"/>
                <w:color w:val="auto"/>
              </w:rPr>
            </w:pPr>
          </w:p>
        </w:tc>
        <w:tc>
          <w:tcPr>
            <w:tcW w:w="1240" w:type="dxa"/>
            <w:vAlign w:val="bottom"/>
            <w:tcBorders>
              <w:bottom w:val="single" w:sz="8" w:color="572C83"/>
            </w:tcBorders>
            <w:vMerge w:val="continue"/>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80" w:type="dxa"/>
            <w:vAlign w:val="bottom"/>
            <w:vMerge w:val="continue"/>
            <w:shd w:val="clear" w:color="auto" w:fill="EBE6F0"/>
          </w:tcPr>
          <w:p>
            <w:pPr>
              <w:spacing w:after="0"/>
              <w:rPr>
                <w:sz w:val="9"/>
                <w:szCs w:val="9"/>
                <w:color w:val="auto"/>
              </w:rPr>
            </w:pPr>
          </w:p>
        </w:tc>
        <w:tc>
          <w:tcPr>
            <w:tcW w:w="56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2019</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1,450,000</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9,510,317</w:t>
            </w:r>
          </w:p>
        </w:tc>
        <w:tc>
          <w:tcPr>
            <w:tcW w:w="92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2,140,647</w:t>
            </w:r>
          </w:p>
        </w:tc>
        <w:tc>
          <w:tcPr>
            <w:tcW w:w="1300" w:type="dxa"/>
            <w:vAlign w:val="bottom"/>
            <w:vMerge w:val="restart"/>
            <w:shd w:val="clear" w:color="auto" w:fill="EBE6F0"/>
          </w:tcPr>
          <w:p>
            <w:pPr>
              <w:jc w:val="right"/>
              <w:ind w:right="35"/>
              <w:spacing w:after="0"/>
              <w:rPr>
                <w:sz w:val="20"/>
                <w:szCs w:val="20"/>
                <w:color w:val="auto"/>
              </w:rPr>
            </w:pPr>
            <w:r>
              <w:rPr>
                <w:rFonts w:ascii="Arial" w:cs="Arial" w:eastAsia="Arial" w:hAnsi="Arial"/>
                <w:sz w:val="18"/>
                <w:szCs w:val="18"/>
                <w:color w:val="auto"/>
              </w:rPr>
              <w:t>4,663,925</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613,257</w:t>
            </w:r>
          </w:p>
        </w:tc>
        <w:tc>
          <w:tcPr>
            <w:tcW w:w="12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18,378,146</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572C83"/>
            </w:tcBorders>
            <w:shd w:val="clear" w:color="auto" w:fill="EBE6F0"/>
          </w:tcPr>
          <w:p>
            <w:pPr>
              <w:spacing w:after="0"/>
              <w:rPr>
                <w:sz w:val="12"/>
                <w:szCs w:val="12"/>
                <w:color w:val="auto"/>
              </w:rPr>
            </w:pPr>
          </w:p>
        </w:tc>
        <w:tc>
          <w:tcPr>
            <w:tcW w:w="56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920" w:type="dxa"/>
            <w:vAlign w:val="bottom"/>
            <w:tcBorders>
              <w:bottom w:val="single" w:sz="8" w:color="572C83"/>
            </w:tcBorders>
            <w:vMerge w:val="continue"/>
            <w:shd w:val="clear" w:color="auto" w:fill="EBE6F0"/>
          </w:tcPr>
          <w:p>
            <w:pPr>
              <w:spacing w:after="0"/>
              <w:rPr>
                <w:sz w:val="12"/>
                <w:szCs w:val="12"/>
                <w:color w:val="auto"/>
              </w:rPr>
            </w:pPr>
          </w:p>
        </w:tc>
        <w:tc>
          <w:tcPr>
            <w:tcW w:w="130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1400" w:type="dxa"/>
            <w:vAlign w:val="bottom"/>
            <w:tcBorders>
              <w:bottom w:val="single" w:sz="8" w:color="572C83"/>
            </w:tcBorders>
            <w:vMerge w:val="continue"/>
            <w:shd w:val="clear" w:color="auto" w:fill="EBE6F0"/>
          </w:tcPr>
          <w:p>
            <w:pPr>
              <w:spacing w:after="0"/>
              <w:rPr>
                <w:sz w:val="12"/>
                <w:szCs w:val="12"/>
                <w:color w:val="auto"/>
              </w:rPr>
            </w:pPr>
          </w:p>
        </w:tc>
        <w:tc>
          <w:tcPr>
            <w:tcW w:w="1240" w:type="dxa"/>
            <w:vAlign w:val="bottom"/>
            <w:tcBorders>
              <w:bottom w:val="single" w:sz="8" w:color="572C83"/>
            </w:tcBorders>
            <w:vMerge w:val="continue"/>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Zaramella, Luca</w:t>
            </w: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Pr>
          <w:p>
            <w:pPr>
              <w:jc w:val="right"/>
              <w:spacing w:after="0"/>
              <w:rPr>
                <w:sz w:val="20"/>
                <w:szCs w:val="20"/>
                <w:color w:val="auto"/>
              </w:rPr>
            </w:pPr>
            <w:r>
              <w:rPr>
                <w:rFonts w:ascii="Arial" w:cs="Arial" w:eastAsia="Arial" w:hAnsi="Arial"/>
                <w:sz w:val="18"/>
                <w:szCs w:val="18"/>
                <w:color w:val="auto"/>
              </w:rPr>
              <w:t>843,836</w:t>
            </w:r>
          </w:p>
        </w:tc>
        <w:tc>
          <w:tcPr>
            <w:tcW w:w="940" w:type="dxa"/>
            <w:vAlign w:val="bottom"/>
          </w:tcPr>
          <w:p>
            <w:pPr>
              <w:jc w:val="right"/>
              <w:spacing w:after="0"/>
              <w:rPr>
                <w:sz w:val="20"/>
                <w:szCs w:val="20"/>
                <w:color w:val="auto"/>
              </w:rPr>
            </w:pPr>
            <w:r>
              <w:rPr>
                <w:rFonts w:ascii="Arial" w:cs="Arial" w:eastAsia="Arial" w:hAnsi="Arial"/>
                <w:sz w:val="18"/>
                <w:szCs w:val="18"/>
                <w:color w:val="auto"/>
              </w:rPr>
              <w:t>2,617,335</w:t>
            </w:r>
          </w:p>
        </w:tc>
        <w:tc>
          <w:tcPr>
            <w:tcW w:w="920" w:type="dxa"/>
            <w:vAlign w:val="bottom"/>
          </w:tcPr>
          <w:p>
            <w:pPr>
              <w:jc w:val="right"/>
              <w:spacing w:after="0"/>
              <w:rPr>
                <w:sz w:val="20"/>
                <w:szCs w:val="20"/>
                <w:color w:val="auto"/>
              </w:rPr>
            </w:pPr>
            <w:r>
              <w:rPr>
                <w:rFonts w:ascii="Arial" w:cs="Arial" w:eastAsia="Arial" w:hAnsi="Arial"/>
                <w:sz w:val="18"/>
                <w:szCs w:val="18"/>
                <w:color w:val="auto"/>
              </w:rPr>
              <w:t>665,910</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773,500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384,330</w:t>
            </w:r>
          </w:p>
        </w:tc>
        <w:tc>
          <w:tcPr>
            <w:tcW w:w="1240" w:type="dxa"/>
            <w:vAlign w:val="bottom"/>
          </w:tcPr>
          <w:p>
            <w:pPr>
              <w:jc w:val="right"/>
              <w:spacing w:after="0"/>
              <w:rPr>
                <w:sz w:val="20"/>
                <w:szCs w:val="20"/>
                <w:color w:val="auto"/>
              </w:rPr>
            </w:pPr>
            <w:r>
              <w:rPr>
                <w:rFonts w:ascii="Arial" w:cs="Arial" w:eastAsia="Arial" w:hAnsi="Arial"/>
                <w:sz w:val="18"/>
                <w:szCs w:val="18"/>
                <w:color w:val="auto"/>
              </w:rPr>
              <w:t>5,284,911</w:t>
            </w:r>
          </w:p>
        </w:tc>
        <w:tc>
          <w:tcPr>
            <w:tcW w:w="0" w:type="dxa"/>
            <w:vAlign w:val="bottom"/>
          </w:tcPr>
          <w:p>
            <w:pPr>
              <w:spacing w:after="0"/>
              <w:rPr>
                <w:sz w:val="1"/>
                <w:szCs w:val="1"/>
                <w:color w:val="auto"/>
              </w:rPr>
            </w:pPr>
          </w:p>
        </w:tc>
      </w:tr>
      <w:tr>
        <w:trPr>
          <w:trHeight w:val="40"/>
        </w:trPr>
        <w:tc>
          <w:tcPr>
            <w:tcW w:w="2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560" w:type="dxa"/>
            <w:vAlign w:val="bottom"/>
            <w:tcBorders>
              <w:bottom w:val="single" w:sz="8" w:color="572C83"/>
            </w:tcBorders>
          </w:tcPr>
          <w:p>
            <w:pPr>
              <w:spacing w:after="0"/>
              <w:rPr>
                <w:sz w:val="3"/>
                <w:szCs w:val="3"/>
                <w:color w:val="auto"/>
              </w:rPr>
            </w:pPr>
          </w:p>
        </w:tc>
        <w:tc>
          <w:tcPr>
            <w:tcW w:w="940" w:type="dxa"/>
            <w:vAlign w:val="bottom"/>
            <w:tcBorders>
              <w:bottom w:val="single" w:sz="8" w:color="572C83"/>
            </w:tcBorders>
          </w:tcPr>
          <w:p>
            <w:pPr>
              <w:spacing w:after="0"/>
              <w:rPr>
                <w:sz w:val="3"/>
                <w:szCs w:val="3"/>
                <w:color w:val="auto"/>
              </w:rPr>
            </w:pPr>
          </w:p>
        </w:tc>
        <w:tc>
          <w:tcPr>
            <w:tcW w:w="940" w:type="dxa"/>
            <w:vAlign w:val="bottom"/>
            <w:tcBorders>
              <w:bottom w:val="single" w:sz="8" w:color="572C83"/>
            </w:tcBorders>
          </w:tcPr>
          <w:p>
            <w:pPr>
              <w:spacing w:after="0"/>
              <w:rPr>
                <w:sz w:val="3"/>
                <w:szCs w:val="3"/>
                <w:color w:val="auto"/>
              </w:rPr>
            </w:pPr>
          </w:p>
        </w:tc>
        <w:tc>
          <w:tcPr>
            <w:tcW w:w="920" w:type="dxa"/>
            <w:vAlign w:val="bottom"/>
            <w:tcBorders>
              <w:bottom w:val="single" w:sz="8" w:color="572C83"/>
            </w:tcBorders>
          </w:tcPr>
          <w:p>
            <w:pPr>
              <w:spacing w:after="0"/>
              <w:rPr>
                <w:sz w:val="3"/>
                <w:szCs w:val="3"/>
                <w:color w:val="auto"/>
              </w:rPr>
            </w:pPr>
          </w:p>
        </w:tc>
        <w:tc>
          <w:tcPr>
            <w:tcW w:w="1300" w:type="dxa"/>
            <w:vAlign w:val="bottom"/>
            <w:tcBorders>
              <w:bottom w:val="single" w:sz="8" w:color="572C83"/>
            </w:tcBorders>
          </w:tcPr>
          <w:p>
            <w:pPr>
              <w:spacing w:after="0"/>
              <w:rPr>
                <w:sz w:val="3"/>
                <w:szCs w:val="3"/>
                <w:color w:val="auto"/>
              </w:rPr>
            </w:pPr>
          </w:p>
        </w:tc>
        <w:tc>
          <w:tcPr>
            <w:tcW w:w="940" w:type="dxa"/>
            <w:vAlign w:val="bottom"/>
            <w:tcBorders>
              <w:bottom w:val="single" w:sz="8" w:color="572C83"/>
            </w:tcBorders>
          </w:tcPr>
          <w:p>
            <w:pPr>
              <w:spacing w:after="0"/>
              <w:rPr>
                <w:sz w:val="3"/>
                <w:szCs w:val="3"/>
                <w:color w:val="auto"/>
              </w:rPr>
            </w:pPr>
          </w:p>
        </w:tc>
        <w:tc>
          <w:tcPr>
            <w:tcW w:w="14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280" w:type="dxa"/>
            <w:vAlign w:val="bottom"/>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806,352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2,593,044</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569,755</w:t>
            </w:r>
          </w:p>
        </w:tc>
        <w:tc>
          <w:tcPr>
            <w:tcW w:w="1300" w:type="dxa"/>
            <w:vAlign w:val="bottom"/>
            <w:vMerge w:val="restart"/>
          </w:tcPr>
          <w:p>
            <w:pPr>
              <w:jc w:val="right"/>
              <w:ind w:right="35"/>
              <w:spacing w:after="0"/>
              <w:rPr>
                <w:sz w:val="20"/>
                <w:szCs w:val="20"/>
                <w:color w:val="auto"/>
              </w:rPr>
            </w:pPr>
            <w:r>
              <w:rPr>
                <w:rFonts w:ascii="Arial" w:cs="Arial" w:eastAsia="Arial" w:hAnsi="Arial"/>
                <w:sz w:val="18"/>
                <w:szCs w:val="18"/>
                <w:color w:val="auto"/>
              </w:rPr>
              <w:t>1,112,100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2,281,910</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7,363,161</w:t>
            </w:r>
          </w:p>
        </w:tc>
        <w:tc>
          <w:tcPr>
            <w:tcW w:w="0" w:type="dxa"/>
            <w:vAlign w:val="bottom"/>
          </w:tcPr>
          <w:p>
            <w:pPr>
              <w:spacing w:after="0"/>
              <w:rPr>
                <w:sz w:val="1"/>
                <w:szCs w:val="1"/>
                <w:color w:val="auto"/>
              </w:rPr>
            </w:pPr>
          </w:p>
        </w:tc>
      </w:tr>
      <w:tr>
        <w:trPr>
          <w:trHeight w:val="107"/>
        </w:trPr>
        <w:tc>
          <w:tcPr>
            <w:tcW w:w="2280" w:type="dxa"/>
            <w:vAlign w:val="bottom"/>
            <w:vMerge w:val="restart"/>
          </w:tcPr>
          <w:p>
            <w:pPr>
              <w:ind w:left="160"/>
              <w:spacing w:after="0"/>
              <w:rPr>
                <w:sz w:val="20"/>
                <w:szCs w:val="20"/>
                <w:color w:val="auto"/>
              </w:rPr>
            </w:pPr>
            <w:r>
              <w:rPr>
                <w:rFonts w:ascii="Arial" w:cs="Arial" w:eastAsia="Arial" w:hAnsi="Arial"/>
                <w:sz w:val="18"/>
                <w:szCs w:val="18"/>
                <w:color w:val="auto"/>
                <w:w w:val="98"/>
              </w:rPr>
              <w:t>and Chief Financial Officer</w:t>
            </w:r>
          </w:p>
        </w:tc>
        <w:tc>
          <w:tcPr>
            <w:tcW w:w="560" w:type="dxa"/>
            <w:vAlign w:val="bottom"/>
            <w:tcBorders>
              <w:bottom w:val="single" w:sz="8" w:color="572C83"/>
            </w:tcBorders>
            <w:vMerge w:val="continue"/>
          </w:tcPr>
          <w:p>
            <w:pPr>
              <w:spacing w:after="0"/>
              <w:rPr>
                <w:sz w:val="8"/>
                <w:szCs w:val="8"/>
                <w:color w:val="auto"/>
              </w:rPr>
            </w:pPr>
          </w:p>
        </w:tc>
        <w:tc>
          <w:tcPr>
            <w:tcW w:w="940" w:type="dxa"/>
            <w:vAlign w:val="bottom"/>
            <w:tcBorders>
              <w:bottom w:val="single" w:sz="8" w:color="572C83"/>
            </w:tcBorders>
            <w:vMerge w:val="continue"/>
          </w:tcPr>
          <w:p>
            <w:pPr>
              <w:spacing w:after="0"/>
              <w:rPr>
                <w:sz w:val="8"/>
                <w:szCs w:val="8"/>
                <w:color w:val="auto"/>
              </w:rPr>
            </w:pPr>
          </w:p>
        </w:tc>
        <w:tc>
          <w:tcPr>
            <w:tcW w:w="940" w:type="dxa"/>
            <w:vAlign w:val="bottom"/>
            <w:tcBorders>
              <w:bottom w:val="single" w:sz="8" w:color="572C83"/>
            </w:tcBorders>
            <w:vMerge w:val="continue"/>
          </w:tcPr>
          <w:p>
            <w:pPr>
              <w:spacing w:after="0"/>
              <w:rPr>
                <w:sz w:val="8"/>
                <w:szCs w:val="8"/>
                <w:color w:val="auto"/>
              </w:rPr>
            </w:pPr>
          </w:p>
        </w:tc>
        <w:tc>
          <w:tcPr>
            <w:tcW w:w="920" w:type="dxa"/>
            <w:vAlign w:val="bottom"/>
            <w:tcBorders>
              <w:bottom w:val="single" w:sz="8" w:color="572C83"/>
            </w:tcBorders>
            <w:vMerge w:val="continue"/>
          </w:tcPr>
          <w:p>
            <w:pPr>
              <w:spacing w:after="0"/>
              <w:rPr>
                <w:sz w:val="8"/>
                <w:szCs w:val="8"/>
                <w:color w:val="auto"/>
              </w:rPr>
            </w:pPr>
          </w:p>
        </w:tc>
        <w:tc>
          <w:tcPr>
            <w:tcW w:w="1300" w:type="dxa"/>
            <w:vAlign w:val="bottom"/>
            <w:tcBorders>
              <w:bottom w:val="single" w:sz="8" w:color="572C83"/>
            </w:tcBorders>
            <w:vMerge w:val="continue"/>
          </w:tcPr>
          <w:p>
            <w:pPr>
              <w:spacing w:after="0"/>
              <w:rPr>
                <w:sz w:val="8"/>
                <w:szCs w:val="8"/>
                <w:color w:val="auto"/>
              </w:rPr>
            </w:pPr>
          </w:p>
        </w:tc>
        <w:tc>
          <w:tcPr>
            <w:tcW w:w="940" w:type="dxa"/>
            <w:vAlign w:val="bottom"/>
            <w:tcBorders>
              <w:bottom w:val="single" w:sz="8" w:color="572C83"/>
            </w:tcBorders>
            <w:vMerge w:val="continue"/>
          </w:tcPr>
          <w:p>
            <w:pPr>
              <w:spacing w:after="0"/>
              <w:rPr>
                <w:sz w:val="8"/>
                <w:szCs w:val="8"/>
                <w:color w:val="auto"/>
              </w:rPr>
            </w:pPr>
          </w:p>
        </w:tc>
        <w:tc>
          <w:tcPr>
            <w:tcW w:w="1400" w:type="dxa"/>
            <w:vAlign w:val="bottom"/>
            <w:tcBorders>
              <w:bottom w:val="single" w:sz="8" w:color="572C83"/>
            </w:tcBorders>
            <w:vMerge w:val="continue"/>
          </w:tcPr>
          <w:p>
            <w:pPr>
              <w:spacing w:after="0"/>
              <w:rPr>
                <w:sz w:val="8"/>
                <w:szCs w:val="8"/>
                <w:color w:val="auto"/>
              </w:rPr>
            </w:pPr>
          </w:p>
        </w:tc>
        <w:tc>
          <w:tcPr>
            <w:tcW w:w="1240" w:type="dxa"/>
            <w:vAlign w:val="bottom"/>
            <w:tcBorders>
              <w:bottom w:val="single" w:sz="8" w:color="572C83"/>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80" w:type="dxa"/>
            <w:vAlign w:val="bottom"/>
            <w:tcBorders>
              <w:bottom w:val="single" w:sz="8" w:color="572C83"/>
            </w:tcBorders>
            <w:vMerge w:val="continue"/>
          </w:tcPr>
          <w:p>
            <w:pPr>
              <w:spacing w:after="0"/>
              <w:rPr>
                <w:sz w:val="21"/>
                <w:szCs w:val="21"/>
                <w:color w:val="auto"/>
              </w:rPr>
            </w:pPr>
          </w:p>
        </w:tc>
        <w:tc>
          <w:tcPr>
            <w:tcW w:w="56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737,671</w:t>
            </w:r>
          </w:p>
        </w:tc>
        <w:tc>
          <w:tcPr>
            <w:tcW w:w="94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2,048,100</w:t>
            </w:r>
          </w:p>
        </w:tc>
        <w:tc>
          <w:tcPr>
            <w:tcW w:w="92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460,911</w:t>
            </w:r>
          </w:p>
        </w:tc>
        <w:tc>
          <w:tcPr>
            <w:tcW w:w="1300" w:type="dxa"/>
            <w:vAlign w:val="bottom"/>
            <w:tcBorders>
              <w:bottom w:val="single" w:sz="8" w:color="572C83"/>
            </w:tcBorders>
          </w:tcPr>
          <w:p>
            <w:pPr>
              <w:jc w:val="right"/>
              <w:ind w:right="35"/>
              <w:spacing w:after="0"/>
              <w:rPr>
                <w:sz w:val="20"/>
                <w:szCs w:val="20"/>
                <w:color w:val="auto"/>
              </w:rPr>
            </w:pPr>
            <w:r>
              <w:rPr>
                <w:rFonts w:ascii="Arial" w:cs="Arial" w:eastAsia="Arial" w:hAnsi="Arial"/>
                <w:sz w:val="18"/>
                <w:szCs w:val="18"/>
                <w:color w:val="auto"/>
              </w:rPr>
              <w:t>1,371,000</w:t>
            </w:r>
          </w:p>
        </w:tc>
        <w:tc>
          <w:tcPr>
            <w:tcW w:w="94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384,992</w:t>
            </w:r>
          </w:p>
        </w:tc>
        <w:tc>
          <w:tcPr>
            <w:tcW w:w="1240" w:type="dxa"/>
            <w:vAlign w:val="bottom"/>
            <w:tcBorders>
              <w:bottom w:val="single" w:sz="8" w:color="572C83"/>
            </w:tcBorders>
          </w:tcPr>
          <w:p>
            <w:pPr>
              <w:jc w:val="right"/>
              <w:spacing w:after="0"/>
              <w:rPr>
                <w:sz w:val="20"/>
                <w:szCs w:val="20"/>
                <w:color w:val="auto"/>
              </w:rPr>
            </w:pPr>
            <w:r>
              <w:rPr>
                <w:rFonts w:ascii="Arial" w:cs="Arial" w:eastAsia="Arial" w:hAnsi="Arial"/>
                <w:sz w:val="18"/>
                <w:szCs w:val="18"/>
                <w:color w:val="auto"/>
              </w:rPr>
              <w:t>5,002,674</w:t>
            </w:r>
          </w:p>
        </w:tc>
        <w:tc>
          <w:tcPr>
            <w:tcW w:w="0" w:type="dxa"/>
            <w:vAlign w:val="bottom"/>
          </w:tcPr>
          <w:p>
            <w:pPr>
              <w:spacing w:after="0"/>
              <w:rPr>
                <w:sz w:val="1"/>
                <w:szCs w:val="1"/>
                <w:color w:val="auto"/>
              </w:rPr>
            </w:pPr>
          </w:p>
        </w:tc>
      </w:tr>
      <w:tr>
        <w:trPr>
          <w:trHeight w:val="261"/>
        </w:trPr>
        <w:tc>
          <w:tcPr>
            <w:tcW w:w="228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Brusadelli, Maurizio</w:t>
            </w:r>
          </w:p>
        </w:tc>
        <w:tc>
          <w:tcPr>
            <w:tcW w:w="5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682,498</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1,824,419</w:t>
            </w:r>
          </w:p>
        </w:tc>
        <w:tc>
          <w:tcPr>
            <w:tcW w:w="9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464,144</w:t>
            </w:r>
          </w:p>
        </w:tc>
        <w:tc>
          <w:tcPr>
            <w:tcW w:w="1300" w:type="dxa"/>
            <w:vAlign w:val="bottom"/>
            <w:tcBorders>
              <w:bottom w:val="single" w:sz="8" w:color="EBE6F0"/>
            </w:tcBorders>
            <w:shd w:val="clear" w:color="auto" w:fill="EBE6F0"/>
          </w:tcPr>
          <w:p>
            <w:pPr>
              <w:jc w:val="right"/>
              <w:ind w:right="35"/>
              <w:spacing w:after="0"/>
              <w:rPr>
                <w:sz w:val="20"/>
                <w:szCs w:val="20"/>
                <w:color w:val="auto"/>
              </w:rPr>
            </w:pPr>
            <w:r>
              <w:rPr>
                <w:rFonts w:ascii="Arial" w:cs="Arial" w:eastAsia="Arial" w:hAnsi="Arial"/>
                <w:sz w:val="18"/>
                <w:szCs w:val="18"/>
                <w:color w:val="auto"/>
              </w:rPr>
              <w:t>915,229</w:t>
            </w:r>
          </w:p>
        </w:tc>
        <w:tc>
          <w:tcPr>
            <w:tcW w:w="9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846,063</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4,732,353</w:t>
            </w:r>
          </w:p>
        </w:tc>
        <w:tc>
          <w:tcPr>
            <w:tcW w:w="0" w:type="dxa"/>
            <w:vAlign w:val="bottom"/>
          </w:tcPr>
          <w:p>
            <w:pPr>
              <w:spacing w:after="0"/>
              <w:rPr>
                <w:sz w:val="1"/>
                <w:szCs w:val="1"/>
                <w:color w:val="auto"/>
              </w:rPr>
            </w:pPr>
          </w:p>
        </w:tc>
      </w:tr>
      <w:tr>
        <w:trPr>
          <w:trHeight w:val="143"/>
        </w:trPr>
        <w:tc>
          <w:tcPr>
            <w:tcW w:w="2280" w:type="dxa"/>
            <w:vAlign w:val="bottom"/>
            <w:tcBorders>
              <w:top w:val="single" w:sz="8" w:color="EBE6F0"/>
            </w:tcBorders>
            <w:shd w:val="clear" w:color="auto" w:fill="EBE6F0"/>
          </w:tcPr>
          <w:p>
            <w:pPr>
              <w:ind w:left="160"/>
              <w:spacing w:after="0" w:line="143" w:lineRule="exact"/>
              <w:rPr>
                <w:sz w:val="20"/>
                <w:szCs w:val="20"/>
                <w:color w:val="auto"/>
              </w:rPr>
            </w:pPr>
            <w:r>
              <w:rPr>
                <w:rFonts w:ascii="Arial" w:cs="Arial" w:eastAsia="Arial" w:hAnsi="Arial"/>
                <w:sz w:val="16"/>
                <w:szCs w:val="16"/>
                <w:color w:val="auto"/>
              </w:rPr>
              <w:t>Executive Vice President</w:t>
            </w:r>
          </w:p>
        </w:tc>
        <w:tc>
          <w:tcPr>
            <w:tcW w:w="56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2020</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734,452</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1,923,553</w:t>
            </w:r>
          </w:p>
        </w:tc>
        <w:tc>
          <w:tcPr>
            <w:tcW w:w="92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422,716</w:t>
            </w:r>
          </w:p>
        </w:tc>
        <w:tc>
          <w:tcPr>
            <w:tcW w:w="1300" w:type="dxa"/>
            <w:vAlign w:val="bottom"/>
            <w:tcBorders>
              <w:top w:val="single" w:sz="8" w:color="572C83"/>
            </w:tcBorders>
            <w:vMerge w:val="restart"/>
            <w:shd w:val="clear" w:color="auto" w:fill="EBE6F0"/>
          </w:tcPr>
          <w:p>
            <w:pPr>
              <w:jc w:val="right"/>
              <w:ind w:right="35"/>
              <w:spacing w:after="0"/>
              <w:rPr>
                <w:sz w:val="20"/>
                <w:szCs w:val="20"/>
                <w:color w:val="auto"/>
              </w:rPr>
            </w:pPr>
            <w:r>
              <w:rPr>
                <w:rFonts w:ascii="Arial" w:cs="Arial" w:eastAsia="Arial" w:hAnsi="Arial"/>
                <w:sz w:val="18"/>
                <w:szCs w:val="18"/>
                <w:color w:val="auto"/>
              </w:rPr>
              <w:t>808,808</w:t>
            </w:r>
          </w:p>
        </w:tc>
        <w:tc>
          <w:tcPr>
            <w:tcW w:w="9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800,715</w:t>
            </w:r>
          </w:p>
        </w:tc>
        <w:tc>
          <w:tcPr>
            <w:tcW w:w="12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8"/>
                <w:szCs w:val="18"/>
                <w:color w:val="auto"/>
              </w:rPr>
              <w:t>4,690,244</w:t>
            </w:r>
          </w:p>
        </w:tc>
        <w:tc>
          <w:tcPr>
            <w:tcW w:w="0" w:type="dxa"/>
            <w:vAlign w:val="bottom"/>
          </w:tcPr>
          <w:p>
            <w:pPr>
              <w:spacing w:after="0"/>
              <w:rPr>
                <w:sz w:val="1"/>
                <w:szCs w:val="1"/>
                <w:color w:val="auto"/>
              </w:rPr>
            </w:pPr>
          </w:p>
        </w:tc>
      </w:tr>
      <w:tr>
        <w:trPr>
          <w:trHeight w:val="107"/>
        </w:trPr>
        <w:tc>
          <w:tcPr>
            <w:tcW w:w="2280" w:type="dxa"/>
            <w:vAlign w:val="bottom"/>
            <w:tcBorders>
              <w:bottom w:val="single" w:sz="8" w:color="EBE6F0"/>
            </w:tcBorders>
            <w:vMerge w:val="restart"/>
            <w:shd w:val="clear" w:color="auto" w:fill="EBE6F0"/>
          </w:tcPr>
          <w:p>
            <w:pPr>
              <w:ind w:left="160"/>
              <w:spacing w:after="0"/>
              <w:rPr>
                <w:sz w:val="20"/>
                <w:szCs w:val="20"/>
                <w:color w:val="auto"/>
              </w:rPr>
            </w:pPr>
            <w:r>
              <w:rPr>
                <w:rFonts w:ascii="Arial" w:cs="Arial" w:eastAsia="Arial" w:hAnsi="Arial"/>
                <w:sz w:val="18"/>
                <w:szCs w:val="18"/>
                <w:color w:val="auto"/>
              </w:rPr>
              <w:t>and President, AMEA</w:t>
            </w:r>
          </w:p>
        </w:tc>
        <w:tc>
          <w:tcPr>
            <w:tcW w:w="56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920" w:type="dxa"/>
            <w:vAlign w:val="bottom"/>
            <w:tcBorders>
              <w:bottom w:val="single" w:sz="8" w:color="572C83"/>
            </w:tcBorders>
            <w:vMerge w:val="continue"/>
            <w:shd w:val="clear" w:color="auto" w:fill="EBE6F0"/>
          </w:tcPr>
          <w:p>
            <w:pPr>
              <w:spacing w:after="0"/>
              <w:rPr>
                <w:sz w:val="8"/>
                <w:szCs w:val="8"/>
                <w:color w:val="auto"/>
              </w:rPr>
            </w:pPr>
          </w:p>
        </w:tc>
        <w:tc>
          <w:tcPr>
            <w:tcW w:w="1300" w:type="dxa"/>
            <w:vAlign w:val="bottom"/>
            <w:tcBorders>
              <w:bottom w:val="single" w:sz="8" w:color="572C83"/>
            </w:tcBorders>
            <w:vMerge w:val="continue"/>
            <w:shd w:val="clear" w:color="auto" w:fill="EBE6F0"/>
          </w:tcPr>
          <w:p>
            <w:pPr>
              <w:spacing w:after="0"/>
              <w:rPr>
                <w:sz w:val="8"/>
                <w:szCs w:val="8"/>
                <w:color w:val="auto"/>
              </w:rPr>
            </w:pPr>
          </w:p>
        </w:tc>
        <w:tc>
          <w:tcPr>
            <w:tcW w:w="940" w:type="dxa"/>
            <w:vAlign w:val="bottom"/>
            <w:tcBorders>
              <w:bottom w:val="single" w:sz="8" w:color="572C83"/>
            </w:tcBorders>
            <w:vMerge w:val="continue"/>
            <w:shd w:val="clear" w:color="auto" w:fill="EBE6F0"/>
          </w:tcPr>
          <w:p>
            <w:pPr>
              <w:spacing w:after="0"/>
              <w:rPr>
                <w:sz w:val="8"/>
                <w:szCs w:val="8"/>
                <w:color w:val="auto"/>
              </w:rPr>
            </w:pPr>
          </w:p>
        </w:tc>
        <w:tc>
          <w:tcPr>
            <w:tcW w:w="1400" w:type="dxa"/>
            <w:vAlign w:val="bottom"/>
            <w:tcBorders>
              <w:bottom w:val="single" w:sz="8" w:color="572C83"/>
            </w:tcBorders>
            <w:vMerge w:val="continue"/>
            <w:shd w:val="clear" w:color="auto" w:fill="EBE6F0"/>
          </w:tcPr>
          <w:p>
            <w:pPr>
              <w:spacing w:after="0"/>
              <w:rPr>
                <w:sz w:val="8"/>
                <w:szCs w:val="8"/>
                <w:color w:val="auto"/>
              </w:rPr>
            </w:pPr>
          </w:p>
        </w:tc>
        <w:tc>
          <w:tcPr>
            <w:tcW w:w="1240" w:type="dxa"/>
            <w:vAlign w:val="bottom"/>
            <w:tcBorders>
              <w:bottom w:val="single" w:sz="8" w:color="572C83"/>
            </w:tcBorders>
            <w:vMerge w:val="continue"/>
            <w:shd w:val="clear" w:color="auto" w:fill="EBE6F0"/>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80" w:type="dxa"/>
            <w:vAlign w:val="bottom"/>
            <w:vMerge w:val="continue"/>
            <w:shd w:val="clear" w:color="auto" w:fill="EBE6F0"/>
          </w:tcPr>
          <w:p>
            <w:pPr>
              <w:spacing w:after="0"/>
              <w:rPr>
                <w:sz w:val="9"/>
                <w:szCs w:val="9"/>
                <w:color w:val="auto"/>
              </w:rPr>
            </w:pPr>
          </w:p>
        </w:tc>
        <w:tc>
          <w:tcPr>
            <w:tcW w:w="56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2019</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649,862</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2,048,100</w:t>
            </w:r>
          </w:p>
        </w:tc>
        <w:tc>
          <w:tcPr>
            <w:tcW w:w="92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460,911</w:t>
            </w:r>
          </w:p>
        </w:tc>
        <w:tc>
          <w:tcPr>
            <w:tcW w:w="1300" w:type="dxa"/>
            <w:vAlign w:val="bottom"/>
            <w:vMerge w:val="restart"/>
            <w:shd w:val="clear" w:color="auto" w:fill="EBE6F0"/>
          </w:tcPr>
          <w:p>
            <w:pPr>
              <w:jc w:val="right"/>
              <w:ind w:right="35"/>
              <w:spacing w:after="0"/>
              <w:rPr>
                <w:sz w:val="20"/>
                <w:szCs w:val="20"/>
                <w:color w:val="auto"/>
              </w:rPr>
            </w:pPr>
            <w:r>
              <w:rPr>
                <w:rFonts w:ascii="Arial" w:cs="Arial" w:eastAsia="Arial" w:hAnsi="Arial"/>
                <w:sz w:val="18"/>
                <w:szCs w:val="18"/>
                <w:color w:val="auto"/>
              </w:rPr>
              <w:t>998,893</w:t>
            </w:r>
          </w:p>
        </w:tc>
        <w:tc>
          <w:tcPr>
            <w:tcW w:w="9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632,773</w:t>
            </w:r>
          </w:p>
        </w:tc>
        <w:tc>
          <w:tcPr>
            <w:tcW w:w="1240" w:type="dxa"/>
            <w:vAlign w:val="bottom"/>
            <w:vMerge w:val="restart"/>
            <w:shd w:val="clear" w:color="auto" w:fill="EBE6F0"/>
          </w:tcPr>
          <w:p>
            <w:pPr>
              <w:jc w:val="right"/>
              <w:spacing w:after="0"/>
              <w:rPr>
                <w:sz w:val="20"/>
                <w:szCs w:val="20"/>
                <w:color w:val="auto"/>
              </w:rPr>
            </w:pPr>
            <w:r>
              <w:rPr>
                <w:rFonts w:ascii="Arial" w:cs="Arial" w:eastAsia="Arial" w:hAnsi="Arial"/>
                <w:sz w:val="18"/>
                <w:szCs w:val="18"/>
                <w:color w:val="auto"/>
              </w:rPr>
              <w:t>4,790,539</w:t>
            </w:r>
          </w:p>
        </w:tc>
        <w:tc>
          <w:tcPr>
            <w:tcW w:w="0" w:type="dxa"/>
            <w:vAlign w:val="bottom"/>
          </w:tcPr>
          <w:p>
            <w:pPr>
              <w:spacing w:after="0"/>
              <w:rPr>
                <w:sz w:val="1"/>
                <w:szCs w:val="1"/>
                <w:color w:val="auto"/>
              </w:rPr>
            </w:pPr>
          </w:p>
        </w:tc>
      </w:tr>
      <w:tr>
        <w:trPr>
          <w:trHeight w:val="141"/>
        </w:trPr>
        <w:tc>
          <w:tcPr>
            <w:tcW w:w="2280" w:type="dxa"/>
            <w:vAlign w:val="bottom"/>
            <w:tcBorders>
              <w:bottom w:val="single" w:sz="8" w:color="572C83"/>
            </w:tcBorders>
            <w:shd w:val="clear" w:color="auto" w:fill="EBE6F0"/>
          </w:tcPr>
          <w:p>
            <w:pPr>
              <w:spacing w:after="0"/>
              <w:rPr>
                <w:sz w:val="12"/>
                <w:szCs w:val="12"/>
                <w:color w:val="auto"/>
              </w:rPr>
            </w:pPr>
          </w:p>
        </w:tc>
        <w:tc>
          <w:tcPr>
            <w:tcW w:w="56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920" w:type="dxa"/>
            <w:vAlign w:val="bottom"/>
            <w:tcBorders>
              <w:bottom w:val="single" w:sz="8" w:color="572C83"/>
            </w:tcBorders>
            <w:vMerge w:val="continue"/>
            <w:shd w:val="clear" w:color="auto" w:fill="EBE6F0"/>
          </w:tcPr>
          <w:p>
            <w:pPr>
              <w:spacing w:after="0"/>
              <w:rPr>
                <w:sz w:val="12"/>
                <w:szCs w:val="12"/>
                <w:color w:val="auto"/>
              </w:rPr>
            </w:pPr>
          </w:p>
        </w:tc>
        <w:tc>
          <w:tcPr>
            <w:tcW w:w="1300" w:type="dxa"/>
            <w:vAlign w:val="bottom"/>
            <w:tcBorders>
              <w:bottom w:val="single" w:sz="8" w:color="572C83"/>
            </w:tcBorders>
            <w:vMerge w:val="continue"/>
            <w:shd w:val="clear" w:color="auto" w:fill="EBE6F0"/>
          </w:tcPr>
          <w:p>
            <w:pPr>
              <w:spacing w:after="0"/>
              <w:rPr>
                <w:sz w:val="12"/>
                <w:szCs w:val="12"/>
                <w:color w:val="auto"/>
              </w:rPr>
            </w:pPr>
          </w:p>
        </w:tc>
        <w:tc>
          <w:tcPr>
            <w:tcW w:w="940" w:type="dxa"/>
            <w:vAlign w:val="bottom"/>
            <w:tcBorders>
              <w:bottom w:val="single" w:sz="8" w:color="572C83"/>
            </w:tcBorders>
            <w:vMerge w:val="continue"/>
            <w:shd w:val="clear" w:color="auto" w:fill="EBE6F0"/>
          </w:tcPr>
          <w:p>
            <w:pPr>
              <w:spacing w:after="0"/>
              <w:rPr>
                <w:sz w:val="12"/>
                <w:szCs w:val="12"/>
                <w:color w:val="auto"/>
              </w:rPr>
            </w:pPr>
          </w:p>
        </w:tc>
        <w:tc>
          <w:tcPr>
            <w:tcW w:w="1400" w:type="dxa"/>
            <w:vAlign w:val="bottom"/>
            <w:tcBorders>
              <w:bottom w:val="single" w:sz="8" w:color="572C83"/>
            </w:tcBorders>
            <w:vMerge w:val="continue"/>
            <w:shd w:val="clear" w:color="auto" w:fill="EBE6F0"/>
          </w:tcPr>
          <w:p>
            <w:pPr>
              <w:spacing w:after="0"/>
              <w:rPr>
                <w:sz w:val="12"/>
                <w:szCs w:val="12"/>
                <w:color w:val="auto"/>
              </w:rPr>
            </w:pPr>
          </w:p>
        </w:tc>
        <w:tc>
          <w:tcPr>
            <w:tcW w:w="1240" w:type="dxa"/>
            <w:vAlign w:val="bottom"/>
            <w:tcBorders>
              <w:bottom w:val="single" w:sz="8" w:color="572C83"/>
            </w:tcBorders>
            <w:vMerge w:val="continue"/>
            <w:shd w:val="clear" w:color="auto" w:fill="EBE6F0"/>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Gruber, Vinzenz</w:t>
            </w: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940" w:type="dxa"/>
            <w:vAlign w:val="bottom"/>
          </w:tcPr>
          <w:p>
            <w:pPr>
              <w:jc w:val="right"/>
              <w:spacing w:after="0"/>
              <w:rPr>
                <w:sz w:val="20"/>
                <w:szCs w:val="20"/>
                <w:color w:val="auto"/>
              </w:rPr>
            </w:pPr>
            <w:r>
              <w:rPr>
                <w:rFonts w:ascii="Arial" w:cs="Arial" w:eastAsia="Arial" w:hAnsi="Arial"/>
                <w:sz w:val="18"/>
                <w:szCs w:val="18"/>
                <w:color w:val="auto"/>
              </w:rPr>
              <w:t>776,559</w:t>
            </w:r>
          </w:p>
        </w:tc>
        <w:tc>
          <w:tcPr>
            <w:tcW w:w="940" w:type="dxa"/>
            <w:vAlign w:val="bottom"/>
          </w:tcPr>
          <w:p>
            <w:pPr>
              <w:jc w:val="right"/>
              <w:spacing w:after="0"/>
              <w:rPr>
                <w:sz w:val="20"/>
                <w:szCs w:val="20"/>
                <w:color w:val="auto"/>
              </w:rPr>
            </w:pPr>
            <w:r>
              <w:rPr>
                <w:rFonts w:ascii="Arial" w:cs="Arial" w:eastAsia="Arial" w:hAnsi="Arial"/>
                <w:sz w:val="18"/>
                <w:szCs w:val="18"/>
                <w:color w:val="auto"/>
              </w:rPr>
              <w:t>1,903,355</w:t>
            </w:r>
          </w:p>
        </w:tc>
        <w:tc>
          <w:tcPr>
            <w:tcW w:w="920" w:type="dxa"/>
            <w:vAlign w:val="bottom"/>
          </w:tcPr>
          <w:p>
            <w:pPr>
              <w:jc w:val="right"/>
              <w:spacing w:after="0"/>
              <w:rPr>
                <w:sz w:val="20"/>
                <w:szCs w:val="20"/>
                <w:color w:val="auto"/>
              </w:rPr>
            </w:pPr>
            <w:r>
              <w:rPr>
                <w:rFonts w:ascii="Arial" w:cs="Arial" w:eastAsia="Arial" w:hAnsi="Arial"/>
                <w:sz w:val="18"/>
                <w:szCs w:val="18"/>
                <w:color w:val="auto"/>
              </w:rPr>
              <w:t>484,257</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691,914</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jc w:val="right"/>
              <w:spacing w:after="0"/>
              <w:rPr>
                <w:sz w:val="20"/>
                <w:szCs w:val="20"/>
                <w:color w:val="auto"/>
              </w:rPr>
            </w:pPr>
            <w:r>
              <w:rPr>
                <w:rFonts w:ascii="Arial" w:cs="Arial" w:eastAsia="Arial" w:hAnsi="Arial"/>
                <w:sz w:val="18"/>
                <w:szCs w:val="18"/>
                <w:color w:val="auto"/>
              </w:rPr>
              <w:t>17,564</w:t>
            </w:r>
          </w:p>
        </w:tc>
        <w:tc>
          <w:tcPr>
            <w:tcW w:w="1240" w:type="dxa"/>
            <w:vAlign w:val="bottom"/>
          </w:tcPr>
          <w:p>
            <w:pPr>
              <w:jc w:val="right"/>
              <w:spacing w:after="0"/>
              <w:rPr>
                <w:sz w:val="20"/>
                <w:szCs w:val="20"/>
                <w:color w:val="auto"/>
              </w:rPr>
            </w:pPr>
            <w:r>
              <w:rPr>
                <w:rFonts w:ascii="Arial" w:cs="Arial" w:eastAsia="Arial" w:hAnsi="Arial"/>
                <w:sz w:val="18"/>
                <w:szCs w:val="18"/>
                <w:color w:val="auto"/>
              </w:rPr>
              <w:t>3,873,649</w:t>
            </w:r>
          </w:p>
        </w:tc>
        <w:tc>
          <w:tcPr>
            <w:tcW w:w="0" w:type="dxa"/>
            <w:vAlign w:val="bottom"/>
          </w:tcPr>
          <w:p>
            <w:pPr>
              <w:spacing w:after="0"/>
              <w:rPr>
                <w:sz w:val="1"/>
                <w:szCs w:val="1"/>
                <w:color w:val="auto"/>
              </w:rPr>
            </w:pPr>
          </w:p>
        </w:tc>
      </w:tr>
      <w:tr>
        <w:trPr>
          <w:trHeight w:val="107"/>
        </w:trPr>
        <w:tc>
          <w:tcPr>
            <w:tcW w:w="22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560" w:type="dxa"/>
            <w:vAlign w:val="bottom"/>
            <w:tcBorders>
              <w:bottom w:val="single" w:sz="8" w:color="572C83"/>
            </w:tcBorders>
          </w:tcPr>
          <w:p>
            <w:pPr>
              <w:spacing w:after="0"/>
              <w:rPr>
                <w:sz w:val="9"/>
                <w:szCs w:val="9"/>
                <w:color w:val="auto"/>
              </w:rPr>
            </w:pPr>
          </w:p>
        </w:tc>
        <w:tc>
          <w:tcPr>
            <w:tcW w:w="940" w:type="dxa"/>
            <w:vAlign w:val="bottom"/>
            <w:tcBorders>
              <w:bottom w:val="single" w:sz="8" w:color="572C83"/>
            </w:tcBorders>
          </w:tcPr>
          <w:p>
            <w:pPr>
              <w:spacing w:after="0"/>
              <w:rPr>
                <w:sz w:val="9"/>
                <w:szCs w:val="9"/>
                <w:color w:val="auto"/>
              </w:rPr>
            </w:pPr>
          </w:p>
        </w:tc>
        <w:tc>
          <w:tcPr>
            <w:tcW w:w="940" w:type="dxa"/>
            <w:vAlign w:val="bottom"/>
            <w:tcBorders>
              <w:bottom w:val="single" w:sz="8" w:color="572C83"/>
            </w:tcBorders>
          </w:tcPr>
          <w:p>
            <w:pPr>
              <w:spacing w:after="0"/>
              <w:rPr>
                <w:sz w:val="9"/>
                <w:szCs w:val="9"/>
                <w:color w:val="auto"/>
              </w:rPr>
            </w:pPr>
          </w:p>
        </w:tc>
        <w:tc>
          <w:tcPr>
            <w:tcW w:w="920" w:type="dxa"/>
            <w:vAlign w:val="bottom"/>
            <w:tcBorders>
              <w:bottom w:val="single" w:sz="8" w:color="572C83"/>
            </w:tcBorders>
          </w:tcPr>
          <w:p>
            <w:pPr>
              <w:spacing w:after="0"/>
              <w:rPr>
                <w:sz w:val="9"/>
                <w:szCs w:val="9"/>
                <w:color w:val="auto"/>
              </w:rPr>
            </w:pPr>
          </w:p>
        </w:tc>
        <w:tc>
          <w:tcPr>
            <w:tcW w:w="1300" w:type="dxa"/>
            <w:vAlign w:val="bottom"/>
            <w:tcBorders>
              <w:bottom w:val="single" w:sz="8" w:color="572C83"/>
            </w:tcBorders>
          </w:tcPr>
          <w:p>
            <w:pPr>
              <w:spacing w:after="0"/>
              <w:rPr>
                <w:sz w:val="9"/>
                <w:szCs w:val="9"/>
                <w:color w:val="auto"/>
              </w:rPr>
            </w:pPr>
          </w:p>
        </w:tc>
        <w:tc>
          <w:tcPr>
            <w:tcW w:w="940" w:type="dxa"/>
            <w:vAlign w:val="bottom"/>
            <w:tcBorders>
              <w:bottom w:val="single" w:sz="8" w:color="572C83"/>
            </w:tcBorders>
          </w:tcPr>
          <w:p>
            <w:pPr>
              <w:spacing w:after="0"/>
              <w:rPr>
                <w:sz w:val="9"/>
                <w:szCs w:val="9"/>
                <w:color w:val="auto"/>
              </w:rPr>
            </w:pPr>
          </w:p>
        </w:tc>
        <w:tc>
          <w:tcPr>
            <w:tcW w:w="1400" w:type="dxa"/>
            <w:vAlign w:val="bottom"/>
            <w:tcBorders>
              <w:bottom w:val="single" w:sz="8" w:color="572C83"/>
            </w:tcBorders>
          </w:tcPr>
          <w:p>
            <w:pPr>
              <w:spacing w:after="0"/>
              <w:rPr>
                <w:sz w:val="9"/>
                <w:szCs w:val="9"/>
                <w:color w:val="auto"/>
              </w:rPr>
            </w:pPr>
          </w:p>
        </w:tc>
        <w:tc>
          <w:tcPr>
            <w:tcW w:w="1240" w:type="dxa"/>
            <w:vAlign w:val="bottom"/>
            <w:tcBorders>
              <w:bottom w:val="single" w:sz="8" w:color="572C83"/>
            </w:tcBorders>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280" w:type="dxa"/>
            <w:vAlign w:val="bottom"/>
            <w:vMerge w:val="continue"/>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794,879</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1,839,949</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404,314</w:t>
            </w:r>
          </w:p>
        </w:tc>
        <w:tc>
          <w:tcPr>
            <w:tcW w:w="1300" w:type="dxa"/>
            <w:vAlign w:val="bottom"/>
            <w:vMerge w:val="restart"/>
          </w:tcPr>
          <w:p>
            <w:pPr>
              <w:jc w:val="right"/>
              <w:ind w:right="35"/>
              <w:spacing w:after="0"/>
              <w:rPr>
                <w:sz w:val="20"/>
                <w:szCs w:val="20"/>
                <w:color w:val="auto"/>
              </w:rPr>
            </w:pPr>
            <w:r>
              <w:rPr>
                <w:rFonts w:ascii="Arial" w:cs="Arial" w:eastAsia="Arial" w:hAnsi="Arial"/>
                <w:sz w:val="18"/>
                <w:szCs w:val="18"/>
                <w:color w:val="auto"/>
              </w:rPr>
              <w:t>946,149</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1,687,667</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18,972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5,691,930</w:t>
            </w:r>
          </w:p>
        </w:tc>
        <w:tc>
          <w:tcPr>
            <w:tcW w:w="0" w:type="dxa"/>
            <w:vAlign w:val="bottom"/>
          </w:tcPr>
          <w:p>
            <w:pPr>
              <w:spacing w:after="0"/>
              <w:rPr>
                <w:sz w:val="1"/>
                <w:szCs w:val="1"/>
                <w:color w:val="auto"/>
              </w:rPr>
            </w:pPr>
          </w:p>
        </w:tc>
      </w:tr>
      <w:tr>
        <w:trPr>
          <w:trHeight w:val="163"/>
        </w:trPr>
        <w:tc>
          <w:tcPr>
            <w:tcW w:w="2280" w:type="dxa"/>
            <w:vAlign w:val="bottom"/>
            <w:vMerge w:val="restart"/>
          </w:tcPr>
          <w:p>
            <w:pPr>
              <w:ind w:left="160"/>
              <w:spacing w:after="0"/>
              <w:rPr>
                <w:sz w:val="20"/>
                <w:szCs w:val="20"/>
                <w:color w:val="auto"/>
              </w:rPr>
            </w:pPr>
            <w:r>
              <w:rPr>
                <w:rFonts w:ascii="Arial" w:cs="Arial" w:eastAsia="Arial" w:hAnsi="Arial"/>
                <w:sz w:val="18"/>
                <w:szCs w:val="18"/>
                <w:color w:val="auto"/>
              </w:rPr>
              <w:t>and President, Europe</w:t>
            </w:r>
          </w:p>
        </w:tc>
        <w:tc>
          <w:tcPr>
            <w:tcW w:w="5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280" w:type="dxa"/>
            <w:vAlign w:val="bottom"/>
            <w:tcBorders>
              <w:bottom w:val="single" w:sz="8" w:color="572C83"/>
            </w:tcBorders>
            <w:vMerge w:val="continue"/>
          </w:tcPr>
          <w:p>
            <w:pPr>
              <w:spacing w:after="0"/>
              <w:rPr>
                <w:sz w:val="6"/>
                <w:szCs w:val="6"/>
                <w:color w:val="auto"/>
              </w:rPr>
            </w:pPr>
          </w:p>
        </w:tc>
        <w:tc>
          <w:tcPr>
            <w:tcW w:w="560" w:type="dxa"/>
            <w:vAlign w:val="bottom"/>
            <w:tcBorders>
              <w:bottom w:val="single" w:sz="8" w:color="572C83"/>
            </w:tcBorders>
          </w:tcPr>
          <w:p>
            <w:pPr>
              <w:spacing w:after="0"/>
              <w:rPr>
                <w:sz w:val="6"/>
                <w:szCs w:val="6"/>
                <w:color w:val="auto"/>
              </w:rPr>
            </w:pPr>
          </w:p>
        </w:tc>
        <w:tc>
          <w:tcPr>
            <w:tcW w:w="940" w:type="dxa"/>
            <w:vAlign w:val="bottom"/>
            <w:tcBorders>
              <w:bottom w:val="single" w:sz="8" w:color="572C83"/>
            </w:tcBorders>
          </w:tcPr>
          <w:p>
            <w:pPr>
              <w:spacing w:after="0"/>
              <w:rPr>
                <w:sz w:val="6"/>
                <w:szCs w:val="6"/>
                <w:color w:val="auto"/>
              </w:rPr>
            </w:pPr>
          </w:p>
        </w:tc>
        <w:tc>
          <w:tcPr>
            <w:tcW w:w="940" w:type="dxa"/>
            <w:vAlign w:val="bottom"/>
            <w:tcBorders>
              <w:bottom w:val="single" w:sz="8" w:color="572C83"/>
            </w:tcBorders>
          </w:tcPr>
          <w:p>
            <w:pPr>
              <w:spacing w:after="0"/>
              <w:rPr>
                <w:sz w:val="6"/>
                <w:szCs w:val="6"/>
                <w:color w:val="auto"/>
              </w:rPr>
            </w:pPr>
          </w:p>
        </w:tc>
        <w:tc>
          <w:tcPr>
            <w:tcW w:w="920" w:type="dxa"/>
            <w:vAlign w:val="bottom"/>
            <w:tcBorders>
              <w:bottom w:val="single" w:sz="8" w:color="572C83"/>
            </w:tcBorders>
          </w:tcPr>
          <w:p>
            <w:pPr>
              <w:spacing w:after="0"/>
              <w:rPr>
                <w:sz w:val="6"/>
                <w:szCs w:val="6"/>
                <w:color w:val="auto"/>
              </w:rPr>
            </w:pPr>
          </w:p>
        </w:tc>
        <w:tc>
          <w:tcPr>
            <w:tcW w:w="1300" w:type="dxa"/>
            <w:vAlign w:val="bottom"/>
            <w:tcBorders>
              <w:bottom w:val="single" w:sz="8" w:color="572C83"/>
            </w:tcBorders>
          </w:tcPr>
          <w:p>
            <w:pPr>
              <w:spacing w:after="0"/>
              <w:rPr>
                <w:sz w:val="6"/>
                <w:szCs w:val="6"/>
                <w:color w:val="auto"/>
              </w:rPr>
            </w:pPr>
          </w:p>
        </w:tc>
        <w:tc>
          <w:tcPr>
            <w:tcW w:w="940" w:type="dxa"/>
            <w:vAlign w:val="bottom"/>
            <w:tcBorders>
              <w:bottom w:val="single" w:sz="8" w:color="572C83"/>
            </w:tcBorders>
          </w:tcPr>
          <w:p>
            <w:pPr>
              <w:spacing w:after="0"/>
              <w:rPr>
                <w:sz w:val="6"/>
                <w:szCs w:val="6"/>
                <w:color w:val="auto"/>
              </w:rPr>
            </w:pPr>
          </w:p>
        </w:tc>
        <w:tc>
          <w:tcPr>
            <w:tcW w:w="1400" w:type="dxa"/>
            <w:vAlign w:val="bottom"/>
            <w:tcBorders>
              <w:bottom w:val="single" w:sz="8" w:color="572C83"/>
            </w:tcBorders>
          </w:tcPr>
          <w:p>
            <w:pPr>
              <w:spacing w:after="0"/>
              <w:rPr>
                <w:sz w:val="6"/>
                <w:szCs w:val="6"/>
                <w:color w:val="auto"/>
              </w:rPr>
            </w:pPr>
          </w:p>
        </w:tc>
        <w:tc>
          <w:tcPr>
            <w:tcW w:w="1240" w:type="dxa"/>
            <w:vAlign w:val="bottom"/>
            <w:tcBorders>
              <w:bottom w:val="single" w:sz="8" w:color="572C83"/>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BE6F0"/>
          </w:tcPr>
          <w:p>
            <w:pPr>
              <w:ind w:left="80"/>
              <w:spacing w:after="0"/>
              <w:rPr>
                <w:sz w:val="20"/>
                <w:szCs w:val="20"/>
                <w:color w:val="auto"/>
              </w:rPr>
            </w:pPr>
            <w:r>
              <w:rPr>
                <w:rFonts w:ascii="Arial" w:cs="Arial" w:eastAsia="Arial" w:hAnsi="Arial"/>
                <w:sz w:val="18"/>
                <w:szCs w:val="18"/>
                <w:b w:val="1"/>
                <w:bCs w:val="1"/>
                <w:color w:val="auto"/>
              </w:rPr>
              <w:t>Stein, Laura</w:t>
            </w:r>
          </w:p>
        </w:tc>
        <w:tc>
          <w:tcPr>
            <w:tcW w:w="560" w:type="dxa"/>
            <w:vAlign w:val="bottom"/>
            <w:shd w:val="clear" w:color="auto" w:fill="EBE6F0"/>
          </w:tcPr>
          <w:p>
            <w:pPr>
              <w:jc w:val="right"/>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EBE6F0"/>
          </w:tcPr>
          <w:p>
            <w:pPr>
              <w:jc w:val="right"/>
              <w:spacing w:after="0"/>
              <w:rPr>
                <w:sz w:val="20"/>
                <w:szCs w:val="20"/>
                <w:color w:val="auto"/>
              </w:rPr>
            </w:pPr>
            <w:r>
              <w:rPr>
                <w:rFonts w:ascii="Arial" w:cs="Arial" w:eastAsia="Arial" w:hAnsi="Arial"/>
                <w:sz w:val="18"/>
                <w:szCs w:val="18"/>
                <w:color w:val="auto"/>
              </w:rPr>
              <w:t>705,136</w:t>
            </w:r>
          </w:p>
        </w:tc>
        <w:tc>
          <w:tcPr>
            <w:tcW w:w="940" w:type="dxa"/>
            <w:vAlign w:val="bottom"/>
            <w:shd w:val="clear" w:color="auto" w:fill="EBE6F0"/>
          </w:tcPr>
          <w:p>
            <w:pPr>
              <w:jc w:val="right"/>
              <w:spacing w:after="0"/>
              <w:rPr>
                <w:sz w:val="20"/>
                <w:szCs w:val="20"/>
                <w:color w:val="auto"/>
              </w:rPr>
            </w:pPr>
            <w:r>
              <w:rPr>
                <w:rFonts w:ascii="Arial" w:cs="Arial" w:eastAsia="Arial" w:hAnsi="Arial"/>
                <w:sz w:val="18"/>
                <w:szCs w:val="18"/>
                <w:color w:val="auto"/>
              </w:rPr>
              <w:t>3,472,896</w:t>
            </w:r>
          </w:p>
        </w:tc>
        <w:tc>
          <w:tcPr>
            <w:tcW w:w="920" w:type="dxa"/>
            <w:vAlign w:val="bottom"/>
            <w:shd w:val="clear" w:color="auto" w:fill="EBE6F0"/>
          </w:tcPr>
          <w:p>
            <w:pPr>
              <w:jc w:val="right"/>
              <w:spacing w:after="0"/>
              <w:rPr>
                <w:sz w:val="20"/>
                <w:szCs w:val="20"/>
                <w:color w:val="auto"/>
              </w:rPr>
            </w:pPr>
            <w:r>
              <w:rPr>
                <w:rFonts w:ascii="Arial" w:cs="Arial" w:eastAsia="Arial" w:hAnsi="Arial"/>
                <w:sz w:val="18"/>
                <w:szCs w:val="18"/>
                <w:color w:val="auto"/>
              </w:rPr>
              <w:t>810,233</w:t>
            </w:r>
          </w:p>
        </w:tc>
        <w:tc>
          <w:tcPr>
            <w:tcW w:w="1300" w:type="dxa"/>
            <w:vAlign w:val="bottom"/>
            <w:shd w:val="clear" w:color="auto" w:fill="EBE6F0"/>
          </w:tcPr>
          <w:p>
            <w:pPr>
              <w:jc w:val="right"/>
              <w:ind w:right="35"/>
              <w:spacing w:after="0"/>
              <w:rPr>
                <w:sz w:val="20"/>
                <w:szCs w:val="20"/>
                <w:color w:val="auto"/>
              </w:rPr>
            </w:pPr>
            <w:r>
              <w:rPr>
                <w:rFonts w:ascii="Arial" w:cs="Arial" w:eastAsia="Arial" w:hAnsi="Arial"/>
                <w:sz w:val="18"/>
                <w:szCs w:val="18"/>
                <w:color w:val="auto"/>
              </w:rPr>
              <w:t>513,340</w:t>
            </w:r>
          </w:p>
        </w:tc>
        <w:tc>
          <w:tcPr>
            <w:tcW w:w="940" w:type="dxa"/>
            <w:vAlign w:val="bottom"/>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BE6F0"/>
          </w:tcPr>
          <w:p>
            <w:pPr>
              <w:jc w:val="right"/>
              <w:spacing w:after="0"/>
              <w:rPr>
                <w:sz w:val="20"/>
                <w:szCs w:val="20"/>
                <w:color w:val="auto"/>
              </w:rPr>
            </w:pPr>
            <w:r>
              <w:rPr>
                <w:rFonts w:ascii="Arial" w:cs="Arial" w:eastAsia="Arial" w:hAnsi="Arial"/>
                <w:sz w:val="18"/>
                <w:szCs w:val="18"/>
                <w:color w:val="auto"/>
              </w:rPr>
              <w:t>87,826</w:t>
            </w:r>
          </w:p>
        </w:tc>
        <w:tc>
          <w:tcPr>
            <w:tcW w:w="1240" w:type="dxa"/>
            <w:vAlign w:val="bottom"/>
            <w:shd w:val="clear" w:color="auto" w:fill="EBE6F0"/>
          </w:tcPr>
          <w:p>
            <w:pPr>
              <w:jc w:val="right"/>
              <w:spacing w:after="0"/>
              <w:rPr>
                <w:sz w:val="20"/>
                <w:szCs w:val="20"/>
                <w:color w:val="auto"/>
              </w:rPr>
            </w:pPr>
            <w:r>
              <w:rPr>
                <w:rFonts w:ascii="Arial" w:cs="Arial" w:eastAsia="Arial" w:hAnsi="Arial"/>
                <w:sz w:val="18"/>
                <w:szCs w:val="18"/>
                <w:color w:val="auto"/>
              </w:rPr>
              <w:t>5,589,431</w:t>
            </w:r>
          </w:p>
        </w:tc>
        <w:tc>
          <w:tcPr>
            <w:tcW w:w="0" w:type="dxa"/>
            <w:vAlign w:val="bottom"/>
          </w:tcPr>
          <w:p>
            <w:pPr>
              <w:spacing w:after="0"/>
              <w:rPr>
                <w:sz w:val="1"/>
                <w:szCs w:val="1"/>
                <w:color w:val="auto"/>
              </w:rPr>
            </w:pPr>
          </w:p>
        </w:tc>
      </w:tr>
      <w:tr>
        <w:trPr>
          <w:trHeight w:val="203"/>
        </w:trPr>
        <w:tc>
          <w:tcPr>
            <w:tcW w:w="2280" w:type="dxa"/>
            <w:vAlign w:val="bottom"/>
            <w:shd w:val="clear" w:color="auto" w:fill="EBE6F0"/>
          </w:tcPr>
          <w:p>
            <w:pPr>
              <w:ind w:left="160"/>
              <w:spacing w:after="0" w:line="202" w:lineRule="exact"/>
              <w:rPr>
                <w:sz w:val="20"/>
                <w:szCs w:val="20"/>
                <w:color w:val="auto"/>
              </w:rPr>
            </w:pPr>
            <w:r>
              <w:rPr>
                <w:rFonts w:ascii="Arial" w:cs="Arial" w:eastAsia="Arial" w:hAnsi="Arial"/>
                <w:sz w:val="18"/>
                <w:szCs w:val="18"/>
                <w:color w:val="auto"/>
              </w:rPr>
              <w:t>Executive Vice President,</w:t>
            </w:r>
          </w:p>
        </w:tc>
        <w:tc>
          <w:tcPr>
            <w:tcW w:w="56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920" w:type="dxa"/>
            <w:vAlign w:val="bottom"/>
            <w:shd w:val="clear" w:color="auto" w:fill="EBE6F0"/>
          </w:tcPr>
          <w:p>
            <w:pPr>
              <w:spacing w:after="0"/>
              <w:rPr>
                <w:sz w:val="17"/>
                <w:szCs w:val="17"/>
                <w:color w:val="auto"/>
              </w:rPr>
            </w:pPr>
          </w:p>
        </w:tc>
        <w:tc>
          <w:tcPr>
            <w:tcW w:w="130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1400" w:type="dxa"/>
            <w:vAlign w:val="bottom"/>
            <w:shd w:val="clear" w:color="auto" w:fill="EBE6F0"/>
          </w:tcPr>
          <w:p>
            <w:pPr>
              <w:spacing w:after="0"/>
              <w:rPr>
                <w:sz w:val="17"/>
                <w:szCs w:val="17"/>
                <w:color w:val="auto"/>
              </w:rPr>
            </w:pPr>
          </w:p>
        </w:tc>
        <w:tc>
          <w:tcPr>
            <w:tcW w:w="1240" w:type="dxa"/>
            <w:vAlign w:val="bottom"/>
            <w:shd w:val="clear" w:color="auto" w:fill="EBE6F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EBE6F0"/>
          </w:tcPr>
          <w:p>
            <w:pPr>
              <w:ind w:left="160"/>
              <w:spacing w:after="0" w:line="202" w:lineRule="exact"/>
              <w:rPr>
                <w:sz w:val="20"/>
                <w:szCs w:val="20"/>
                <w:color w:val="auto"/>
              </w:rPr>
            </w:pPr>
            <w:r>
              <w:rPr>
                <w:rFonts w:ascii="Arial" w:cs="Arial" w:eastAsia="Arial" w:hAnsi="Arial"/>
                <w:sz w:val="18"/>
                <w:szCs w:val="18"/>
                <w:color w:val="auto"/>
              </w:rPr>
              <w:t>Corporate &amp; Legal Affairs</w:t>
            </w:r>
          </w:p>
        </w:tc>
        <w:tc>
          <w:tcPr>
            <w:tcW w:w="56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920" w:type="dxa"/>
            <w:vAlign w:val="bottom"/>
            <w:shd w:val="clear" w:color="auto" w:fill="EBE6F0"/>
          </w:tcPr>
          <w:p>
            <w:pPr>
              <w:spacing w:after="0"/>
              <w:rPr>
                <w:sz w:val="17"/>
                <w:szCs w:val="17"/>
                <w:color w:val="auto"/>
              </w:rPr>
            </w:pPr>
          </w:p>
        </w:tc>
        <w:tc>
          <w:tcPr>
            <w:tcW w:w="1300" w:type="dxa"/>
            <w:vAlign w:val="bottom"/>
            <w:shd w:val="clear" w:color="auto" w:fill="EBE6F0"/>
          </w:tcPr>
          <w:p>
            <w:pPr>
              <w:spacing w:after="0"/>
              <w:rPr>
                <w:sz w:val="17"/>
                <w:szCs w:val="17"/>
                <w:color w:val="auto"/>
              </w:rPr>
            </w:pPr>
          </w:p>
        </w:tc>
        <w:tc>
          <w:tcPr>
            <w:tcW w:w="940" w:type="dxa"/>
            <w:vAlign w:val="bottom"/>
            <w:shd w:val="clear" w:color="auto" w:fill="EBE6F0"/>
          </w:tcPr>
          <w:p>
            <w:pPr>
              <w:spacing w:after="0"/>
              <w:rPr>
                <w:sz w:val="17"/>
                <w:szCs w:val="17"/>
                <w:color w:val="auto"/>
              </w:rPr>
            </w:pPr>
          </w:p>
        </w:tc>
        <w:tc>
          <w:tcPr>
            <w:tcW w:w="1400" w:type="dxa"/>
            <w:vAlign w:val="bottom"/>
            <w:shd w:val="clear" w:color="auto" w:fill="EBE6F0"/>
          </w:tcPr>
          <w:p>
            <w:pPr>
              <w:spacing w:after="0"/>
              <w:rPr>
                <w:sz w:val="17"/>
                <w:szCs w:val="17"/>
                <w:color w:val="auto"/>
              </w:rPr>
            </w:pPr>
          </w:p>
        </w:tc>
        <w:tc>
          <w:tcPr>
            <w:tcW w:w="1240" w:type="dxa"/>
            <w:vAlign w:val="bottom"/>
            <w:shd w:val="clear" w:color="auto" w:fill="EBE6F0"/>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80" w:type="dxa"/>
            <w:vAlign w:val="bottom"/>
            <w:tcBorders>
              <w:bottom w:val="single" w:sz="8" w:color="582C83"/>
            </w:tcBorders>
            <w:shd w:val="clear" w:color="auto" w:fill="EBE6F0"/>
          </w:tcPr>
          <w:p>
            <w:pPr>
              <w:ind w:left="160"/>
              <w:spacing w:after="0"/>
              <w:rPr>
                <w:sz w:val="20"/>
                <w:szCs w:val="20"/>
                <w:color w:val="auto"/>
              </w:rPr>
            </w:pPr>
            <w:r>
              <w:rPr>
                <w:rFonts w:ascii="Arial" w:cs="Arial" w:eastAsia="Arial" w:hAnsi="Arial"/>
                <w:sz w:val="18"/>
                <w:szCs w:val="18"/>
                <w:color w:val="auto"/>
              </w:rPr>
              <w:t>and General Counsel</w:t>
            </w:r>
          </w:p>
        </w:tc>
        <w:tc>
          <w:tcPr>
            <w:tcW w:w="560" w:type="dxa"/>
            <w:vAlign w:val="bottom"/>
            <w:tcBorders>
              <w:bottom w:val="single" w:sz="8" w:color="582C83"/>
            </w:tcBorders>
            <w:shd w:val="clear" w:color="auto" w:fill="EBE6F0"/>
          </w:tcPr>
          <w:p>
            <w:pPr>
              <w:spacing w:after="0"/>
              <w:rPr>
                <w:sz w:val="21"/>
                <w:szCs w:val="21"/>
                <w:color w:val="auto"/>
              </w:rPr>
            </w:pPr>
          </w:p>
        </w:tc>
        <w:tc>
          <w:tcPr>
            <w:tcW w:w="940" w:type="dxa"/>
            <w:vAlign w:val="bottom"/>
            <w:tcBorders>
              <w:bottom w:val="single" w:sz="8" w:color="582C83"/>
            </w:tcBorders>
            <w:shd w:val="clear" w:color="auto" w:fill="EBE6F0"/>
          </w:tcPr>
          <w:p>
            <w:pPr>
              <w:spacing w:after="0"/>
              <w:rPr>
                <w:sz w:val="21"/>
                <w:szCs w:val="21"/>
                <w:color w:val="auto"/>
              </w:rPr>
            </w:pPr>
          </w:p>
        </w:tc>
        <w:tc>
          <w:tcPr>
            <w:tcW w:w="940" w:type="dxa"/>
            <w:vAlign w:val="bottom"/>
            <w:tcBorders>
              <w:bottom w:val="single" w:sz="8" w:color="582C83"/>
            </w:tcBorders>
            <w:shd w:val="clear" w:color="auto" w:fill="EBE6F0"/>
          </w:tcPr>
          <w:p>
            <w:pPr>
              <w:spacing w:after="0"/>
              <w:rPr>
                <w:sz w:val="21"/>
                <w:szCs w:val="21"/>
                <w:color w:val="auto"/>
              </w:rPr>
            </w:pPr>
          </w:p>
        </w:tc>
        <w:tc>
          <w:tcPr>
            <w:tcW w:w="920" w:type="dxa"/>
            <w:vAlign w:val="bottom"/>
            <w:tcBorders>
              <w:bottom w:val="single" w:sz="8" w:color="582C83"/>
            </w:tcBorders>
            <w:shd w:val="clear" w:color="auto" w:fill="EBE6F0"/>
          </w:tcPr>
          <w:p>
            <w:pPr>
              <w:spacing w:after="0"/>
              <w:rPr>
                <w:sz w:val="21"/>
                <w:szCs w:val="21"/>
                <w:color w:val="auto"/>
              </w:rPr>
            </w:pPr>
          </w:p>
        </w:tc>
        <w:tc>
          <w:tcPr>
            <w:tcW w:w="1300" w:type="dxa"/>
            <w:vAlign w:val="bottom"/>
            <w:tcBorders>
              <w:bottom w:val="single" w:sz="8" w:color="582C83"/>
            </w:tcBorders>
            <w:shd w:val="clear" w:color="auto" w:fill="EBE6F0"/>
          </w:tcPr>
          <w:p>
            <w:pPr>
              <w:spacing w:after="0"/>
              <w:rPr>
                <w:sz w:val="21"/>
                <w:szCs w:val="21"/>
                <w:color w:val="auto"/>
              </w:rPr>
            </w:pPr>
          </w:p>
        </w:tc>
        <w:tc>
          <w:tcPr>
            <w:tcW w:w="940" w:type="dxa"/>
            <w:vAlign w:val="bottom"/>
            <w:tcBorders>
              <w:bottom w:val="single" w:sz="8" w:color="582C83"/>
            </w:tcBorders>
            <w:shd w:val="clear" w:color="auto" w:fill="EBE6F0"/>
          </w:tcPr>
          <w:p>
            <w:pPr>
              <w:spacing w:after="0"/>
              <w:rPr>
                <w:sz w:val="21"/>
                <w:szCs w:val="21"/>
                <w:color w:val="auto"/>
              </w:rPr>
            </w:pPr>
          </w:p>
        </w:tc>
        <w:tc>
          <w:tcPr>
            <w:tcW w:w="1400" w:type="dxa"/>
            <w:vAlign w:val="bottom"/>
            <w:tcBorders>
              <w:bottom w:val="single" w:sz="8" w:color="582C83"/>
            </w:tcBorders>
            <w:shd w:val="clear" w:color="auto" w:fill="EBE6F0"/>
          </w:tcPr>
          <w:p>
            <w:pPr>
              <w:spacing w:after="0"/>
              <w:rPr>
                <w:sz w:val="21"/>
                <w:szCs w:val="21"/>
                <w:color w:val="auto"/>
              </w:rPr>
            </w:pPr>
          </w:p>
        </w:tc>
        <w:tc>
          <w:tcPr>
            <w:tcW w:w="1240" w:type="dxa"/>
            <w:vAlign w:val="bottom"/>
            <w:tcBorders>
              <w:bottom w:val="single" w:sz="8" w:color="582C83"/>
            </w:tcBorders>
            <w:shd w:val="clear" w:color="auto" w:fill="EBE6F0"/>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00" w:right="500" w:hanging="360"/>
        <w:spacing w:after="0" w:line="259"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Brusadelli is an employee of Mondelēz Italia Services and is currently on international assignment in Singapore. The amounts reported in this table that were paid in Euros and Singapore dollars have been converted to U.S. dollars using the applicable conversion rate on December 31 (each such conversion rate, the “Applicable Exchange Rate”). Mr. Gruber is a local employee of Mondelēz Europe GmbH. The amounts reported in this table that were paid in Swiss francs have been converted to U.S. dollars using the Applicable Exchange Rate.</w:t>
      </w:r>
    </w:p>
    <w:p>
      <w:pPr>
        <w:spacing w:after="0" w:line="15" w:lineRule="exact"/>
        <w:rPr>
          <w:rFonts w:ascii="Arial" w:cs="Arial" w:eastAsia="Arial" w:hAnsi="Arial"/>
          <w:sz w:val="16"/>
          <w:szCs w:val="16"/>
          <w:color w:val="auto"/>
        </w:rPr>
      </w:pPr>
    </w:p>
    <w:p>
      <w:pPr>
        <w:ind w:left="800" w:right="520" w:hanging="360"/>
        <w:spacing w:after="0" w:line="256" w:lineRule="auto"/>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grants of PSUs and time-based awards for Ms. Stein. The amounts shown represent the full grant date fair value of the stock grants made in each year as computed in accordance with FASB ASC Topic 718. Assumptions used in the calculation of these amounts are included in Note 12 to the consolidated financial statements contained in our 2021 Form 10-K. The amounts are based on the probable outcome of the performance conditions as of the grant date. On the following page is the breakout of the applicable 2021-2023, 2020-2022 and 2019-2021 PSU grants for each NEO assuming maximum performance.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Value at Maximum</w:t>
            </w:r>
          </w:p>
        </w:tc>
        <w:tc>
          <w:tcPr>
            <w:tcW w:w="320" w:type="dxa"/>
            <w:vAlign w:val="bottom"/>
          </w:tcPr>
          <w:p>
            <w:pPr>
              <w:spacing w:after="0"/>
              <w:rPr>
                <w:sz w:val="16"/>
                <w:szCs w:val="16"/>
                <w:color w:val="auto"/>
              </w:rPr>
            </w:pPr>
          </w:p>
        </w:tc>
      </w:tr>
      <w:tr>
        <w:trPr>
          <w:trHeight w:val="251"/>
        </w:trPr>
        <w:tc>
          <w:tcPr>
            <w:tcW w:w="840" w:type="dxa"/>
            <w:vAlign w:val="bottom"/>
          </w:tcPr>
          <w:p>
            <w:pPr>
              <w:spacing w:after="0"/>
              <w:rPr>
                <w:sz w:val="21"/>
                <w:szCs w:val="21"/>
                <w:color w:val="auto"/>
              </w:rPr>
            </w:pPr>
          </w:p>
        </w:tc>
        <w:tc>
          <w:tcPr>
            <w:tcW w:w="626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18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Performance Cycle</w:t>
            </w:r>
          </w:p>
        </w:tc>
        <w:tc>
          <w:tcPr>
            <w:tcW w:w="20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Performance ($)</w:t>
            </w:r>
          </w:p>
        </w:tc>
        <w:tc>
          <w:tcPr>
            <w:tcW w:w="320" w:type="dxa"/>
            <w:vAlign w:val="bottom"/>
          </w:tcPr>
          <w:p>
            <w:pPr>
              <w:spacing w:after="0"/>
              <w:rPr>
                <w:sz w:val="21"/>
                <w:szCs w:val="21"/>
                <w:color w:val="auto"/>
              </w:rPr>
            </w:pPr>
          </w:p>
        </w:tc>
      </w:tr>
      <w:tr>
        <w:trPr>
          <w:trHeight w:val="302"/>
        </w:trPr>
        <w:tc>
          <w:tcPr>
            <w:tcW w:w="840" w:type="dxa"/>
            <w:vAlign w:val="bottom"/>
          </w:tcPr>
          <w:p>
            <w:pPr>
              <w:spacing w:after="0"/>
              <w:rPr>
                <w:sz w:val="24"/>
                <w:szCs w:val="24"/>
                <w:color w:val="auto"/>
              </w:rPr>
            </w:pPr>
          </w:p>
        </w:tc>
        <w:tc>
          <w:tcPr>
            <w:tcW w:w="62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b w:val="1"/>
                <w:bCs w:val="1"/>
                <w:color w:val="auto"/>
              </w:rPr>
              <w:t>Van de Put, Dirk</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2021 - 2023</w:t>
            </w:r>
          </w:p>
        </w:tc>
        <w:tc>
          <w:tcPr>
            <w:tcW w:w="2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17,250,994</w:t>
            </w:r>
          </w:p>
        </w:tc>
        <w:tc>
          <w:tcPr>
            <w:tcW w:w="320" w:type="dxa"/>
            <w:vAlign w:val="bottom"/>
          </w:tcPr>
          <w:p>
            <w:pPr>
              <w:spacing w:after="0"/>
              <w:rPr>
                <w:sz w:val="24"/>
                <w:szCs w:val="24"/>
                <w:color w:val="auto"/>
              </w:rPr>
            </w:pPr>
          </w:p>
        </w:tc>
      </w:tr>
      <w:tr>
        <w:trPr>
          <w:trHeight w:val="295"/>
        </w:trPr>
        <w:tc>
          <w:tcPr>
            <w:tcW w:w="840" w:type="dxa"/>
            <w:vAlign w:val="bottom"/>
          </w:tcPr>
          <w:p>
            <w:pPr>
              <w:spacing w:after="0"/>
              <w:rPr>
                <w:sz w:val="24"/>
                <w:szCs w:val="24"/>
                <w:color w:val="auto"/>
              </w:rPr>
            </w:pPr>
          </w:p>
        </w:tc>
        <w:tc>
          <w:tcPr>
            <w:tcW w:w="6260" w:type="dxa"/>
            <w:vAlign w:val="bottom"/>
            <w:tcBorders>
              <w:top w:val="single" w:sz="8" w:color="EBE6F0"/>
              <w:bottom w:val="single" w:sz="8" w:color="EBE6F0"/>
            </w:tcBorders>
            <w:shd w:val="clear" w:color="auto" w:fill="EBE6F0"/>
          </w:tcPr>
          <w:p>
            <w:pPr>
              <w:spacing w:after="0"/>
              <w:rPr>
                <w:sz w:val="24"/>
                <w:szCs w:val="24"/>
                <w:color w:val="auto"/>
              </w:rPr>
            </w:pPr>
          </w:p>
        </w:tc>
        <w:tc>
          <w:tcPr>
            <w:tcW w:w="182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2020 - 2022</w:t>
            </w:r>
          </w:p>
        </w:tc>
        <w:tc>
          <w:tcPr>
            <w:tcW w:w="2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16,500,499</w:t>
            </w:r>
          </w:p>
        </w:tc>
        <w:tc>
          <w:tcPr>
            <w:tcW w:w="320" w:type="dxa"/>
            <w:vAlign w:val="bottom"/>
          </w:tcPr>
          <w:p>
            <w:pPr>
              <w:spacing w:after="0"/>
              <w:rPr>
                <w:sz w:val="24"/>
                <w:szCs w:val="24"/>
                <w:color w:val="auto"/>
              </w:rPr>
            </w:pPr>
          </w:p>
        </w:tc>
      </w:tr>
      <w:tr>
        <w:trPr>
          <w:trHeight w:val="295"/>
        </w:trPr>
        <w:tc>
          <w:tcPr>
            <w:tcW w:w="840" w:type="dxa"/>
            <w:vAlign w:val="bottom"/>
          </w:tcPr>
          <w:p>
            <w:pPr>
              <w:spacing w:after="0"/>
              <w:rPr>
                <w:sz w:val="24"/>
                <w:szCs w:val="24"/>
                <w:color w:val="auto"/>
              </w:rPr>
            </w:pPr>
          </w:p>
        </w:tc>
        <w:tc>
          <w:tcPr>
            <w:tcW w:w="6260" w:type="dxa"/>
            <w:vAlign w:val="bottom"/>
            <w:tcBorders>
              <w:top w:val="single" w:sz="8" w:color="EBE6F0"/>
              <w:bottom w:val="single" w:sz="8" w:color="EBE6F0"/>
            </w:tcBorders>
            <w:shd w:val="clear" w:color="auto" w:fill="EBE6F0"/>
          </w:tcPr>
          <w:p>
            <w:pPr>
              <w:spacing w:after="0"/>
              <w:rPr>
                <w:sz w:val="24"/>
                <w:szCs w:val="24"/>
                <w:color w:val="auto"/>
              </w:rPr>
            </w:pPr>
          </w:p>
        </w:tc>
        <w:tc>
          <w:tcPr>
            <w:tcW w:w="182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2019 - 2021</w:t>
            </w:r>
          </w:p>
        </w:tc>
        <w:tc>
          <w:tcPr>
            <w:tcW w:w="2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15,675,066</w:t>
            </w:r>
          </w:p>
        </w:tc>
        <w:tc>
          <w:tcPr>
            <w:tcW w:w="320" w:type="dxa"/>
            <w:vAlign w:val="bottom"/>
          </w:tcPr>
          <w:p>
            <w:pPr>
              <w:spacing w:after="0"/>
              <w:rPr>
                <w:sz w:val="24"/>
                <w:szCs w:val="24"/>
                <w:color w:val="auto"/>
              </w:rPr>
            </w:pPr>
          </w:p>
        </w:tc>
      </w:tr>
      <w:tr>
        <w:trPr>
          <w:trHeight w:val="256"/>
        </w:trPr>
        <w:tc>
          <w:tcPr>
            <w:tcW w:w="840" w:type="dxa"/>
            <w:vAlign w:val="bottom"/>
          </w:tcPr>
          <w:p>
            <w:pPr>
              <w:spacing w:after="0"/>
              <w:rPr>
                <w:sz w:val="22"/>
                <w:szCs w:val="22"/>
                <w:color w:val="auto"/>
              </w:rPr>
            </w:pPr>
          </w:p>
        </w:tc>
        <w:tc>
          <w:tcPr>
            <w:tcW w:w="6260" w:type="dxa"/>
            <w:vAlign w:val="bottom"/>
            <w:tcBorders>
              <w:top w:val="single" w:sz="8" w:color="572C83"/>
            </w:tcBorders>
          </w:tcPr>
          <w:p>
            <w:pPr>
              <w:ind w:left="60"/>
              <w:spacing w:after="0"/>
              <w:rPr>
                <w:sz w:val="20"/>
                <w:szCs w:val="20"/>
                <w:color w:val="auto"/>
              </w:rPr>
            </w:pPr>
            <w:r>
              <w:rPr>
                <w:rFonts w:ascii="Arial" w:cs="Arial" w:eastAsia="Arial" w:hAnsi="Arial"/>
                <w:sz w:val="16"/>
                <w:szCs w:val="16"/>
                <w:b w:val="1"/>
                <w:bCs w:val="1"/>
                <w:color w:val="auto"/>
              </w:rPr>
              <w:t>Zaramella, Luca</w:t>
            </w:r>
          </w:p>
        </w:tc>
        <w:tc>
          <w:tcPr>
            <w:tcW w:w="18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2021 - 2023</w:t>
            </w:r>
          </w:p>
        </w:tc>
        <w:tc>
          <w:tcPr>
            <w:tcW w:w="20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4,950,666</w:t>
            </w:r>
          </w:p>
        </w:tc>
        <w:tc>
          <w:tcPr>
            <w:tcW w:w="320" w:type="dxa"/>
            <w:vAlign w:val="bottom"/>
          </w:tcPr>
          <w:p>
            <w:pPr>
              <w:spacing w:after="0"/>
              <w:rPr>
                <w:sz w:val="22"/>
                <w:szCs w:val="22"/>
                <w:color w:val="auto"/>
              </w:rPr>
            </w:pPr>
          </w:p>
        </w:tc>
      </w:tr>
      <w:tr>
        <w:trPr>
          <w:trHeight w:val="35"/>
        </w:trPr>
        <w:tc>
          <w:tcPr>
            <w:tcW w:w="840" w:type="dxa"/>
            <w:vAlign w:val="bottom"/>
          </w:tcPr>
          <w:p>
            <w:pPr>
              <w:spacing w:after="0"/>
              <w:rPr>
                <w:sz w:val="3"/>
                <w:szCs w:val="3"/>
                <w:color w:val="auto"/>
              </w:rPr>
            </w:pPr>
          </w:p>
        </w:tc>
        <w:tc>
          <w:tcPr>
            <w:tcW w:w="6260" w:type="dxa"/>
            <w:vAlign w:val="bottom"/>
          </w:tcPr>
          <w:p>
            <w:pPr>
              <w:spacing w:after="0"/>
              <w:rPr>
                <w:sz w:val="3"/>
                <w:szCs w:val="3"/>
                <w:color w:val="auto"/>
              </w:rPr>
            </w:pPr>
          </w:p>
        </w:tc>
        <w:tc>
          <w:tcPr>
            <w:tcW w:w="182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320" w:type="dxa"/>
            <w:vAlign w:val="bottom"/>
          </w:tcPr>
          <w:p>
            <w:pPr>
              <w:spacing w:after="0"/>
              <w:rPr>
                <w:sz w:val="3"/>
                <w:szCs w:val="3"/>
                <w:color w:val="auto"/>
              </w:rPr>
            </w:pPr>
          </w:p>
        </w:tc>
      </w:tr>
      <w:tr>
        <w:trPr>
          <w:trHeight w:val="248"/>
        </w:trPr>
        <w:tc>
          <w:tcPr>
            <w:tcW w:w="8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2020 - 2022</w:t>
            </w:r>
          </w:p>
        </w:tc>
        <w:tc>
          <w:tcPr>
            <w:tcW w:w="2000" w:type="dxa"/>
            <w:vAlign w:val="bottom"/>
          </w:tcPr>
          <w:p>
            <w:pPr>
              <w:jc w:val="right"/>
              <w:spacing w:after="0"/>
              <w:rPr>
                <w:sz w:val="20"/>
                <w:szCs w:val="20"/>
                <w:color w:val="auto"/>
              </w:rPr>
            </w:pPr>
            <w:r>
              <w:rPr>
                <w:rFonts w:ascii="Arial" w:cs="Arial" w:eastAsia="Arial" w:hAnsi="Arial"/>
                <w:sz w:val="16"/>
                <w:szCs w:val="16"/>
                <w:color w:val="auto"/>
              </w:rPr>
              <w:t>4,651,171</w:t>
            </w:r>
          </w:p>
        </w:tc>
        <w:tc>
          <w:tcPr>
            <w:tcW w:w="320" w:type="dxa"/>
            <w:vAlign w:val="bottom"/>
          </w:tcPr>
          <w:p>
            <w:pPr>
              <w:spacing w:after="0"/>
              <w:rPr>
                <w:sz w:val="21"/>
                <w:szCs w:val="21"/>
                <w:color w:val="auto"/>
              </w:rPr>
            </w:pPr>
          </w:p>
        </w:tc>
      </w:tr>
      <w:tr>
        <w:trPr>
          <w:trHeight w:val="43"/>
        </w:trPr>
        <w:tc>
          <w:tcPr>
            <w:tcW w:w="840" w:type="dxa"/>
            <w:vAlign w:val="bottom"/>
          </w:tcPr>
          <w:p>
            <w:pPr>
              <w:spacing w:after="0"/>
              <w:rPr>
                <w:sz w:val="3"/>
                <w:szCs w:val="3"/>
                <w:color w:val="auto"/>
              </w:rPr>
            </w:pPr>
          </w:p>
        </w:tc>
        <w:tc>
          <w:tcPr>
            <w:tcW w:w="6260" w:type="dxa"/>
            <w:vAlign w:val="bottom"/>
          </w:tcPr>
          <w:p>
            <w:pPr>
              <w:spacing w:after="0"/>
              <w:rPr>
                <w:sz w:val="3"/>
                <w:szCs w:val="3"/>
                <w:color w:val="auto"/>
              </w:rPr>
            </w:pPr>
          </w:p>
        </w:tc>
        <w:tc>
          <w:tcPr>
            <w:tcW w:w="182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320" w:type="dxa"/>
            <w:vAlign w:val="bottom"/>
          </w:tcPr>
          <w:p>
            <w:pPr>
              <w:spacing w:after="0"/>
              <w:rPr>
                <w:sz w:val="3"/>
                <w:szCs w:val="3"/>
                <w:color w:val="auto"/>
              </w:rPr>
            </w:pPr>
          </w:p>
        </w:tc>
      </w:tr>
      <w:tr>
        <w:trPr>
          <w:trHeight w:val="248"/>
        </w:trPr>
        <w:tc>
          <w:tcPr>
            <w:tcW w:w="8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2019 - 2021</w:t>
            </w:r>
          </w:p>
        </w:tc>
        <w:tc>
          <w:tcPr>
            <w:tcW w:w="2000" w:type="dxa"/>
            <w:vAlign w:val="bottom"/>
          </w:tcPr>
          <w:p>
            <w:pPr>
              <w:jc w:val="right"/>
              <w:spacing w:after="0"/>
              <w:rPr>
                <w:sz w:val="20"/>
                <w:szCs w:val="20"/>
                <w:color w:val="auto"/>
              </w:rPr>
            </w:pPr>
            <w:r>
              <w:rPr>
                <w:rFonts w:ascii="Arial" w:cs="Arial" w:eastAsia="Arial" w:hAnsi="Arial"/>
                <w:sz w:val="16"/>
                <w:szCs w:val="16"/>
                <w:color w:val="auto"/>
              </w:rPr>
              <w:t>3,375,713</w:t>
            </w:r>
          </w:p>
        </w:tc>
        <w:tc>
          <w:tcPr>
            <w:tcW w:w="320" w:type="dxa"/>
            <w:vAlign w:val="bottom"/>
          </w:tcPr>
          <w:p>
            <w:pPr>
              <w:spacing w:after="0"/>
              <w:rPr>
                <w:sz w:val="21"/>
                <w:szCs w:val="21"/>
                <w:color w:val="auto"/>
              </w:rPr>
            </w:pPr>
          </w:p>
        </w:tc>
      </w:tr>
      <w:tr>
        <w:trPr>
          <w:trHeight w:val="42"/>
        </w:trPr>
        <w:tc>
          <w:tcPr>
            <w:tcW w:w="840" w:type="dxa"/>
            <w:vAlign w:val="bottom"/>
          </w:tcPr>
          <w:p>
            <w:pPr>
              <w:spacing w:after="0"/>
              <w:rPr>
                <w:sz w:val="3"/>
                <w:szCs w:val="3"/>
                <w:color w:val="auto"/>
              </w:rPr>
            </w:pPr>
          </w:p>
        </w:tc>
        <w:tc>
          <w:tcPr>
            <w:tcW w:w="6260" w:type="dxa"/>
            <w:vAlign w:val="bottom"/>
            <w:tcBorders>
              <w:bottom w:val="single" w:sz="8" w:color="572C83"/>
            </w:tcBorders>
          </w:tcPr>
          <w:p>
            <w:pPr>
              <w:spacing w:after="0"/>
              <w:rPr>
                <w:sz w:val="3"/>
                <w:szCs w:val="3"/>
                <w:color w:val="auto"/>
              </w:rPr>
            </w:pPr>
          </w:p>
        </w:tc>
        <w:tc>
          <w:tcPr>
            <w:tcW w:w="182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320" w:type="dxa"/>
            <w:vAlign w:val="bottom"/>
          </w:tcPr>
          <w:p>
            <w:pPr>
              <w:spacing w:after="0"/>
              <w:rPr>
                <w:sz w:val="3"/>
                <w:szCs w:val="3"/>
                <w:color w:val="auto"/>
              </w:rPr>
            </w:pPr>
          </w:p>
        </w:tc>
      </w:tr>
      <w:tr>
        <w:trPr>
          <w:trHeight w:val="295"/>
        </w:trPr>
        <w:tc>
          <w:tcPr>
            <w:tcW w:w="840" w:type="dxa"/>
            <w:vAlign w:val="bottom"/>
          </w:tcPr>
          <w:p>
            <w:pPr>
              <w:spacing w:after="0"/>
              <w:rPr>
                <w:sz w:val="24"/>
                <w:szCs w:val="24"/>
                <w:color w:val="auto"/>
              </w:rPr>
            </w:pPr>
          </w:p>
        </w:tc>
        <w:tc>
          <w:tcPr>
            <w:tcW w:w="62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b w:val="1"/>
                <w:bCs w:val="1"/>
                <w:color w:val="auto"/>
              </w:rPr>
              <w:t>Brusadelli, Maurizio</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2021 - 2023</w:t>
            </w:r>
          </w:p>
        </w:tc>
        <w:tc>
          <w:tcPr>
            <w:tcW w:w="2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3,450,872</w:t>
            </w:r>
          </w:p>
        </w:tc>
        <w:tc>
          <w:tcPr>
            <w:tcW w:w="320" w:type="dxa"/>
            <w:vAlign w:val="bottom"/>
          </w:tcPr>
          <w:p>
            <w:pPr>
              <w:spacing w:after="0"/>
              <w:rPr>
                <w:sz w:val="24"/>
                <w:szCs w:val="24"/>
                <w:color w:val="auto"/>
              </w:rPr>
            </w:pPr>
          </w:p>
        </w:tc>
      </w:tr>
      <w:tr>
        <w:trPr>
          <w:trHeight w:val="296"/>
        </w:trPr>
        <w:tc>
          <w:tcPr>
            <w:tcW w:w="840" w:type="dxa"/>
            <w:vAlign w:val="bottom"/>
          </w:tcPr>
          <w:p>
            <w:pPr>
              <w:spacing w:after="0"/>
              <w:rPr>
                <w:sz w:val="24"/>
                <w:szCs w:val="24"/>
                <w:color w:val="auto"/>
              </w:rPr>
            </w:pPr>
          </w:p>
        </w:tc>
        <w:tc>
          <w:tcPr>
            <w:tcW w:w="6260" w:type="dxa"/>
            <w:vAlign w:val="bottom"/>
            <w:tcBorders>
              <w:top w:val="single" w:sz="8" w:color="EBE6F0"/>
              <w:bottom w:val="single" w:sz="8" w:color="EBE6F0"/>
            </w:tcBorders>
            <w:shd w:val="clear" w:color="auto" w:fill="EBE6F0"/>
          </w:tcPr>
          <w:p>
            <w:pPr>
              <w:spacing w:after="0"/>
              <w:rPr>
                <w:sz w:val="24"/>
                <w:szCs w:val="24"/>
                <w:color w:val="auto"/>
              </w:rPr>
            </w:pPr>
          </w:p>
        </w:tc>
        <w:tc>
          <w:tcPr>
            <w:tcW w:w="182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2020 - 2022</w:t>
            </w:r>
          </w:p>
        </w:tc>
        <w:tc>
          <w:tcPr>
            <w:tcW w:w="2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3,450,298</w:t>
            </w:r>
          </w:p>
        </w:tc>
        <w:tc>
          <w:tcPr>
            <w:tcW w:w="320" w:type="dxa"/>
            <w:vAlign w:val="bottom"/>
          </w:tcPr>
          <w:p>
            <w:pPr>
              <w:spacing w:after="0"/>
              <w:rPr>
                <w:sz w:val="24"/>
                <w:szCs w:val="24"/>
                <w:color w:val="auto"/>
              </w:rPr>
            </w:pPr>
          </w:p>
        </w:tc>
      </w:tr>
      <w:tr>
        <w:trPr>
          <w:trHeight w:val="295"/>
        </w:trPr>
        <w:tc>
          <w:tcPr>
            <w:tcW w:w="840" w:type="dxa"/>
            <w:vAlign w:val="bottom"/>
          </w:tcPr>
          <w:p>
            <w:pPr>
              <w:spacing w:after="0"/>
              <w:rPr>
                <w:sz w:val="24"/>
                <w:szCs w:val="24"/>
                <w:color w:val="auto"/>
              </w:rPr>
            </w:pPr>
          </w:p>
        </w:tc>
        <w:tc>
          <w:tcPr>
            <w:tcW w:w="6260" w:type="dxa"/>
            <w:vAlign w:val="bottom"/>
            <w:tcBorders>
              <w:top w:val="single" w:sz="8" w:color="EBE6F0"/>
              <w:bottom w:val="single" w:sz="8" w:color="EBE6F0"/>
            </w:tcBorders>
            <w:shd w:val="clear" w:color="auto" w:fill="EBE6F0"/>
          </w:tcPr>
          <w:p>
            <w:pPr>
              <w:spacing w:after="0"/>
              <w:rPr>
                <w:sz w:val="24"/>
                <w:szCs w:val="24"/>
                <w:color w:val="auto"/>
              </w:rPr>
            </w:pPr>
          </w:p>
        </w:tc>
        <w:tc>
          <w:tcPr>
            <w:tcW w:w="182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2019 - 2021</w:t>
            </w:r>
          </w:p>
        </w:tc>
        <w:tc>
          <w:tcPr>
            <w:tcW w:w="2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3,375,713</w:t>
            </w:r>
          </w:p>
        </w:tc>
        <w:tc>
          <w:tcPr>
            <w:tcW w:w="320" w:type="dxa"/>
            <w:vAlign w:val="bottom"/>
          </w:tcPr>
          <w:p>
            <w:pPr>
              <w:spacing w:after="0"/>
              <w:rPr>
                <w:sz w:val="24"/>
                <w:szCs w:val="24"/>
                <w:color w:val="auto"/>
              </w:rPr>
            </w:pPr>
          </w:p>
        </w:tc>
      </w:tr>
      <w:tr>
        <w:trPr>
          <w:trHeight w:val="256"/>
        </w:trPr>
        <w:tc>
          <w:tcPr>
            <w:tcW w:w="840" w:type="dxa"/>
            <w:vAlign w:val="bottom"/>
          </w:tcPr>
          <w:p>
            <w:pPr>
              <w:spacing w:after="0"/>
              <w:rPr>
                <w:sz w:val="22"/>
                <w:szCs w:val="22"/>
                <w:color w:val="auto"/>
              </w:rPr>
            </w:pPr>
          </w:p>
        </w:tc>
        <w:tc>
          <w:tcPr>
            <w:tcW w:w="6260" w:type="dxa"/>
            <w:vAlign w:val="bottom"/>
            <w:tcBorders>
              <w:top w:val="single" w:sz="8" w:color="572C83"/>
            </w:tcBorders>
          </w:tcPr>
          <w:p>
            <w:pPr>
              <w:ind w:left="60"/>
              <w:spacing w:after="0"/>
              <w:rPr>
                <w:sz w:val="20"/>
                <w:szCs w:val="20"/>
                <w:color w:val="auto"/>
              </w:rPr>
            </w:pPr>
            <w:r>
              <w:rPr>
                <w:rFonts w:ascii="Arial" w:cs="Arial" w:eastAsia="Arial" w:hAnsi="Arial"/>
                <w:sz w:val="16"/>
                <w:szCs w:val="16"/>
                <w:b w:val="1"/>
                <w:bCs w:val="1"/>
                <w:color w:val="auto"/>
              </w:rPr>
              <w:t>Gruber, Vinzenz</w:t>
            </w:r>
          </w:p>
        </w:tc>
        <w:tc>
          <w:tcPr>
            <w:tcW w:w="182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2021 - 2023</w:t>
            </w:r>
          </w:p>
        </w:tc>
        <w:tc>
          <w:tcPr>
            <w:tcW w:w="200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3,600,178</w:t>
            </w:r>
          </w:p>
        </w:tc>
        <w:tc>
          <w:tcPr>
            <w:tcW w:w="320" w:type="dxa"/>
            <w:vAlign w:val="bottom"/>
          </w:tcPr>
          <w:p>
            <w:pPr>
              <w:spacing w:after="0"/>
              <w:rPr>
                <w:sz w:val="22"/>
                <w:szCs w:val="22"/>
                <w:color w:val="auto"/>
              </w:rPr>
            </w:pPr>
          </w:p>
        </w:tc>
      </w:tr>
      <w:tr>
        <w:trPr>
          <w:trHeight w:val="34"/>
        </w:trPr>
        <w:tc>
          <w:tcPr>
            <w:tcW w:w="840" w:type="dxa"/>
            <w:vAlign w:val="bottom"/>
          </w:tcPr>
          <w:p>
            <w:pPr>
              <w:spacing w:after="0"/>
              <w:rPr>
                <w:sz w:val="3"/>
                <w:szCs w:val="3"/>
                <w:color w:val="auto"/>
              </w:rPr>
            </w:pPr>
          </w:p>
        </w:tc>
        <w:tc>
          <w:tcPr>
            <w:tcW w:w="6260" w:type="dxa"/>
            <w:vAlign w:val="bottom"/>
          </w:tcPr>
          <w:p>
            <w:pPr>
              <w:spacing w:after="0"/>
              <w:rPr>
                <w:sz w:val="3"/>
                <w:szCs w:val="3"/>
                <w:color w:val="auto"/>
              </w:rPr>
            </w:pPr>
          </w:p>
        </w:tc>
        <w:tc>
          <w:tcPr>
            <w:tcW w:w="182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320" w:type="dxa"/>
            <w:vAlign w:val="bottom"/>
          </w:tcPr>
          <w:p>
            <w:pPr>
              <w:spacing w:after="0"/>
              <w:rPr>
                <w:sz w:val="3"/>
                <w:szCs w:val="3"/>
                <w:color w:val="auto"/>
              </w:rPr>
            </w:pPr>
          </w:p>
        </w:tc>
      </w:tr>
      <w:tr>
        <w:trPr>
          <w:trHeight w:val="248"/>
        </w:trPr>
        <w:tc>
          <w:tcPr>
            <w:tcW w:w="8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2020 - 2022</w:t>
            </w:r>
          </w:p>
        </w:tc>
        <w:tc>
          <w:tcPr>
            <w:tcW w:w="2000" w:type="dxa"/>
            <w:vAlign w:val="bottom"/>
          </w:tcPr>
          <w:p>
            <w:pPr>
              <w:jc w:val="right"/>
              <w:spacing w:after="0"/>
              <w:rPr>
                <w:sz w:val="20"/>
                <w:szCs w:val="20"/>
                <w:color w:val="auto"/>
              </w:rPr>
            </w:pPr>
            <w:r>
              <w:rPr>
                <w:rFonts w:ascii="Arial" w:cs="Arial" w:eastAsia="Arial" w:hAnsi="Arial"/>
                <w:sz w:val="16"/>
                <w:szCs w:val="16"/>
                <w:color w:val="auto"/>
              </w:rPr>
              <w:t>3,300,336</w:t>
            </w:r>
          </w:p>
        </w:tc>
        <w:tc>
          <w:tcPr>
            <w:tcW w:w="320" w:type="dxa"/>
            <w:vAlign w:val="bottom"/>
          </w:tcPr>
          <w:p>
            <w:pPr>
              <w:spacing w:after="0"/>
              <w:rPr>
                <w:sz w:val="21"/>
                <w:szCs w:val="21"/>
                <w:color w:val="auto"/>
              </w:rPr>
            </w:pPr>
          </w:p>
        </w:tc>
      </w:tr>
      <w:tr>
        <w:trPr>
          <w:trHeight w:val="43"/>
        </w:trPr>
        <w:tc>
          <w:tcPr>
            <w:tcW w:w="840" w:type="dxa"/>
            <w:vAlign w:val="bottom"/>
          </w:tcPr>
          <w:p>
            <w:pPr>
              <w:spacing w:after="0"/>
              <w:rPr>
                <w:sz w:val="3"/>
                <w:szCs w:val="3"/>
                <w:color w:val="auto"/>
              </w:rPr>
            </w:pPr>
          </w:p>
        </w:tc>
        <w:tc>
          <w:tcPr>
            <w:tcW w:w="6260" w:type="dxa"/>
            <w:vAlign w:val="bottom"/>
            <w:tcBorders>
              <w:bottom w:val="single" w:sz="8" w:color="572C83"/>
            </w:tcBorders>
          </w:tcPr>
          <w:p>
            <w:pPr>
              <w:spacing w:after="0"/>
              <w:rPr>
                <w:sz w:val="3"/>
                <w:szCs w:val="3"/>
                <w:color w:val="auto"/>
              </w:rPr>
            </w:pPr>
          </w:p>
        </w:tc>
        <w:tc>
          <w:tcPr>
            <w:tcW w:w="182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320" w:type="dxa"/>
            <w:vAlign w:val="bottom"/>
          </w:tcPr>
          <w:p>
            <w:pPr>
              <w:spacing w:after="0"/>
              <w:rPr>
                <w:sz w:val="3"/>
                <w:szCs w:val="3"/>
                <w:color w:val="auto"/>
              </w:rPr>
            </w:pPr>
          </w:p>
        </w:tc>
      </w:tr>
      <w:tr>
        <w:trPr>
          <w:trHeight w:val="296"/>
        </w:trPr>
        <w:tc>
          <w:tcPr>
            <w:tcW w:w="840" w:type="dxa"/>
            <w:vAlign w:val="bottom"/>
          </w:tcPr>
          <w:p>
            <w:pPr>
              <w:spacing w:after="0"/>
              <w:rPr>
                <w:sz w:val="24"/>
                <w:szCs w:val="24"/>
                <w:color w:val="auto"/>
              </w:rPr>
            </w:pPr>
          </w:p>
        </w:tc>
        <w:tc>
          <w:tcPr>
            <w:tcW w:w="62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b w:val="1"/>
                <w:bCs w:val="1"/>
                <w:color w:val="auto"/>
              </w:rPr>
              <w:t>Stein, Laura</w:t>
            </w:r>
          </w:p>
        </w:tc>
        <w:tc>
          <w:tcPr>
            <w:tcW w:w="18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2021 - 2023</w:t>
            </w:r>
          </w:p>
        </w:tc>
        <w:tc>
          <w:tcPr>
            <w:tcW w:w="2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2,700,976</w:t>
            </w:r>
          </w:p>
        </w:tc>
        <w:tc>
          <w:tcPr>
            <w:tcW w:w="320" w:type="dxa"/>
            <w:vAlign w:val="bottom"/>
          </w:tcPr>
          <w:p>
            <w:pPr>
              <w:spacing w:after="0"/>
              <w:rPr>
                <w:sz w:val="24"/>
                <w:szCs w:val="24"/>
                <w:color w:val="auto"/>
              </w:rPr>
            </w:pPr>
          </w:p>
        </w:tc>
      </w:tr>
      <w:tr>
        <w:trPr>
          <w:trHeight w:val="182"/>
        </w:trPr>
        <w:tc>
          <w:tcPr>
            <w:tcW w:w="840" w:type="dxa"/>
            <w:vAlign w:val="bottom"/>
            <w:tcBorders>
              <w:bottom w:val="single" w:sz="8" w:color="58358F"/>
            </w:tcBorders>
          </w:tcPr>
          <w:p>
            <w:pPr>
              <w:spacing w:after="0"/>
              <w:rPr>
                <w:sz w:val="15"/>
                <w:szCs w:val="15"/>
                <w:color w:val="auto"/>
              </w:rPr>
            </w:pPr>
          </w:p>
        </w:tc>
        <w:tc>
          <w:tcPr>
            <w:tcW w:w="6260" w:type="dxa"/>
            <w:vAlign w:val="bottom"/>
            <w:tcBorders>
              <w:top w:val="single" w:sz="8" w:color="572C83"/>
              <w:bottom w:val="single" w:sz="8" w:color="58358F"/>
            </w:tcBorders>
          </w:tcPr>
          <w:p>
            <w:pPr>
              <w:spacing w:after="0"/>
              <w:rPr>
                <w:sz w:val="15"/>
                <w:szCs w:val="15"/>
                <w:color w:val="auto"/>
              </w:rPr>
            </w:pPr>
          </w:p>
        </w:tc>
        <w:tc>
          <w:tcPr>
            <w:tcW w:w="1820" w:type="dxa"/>
            <w:vAlign w:val="bottom"/>
            <w:tcBorders>
              <w:top w:val="single" w:sz="8" w:color="572C83"/>
              <w:bottom w:val="single" w:sz="8" w:color="58358F"/>
            </w:tcBorders>
          </w:tcPr>
          <w:p>
            <w:pPr>
              <w:spacing w:after="0"/>
              <w:rPr>
                <w:sz w:val="15"/>
                <w:szCs w:val="15"/>
                <w:color w:val="auto"/>
              </w:rPr>
            </w:pPr>
          </w:p>
        </w:tc>
        <w:tc>
          <w:tcPr>
            <w:tcW w:w="2000" w:type="dxa"/>
            <w:vAlign w:val="bottom"/>
            <w:tcBorders>
              <w:top w:val="single" w:sz="8" w:color="572C83"/>
              <w:bottom w:val="single" w:sz="8" w:color="58358F"/>
            </w:tcBorders>
          </w:tcPr>
          <w:p>
            <w:pPr>
              <w:spacing w:after="0"/>
              <w:rPr>
                <w:sz w:val="15"/>
                <w:szCs w:val="15"/>
                <w:color w:val="auto"/>
              </w:rPr>
            </w:pPr>
          </w:p>
        </w:tc>
        <w:tc>
          <w:tcPr>
            <w:tcW w:w="320" w:type="dxa"/>
            <w:vAlign w:val="bottom"/>
            <w:tcBorders>
              <w:bottom w:val="single" w:sz="8" w:color="58358F"/>
            </w:tcBorders>
          </w:tcPr>
          <w:p>
            <w:pPr>
              <w:spacing w:after="0"/>
              <w:rPr>
                <w:sz w:val="15"/>
                <w:szCs w:val="15"/>
                <w:color w:val="auto"/>
              </w:rPr>
            </w:pPr>
          </w:p>
        </w:tc>
      </w:tr>
    </w:tbl>
    <w:p>
      <w:pPr>
        <w:spacing w:after="0" w:line="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331"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3" w:lineRule="exact"/>
        <w:rPr>
          <w:sz w:val="20"/>
          <w:szCs w:val="20"/>
          <w:color w:val="auto"/>
        </w:rPr>
      </w:pPr>
    </w:p>
    <w:p>
      <w:pPr>
        <w:ind w:left="440" w:right="360" w:hanging="351"/>
        <w:spacing w:after="0" w:line="264" w:lineRule="auto"/>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stock option grants. The amounts shown represent the full grant date fair value of the options granted in each year as computed in accordance with FASB ASC Topic 718. Assumptions used in the calculation of these amounts are included in Note 12 to the consolidated financial statements contained in our 2021 Form 10-K.</w:t>
      </w:r>
    </w:p>
    <w:p>
      <w:pPr>
        <w:ind w:left="440" w:hanging="351"/>
        <w:spacing w:after="0"/>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awards made under our 2021 AIP which were paid in March 2022.</w:t>
      </w:r>
    </w:p>
    <w:p>
      <w:pPr>
        <w:spacing w:after="0" w:line="45" w:lineRule="exact"/>
        <w:rPr>
          <w:rFonts w:ascii="Arial" w:cs="Arial" w:eastAsia="Arial" w:hAnsi="Arial"/>
          <w:sz w:val="16"/>
          <w:szCs w:val="16"/>
          <w:color w:val="auto"/>
        </w:rPr>
      </w:pPr>
    </w:p>
    <w:p>
      <w:pPr>
        <w:ind w:left="440" w:right="140" w:hanging="351"/>
        <w:spacing w:after="0" w:line="259" w:lineRule="auto"/>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Reflects the aggregate change in the actuarial present value of the benefits under the Pension Fund Mondelēz Switzerland for Mr. Gruber. Due to the increase in the discount rate and currency fluctuation, Mr. Gruber had a decrease in value of $186,052, which is reported in the table as $0 in accordance with SEC rules. Messrs. Van de Put, Zaramella and Brusadelli and Ms. Stein are not eligible to participate in a defined benefit retirement plan.</w:t>
      </w:r>
    </w:p>
    <w:p>
      <w:pPr>
        <w:spacing w:after="0" w:line="2" w:lineRule="exact"/>
        <w:rPr>
          <w:rFonts w:ascii="Arial" w:cs="Arial" w:eastAsia="Arial" w:hAnsi="Arial"/>
          <w:sz w:val="16"/>
          <w:szCs w:val="16"/>
          <w:color w:val="auto"/>
        </w:rPr>
      </w:pPr>
    </w:p>
    <w:p>
      <w:pPr>
        <w:ind w:left="440" w:hanging="351"/>
        <w:spacing w:after="0"/>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amounts shown in the “All Other Compensation” column for 2021 reflect the following:</w:t>
      </w:r>
    </w:p>
    <w:p>
      <w:pPr>
        <w:spacing w:after="0" w:line="140" w:lineRule="exact"/>
        <w:rPr>
          <w:sz w:val="20"/>
          <w:szCs w:val="20"/>
          <w:color w:val="auto"/>
        </w:rPr>
      </w:pPr>
    </w:p>
    <w:tbl>
      <w:tblPr>
        <w:tblLayout w:type="fixed"/>
        <w:tblInd w:w="48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D. Van de Put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L. Zaramella</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M. Brusadelli</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V. Gruber</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L. Stein</w:t>
            </w:r>
          </w:p>
        </w:tc>
      </w:tr>
      <w:tr>
        <w:trPr>
          <w:trHeight w:val="251"/>
        </w:trPr>
        <w:tc>
          <w:tcPr>
            <w:tcW w:w="4220" w:type="dxa"/>
            <w:vAlign w:val="bottom"/>
            <w:tcBorders>
              <w:bottom w:val="single" w:sz="8" w:color="582C83"/>
            </w:tcBorders>
          </w:tcPr>
          <w:p>
            <w:pPr>
              <w:spacing w:after="0"/>
              <w:rPr>
                <w:sz w:val="21"/>
                <w:szCs w:val="21"/>
                <w:color w:val="auto"/>
              </w:rPr>
            </w:pPr>
          </w:p>
        </w:tc>
        <w:tc>
          <w:tcPr>
            <w:tcW w:w="1420" w:type="dxa"/>
            <w:vAlign w:val="bottom"/>
            <w:tcBorders>
              <w:bottom w:val="single" w:sz="8" w:color="582C83"/>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582C83"/>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582C83"/>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582C83"/>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338"/>
        </w:trPr>
        <w:tc>
          <w:tcPr>
            <w:tcW w:w="4220" w:type="dxa"/>
            <w:vAlign w:val="bottom"/>
            <w:tcBorders>
              <w:bottom w:val="single" w:sz="8" w:color="572C83"/>
            </w:tcBorders>
            <w:shd w:val="clear" w:color="auto" w:fill="EBE6F0"/>
          </w:tcPr>
          <w:p>
            <w:pPr>
              <w:ind w:left="60"/>
              <w:spacing w:after="0"/>
              <w:rPr>
                <w:sz w:val="20"/>
                <w:szCs w:val="20"/>
                <w:color w:val="auto"/>
              </w:rPr>
            </w:pPr>
            <w:r>
              <w:rPr>
                <w:rFonts w:ascii="Arial" w:cs="Arial" w:eastAsia="Arial" w:hAnsi="Arial"/>
                <w:sz w:val="16"/>
                <w:szCs w:val="16"/>
                <w:color w:val="auto"/>
              </w:rPr>
              <w:t>Personal use of company aircraft</w:t>
            </w:r>
            <w:r>
              <w:rPr>
                <w:rFonts w:ascii="Arial" w:cs="Arial" w:eastAsia="Arial" w:hAnsi="Arial"/>
                <w:sz w:val="26"/>
                <w:szCs w:val="26"/>
                <w:color w:val="auto"/>
                <w:vertAlign w:val="superscript"/>
              </w:rPr>
              <w:t>(a)</w:t>
            </w:r>
          </w:p>
        </w:tc>
        <w:tc>
          <w:tcPr>
            <w:tcW w:w="1420" w:type="dxa"/>
            <w:vAlign w:val="bottom"/>
            <w:tcBorders>
              <w:bottom w:val="single" w:sz="8" w:color="572C83"/>
            </w:tcBorders>
            <w:shd w:val="clear" w:color="auto" w:fill="EBE6F0"/>
          </w:tcPr>
          <w:p>
            <w:pPr>
              <w:jc w:val="right"/>
              <w:ind w:right="99"/>
              <w:spacing w:after="0"/>
              <w:rPr>
                <w:sz w:val="20"/>
                <w:szCs w:val="20"/>
                <w:color w:val="auto"/>
              </w:rPr>
            </w:pPr>
            <w:r>
              <w:rPr>
                <w:rFonts w:ascii="Arial" w:cs="Arial" w:eastAsia="Arial" w:hAnsi="Arial"/>
                <w:sz w:val="16"/>
                <w:szCs w:val="16"/>
                <w:color w:val="auto"/>
              </w:rPr>
              <w:t>197,599</w:t>
            </w:r>
          </w:p>
        </w:tc>
        <w:tc>
          <w:tcPr>
            <w:tcW w:w="1280" w:type="dxa"/>
            <w:vAlign w:val="bottom"/>
            <w:tcBorders>
              <w:bottom w:val="single" w:sz="8" w:color="572C83"/>
            </w:tcBorders>
            <w:shd w:val="clear" w:color="auto" w:fill="EBE6F0"/>
          </w:tcPr>
          <w:p>
            <w:pPr>
              <w:jc w:val="right"/>
              <w:ind w:right="79"/>
              <w:spacing w:after="0"/>
              <w:rPr>
                <w:sz w:val="20"/>
                <w:szCs w:val="20"/>
                <w:color w:val="auto"/>
              </w:rPr>
            </w:pPr>
            <w:r>
              <w:rPr>
                <w:rFonts w:ascii="Arial" w:cs="Arial" w:eastAsia="Arial" w:hAnsi="Arial"/>
                <w:sz w:val="16"/>
                <w:szCs w:val="16"/>
                <w:color w:val="auto"/>
              </w:rPr>
              <w:t>16,867</w:t>
            </w:r>
          </w:p>
        </w:tc>
        <w:tc>
          <w:tcPr>
            <w:tcW w:w="1440" w:type="dxa"/>
            <w:vAlign w:val="bottom"/>
            <w:tcBorders>
              <w:bottom w:val="single" w:sz="8" w:color="572C83"/>
            </w:tcBorders>
            <w:shd w:val="clear" w:color="auto" w:fill="EBE6F0"/>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572C83"/>
            </w:tcBorders>
            <w:shd w:val="clear" w:color="auto" w:fill="EBE6F0"/>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331"/>
        </w:trPr>
        <w:tc>
          <w:tcPr>
            <w:tcW w:w="4220" w:type="dxa"/>
            <w:vAlign w:val="bottom"/>
            <w:tcBorders>
              <w:bottom w:val="single" w:sz="8" w:color="572C83"/>
            </w:tcBorders>
          </w:tcPr>
          <w:p>
            <w:pPr>
              <w:ind w:left="60"/>
              <w:spacing w:after="0"/>
              <w:rPr>
                <w:sz w:val="20"/>
                <w:szCs w:val="20"/>
                <w:color w:val="auto"/>
              </w:rPr>
            </w:pPr>
            <w:r>
              <w:rPr>
                <w:rFonts w:ascii="Arial" w:cs="Arial" w:eastAsia="Arial" w:hAnsi="Arial"/>
                <w:sz w:val="16"/>
                <w:szCs w:val="16"/>
                <w:color w:val="auto"/>
              </w:rPr>
              <w:t>Car allowance</w:t>
            </w:r>
            <w:r>
              <w:rPr>
                <w:rFonts w:ascii="Arial" w:cs="Arial" w:eastAsia="Arial" w:hAnsi="Arial"/>
                <w:sz w:val="26"/>
                <w:szCs w:val="26"/>
                <w:color w:val="auto"/>
                <w:vertAlign w:val="superscript"/>
              </w:rPr>
              <w:t>(b)</w:t>
            </w:r>
          </w:p>
        </w:tc>
        <w:tc>
          <w:tcPr>
            <w:tcW w:w="1420" w:type="dxa"/>
            <w:vAlign w:val="bottom"/>
            <w:tcBorders>
              <w:bottom w:val="single" w:sz="8" w:color="572C83"/>
            </w:tcBorders>
          </w:tcPr>
          <w:p>
            <w:pPr>
              <w:jc w:val="right"/>
              <w:ind w:right="99"/>
              <w:spacing w:after="0"/>
              <w:rPr>
                <w:sz w:val="20"/>
                <w:szCs w:val="20"/>
                <w:color w:val="auto"/>
              </w:rPr>
            </w:pPr>
            <w:r>
              <w:rPr>
                <w:rFonts w:ascii="Arial" w:cs="Arial" w:eastAsia="Arial" w:hAnsi="Arial"/>
                <w:sz w:val="16"/>
                <w:szCs w:val="16"/>
                <w:color w:val="auto"/>
              </w:rPr>
              <w:t>23,333</w:t>
            </w:r>
          </w:p>
        </w:tc>
        <w:tc>
          <w:tcPr>
            <w:tcW w:w="1280" w:type="dxa"/>
            <w:vAlign w:val="bottom"/>
            <w:tcBorders>
              <w:bottom w:val="single" w:sz="8" w:color="572C83"/>
            </w:tcBorders>
          </w:tcPr>
          <w:p>
            <w:pPr>
              <w:jc w:val="right"/>
              <w:ind w:right="79"/>
              <w:spacing w:after="0"/>
              <w:rPr>
                <w:sz w:val="20"/>
                <w:szCs w:val="20"/>
                <w:color w:val="auto"/>
              </w:rPr>
            </w:pPr>
            <w:r>
              <w:rPr>
                <w:rFonts w:ascii="Arial" w:cs="Arial" w:eastAsia="Arial" w:hAnsi="Arial"/>
                <w:sz w:val="16"/>
                <w:szCs w:val="16"/>
                <w:color w:val="auto"/>
              </w:rPr>
              <w:t>15,000</w:t>
            </w:r>
          </w:p>
        </w:tc>
        <w:tc>
          <w:tcPr>
            <w:tcW w:w="1440" w:type="dxa"/>
            <w:vAlign w:val="bottom"/>
            <w:tcBorders>
              <w:bottom w:val="single" w:sz="8" w:color="572C83"/>
            </w:tcBorders>
          </w:tcPr>
          <w:p>
            <w:pPr>
              <w:jc w:val="right"/>
              <w:ind w:right="199"/>
              <w:spacing w:after="0"/>
              <w:rPr>
                <w:sz w:val="20"/>
                <w:szCs w:val="20"/>
                <w:color w:val="auto"/>
              </w:rPr>
            </w:pPr>
            <w:r>
              <w:rPr>
                <w:rFonts w:ascii="Arial" w:cs="Arial" w:eastAsia="Arial" w:hAnsi="Arial"/>
                <w:sz w:val="16"/>
                <w:szCs w:val="16"/>
                <w:color w:val="auto"/>
              </w:rPr>
              <w:t>51,084</w:t>
            </w:r>
          </w:p>
        </w:tc>
        <w:tc>
          <w:tcPr>
            <w:tcW w:w="1380" w:type="dxa"/>
            <w:vAlign w:val="bottom"/>
            <w:tcBorders>
              <w:bottom w:val="single" w:sz="8" w:color="572C83"/>
            </w:tcBorders>
          </w:tcPr>
          <w:p>
            <w:pPr>
              <w:jc w:val="right"/>
              <w:ind w:right="279"/>
              <w:spacing w:after="0"/>
              <w:rPr>
                <w:sz w:val="20"/>
                <w:szCs w:val="20"/>
                <w:color w:val="auto"/>
              </w:rPr>
            </w:pPr>
            <w:r>
              <w:rPr>
                <w:rFonts w:ascii="Arial" w:cs="Arial" w:eastAsia="Arial" w:hAnsi="Arial"/>
                <w:sz w:val="16"/>
                <w:szCs w:val="16"/>
                <w:color w:val="auto"/>
              </w:rPr>
              <w:t>17,564</w:t>
            </w:r>
          </w:p>
        </w:tc>
        <w:tc>
          <w:tcPr>
            <w:tcW w:w="1040" w:type="dxa"/>
            <w:vAlign w:val="bottom"/>
            <w:tcBorders>
              <w:bottom w:val="single" w:sz="8" w:color="572C83"/>
            </w:tcBorders>
          </w:tcPr>
          <w:p>
            <w:pPr>
              <w:jc w:val="right"/>
              <w:spacing w:after="0"/>
              <w:rPr>
                <w:sz w:val="20"/>
                <w:szCs w:val="20"/>
                <w:color w:val="auto"/>
              </w:rPr>
            </w:pPr>
            <w:r>
              <w:rPr>
                <w:rFonts w:ascii="Arial" w:cs="Arial" w:eastAsia="Arial" w:hAnsi="Arial"/>
                <w:sz w:val="16"/>
                <w:szCs w:val="16"/>
                <w:color w:val="auto"/>
              </w:rPr>
              <w:t>22,500</w:t>
            </w:r>
          </w:p>
        </w:tc>
      </w:tr>
      <w:tr>
        <w:trPr>
          <w:trHeight w:val="331"/>
        </w:trPr>
        <w:tc>
          <w:tcPr>
            <w:tcW w:w="4220" w:type="dxa"/>
            <w:vAlign w:val="bottom"/>
            <w:tcBorders>
              <w:bottom w:val="single" w:sz="8" w:color="572C83"/>
            </w:tcBorders>
            <w:shd w:val="clear" w:color="auto" w:fill="EBE6F0"/>
          </w:tcPr>
          <w:p>
            <w:pPr>
              <w:ind w:left="60"/>
              <w:spacing w:after="0"/>
              <w:rPr>
                <w:sz w:val="20"/>
                <w:szCs w:val="20"/>
                <w:color w:val="auto"/>
              </w:rPr>
            </w:pPr>
            <w:r>
              <w:rPr>
                <w:rFonts w:ascii="Arial" w:cs="Arial" w:eastAsia="Arial" w:hAnsi="Arial"/>
                <w:sz w:val="16"/>
                <w:szCs w:val="16"/>
                <w:color w:val="auto"/>
              </w:rPr>
              <w:t>Financial counseling allowance</w:t>
            </w:r>
            <w:r>
              <w:rPr>
                <w:rFonts w:ascii="Arial" w:cs="Arial" w:eastAsia="Arial" w:hAnsi="Arial"/>
                <w:sz w:val="26"/>
                <w:szCs w:val="26"/>
                <w:color w:val="auto"/>
                <w:vertAlign w:val="superscript"/>
              </w:rPr>
              <w:t>(c)</w:t>
            </w:r>
          </w:p>
        </w:tc>
        <w:tc>
          <w:tcPr>
            <w:tcW w:w="1420" w:type="dxa"/>
            <w:vAlign w:val="bottom"/>
            <w:tcBorders>
              <w:bottom w:val="single" w:sz="8" w:color="572C83"/>
            </w:tcBorders>
            <w:shd w:val="clear" w:color="auto" w:fill="EBE6F0"/>
          </w:tcPr>
          <w:p>
            <w:pPr>
              <w:jc w:val="right"/>
              <w:ind w:right="99"/>
              <w:spacing w:after="0"/>
              <w:rPr>
                <w:sz w:val="20"/>
                <w:szCs w:val="20"/>
                <w:color w:val="auto"/>
              </w:rPr>
            </w:pPr>
            <w:r>
              <w:rPr>
                <w:rFonts w:ascii="Arial" w:cs="Arial" w:eastAsia="Arial" w:hAnsi="Arial"/>
                <w:sz w:val="16"/>
                <w:szCs w:val="16"/>
                <w:color w:val="auto"/>
              </w:rPr>
              <w:t>10,000</w:t>
            </w:r>
          </w:p>
        </w:tc>
        <w:tc>
          <w:tcPr>
            <w:tcW w:w="1280" w:type="dxa"/>
            <w:vAlign w:val="bottom"/>
            <w:tcBorders>
              <w:bottom w:val="single" w:sz="8" w:color="572C83"/>
            </w:tcBorders>
            <w:shd w:val="clear" w:color="auto" w:fill="EBE6F0"/>
          </w:tcPr>
          <w:p>
            <w:pPr>
              <w:jc w:val="right"/>
              <w:ind w:right="79"/>
              <w:spacing w:after="0"/>
              <w:rPr>
                <w:sz w:val="20"/>
                <w:szCs w:val="20"/>
                <w:color w:val="auto"/>
              </w:rPr>
            </w:pPr>
            <w:r>
              <w:rPr>
                <w:rFonts w:ascii="Arial" w:cs="Arial" w:eastAsia="Arial" w:hAnsi="Arial"/>
                <w:sz w:val="16"/>
                <w:szCs w:val="16"/>
                <w:color w:val="auto"/>
              </w:rPr>
              <w:t>7,500</w:t>
            </w:r>
          </w:p>
        </w:tc>
        <w:tc>
          <w:tcPr>
            <w:tcW w:w="1440" w:type="dxa"/>
            <w:vAlign w:val="bottom"/>
            <w:tcBorders>
              <w:bottom w:val="single" w:sz="8" w:color="572C83"/>
            </w:tcBorders>
            <w:shd w:val="clear" w:color="auto" w:fill="EBE6F0"/>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572C83"/>
            </w:tcBorders>
            <w:shd w:val="clear" w:color="auto" w:fill="EBE6F0"/>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6"/>
                <w:szCs w:val="16"/>
                <w:color w:val="auto"/>
              </w:rPr>
              <w:t>6,350</w:t>
            </w:r>
          </w:p>
        </w:tc>
      </w:tr>
      <w:tr>
        <w:trPr>
          <w:trHeight w:val="331"/>
        </w:trPr>
        <w:tc>
          <w:tcPr>
            <w:tcW w:w="4220" w:type="dxa"/>
            <w:vAlign w:val="bottom"/>
            <w:tcBorders>
              <w:bottom w:val="single" w:sz="8" w:color="572C83"/>
            </w:tcBorders>
          </w:tcPr>
          <w:p>
            <w:pPr>
              <w:ind w:left="60"/>
              <w:spacing w:after="0"/>
              <w:rPr>
                <w:sz w:val="20"/>
                <w:szCs w:val="20"/>
                <w:color w:val="auto"/>
              </w:rPr>
            </w:pPr>
            <w:r>
              <w:rPr>
                <w:rFonts w:ascii="Arial" w:cs="Arial" w:eastAsia="Arial" w:hAnsi="Arial"/>
                <w:sz w:val="16"/>
                <w:szCs w:val="16"/>
                <w:color w:val="auto"/>
              </w:rPr>
              <w:t>Employer contributions on defined contribution plans</w:t>
            </w:r>
            <w:r>
              <w:rPr>
                <w:rFonts w:ascii="Arial" w:cs="Arial" w:eastAsia="Arial" w:hAnsi="Arial"/>
                <w:sz w:val="26"/>
                <w:szCs w:val="26"/>
                <w:color w:val="auto"/>
                <w:vertAlign w:val="superscript"/>
              </w:rPr>
              <w:t>(d)</w:t>
            </w:r>
          </w:p>
        </w:tc>
        <w:tc>
          <w:tcPr>
            <w:tcW w:w="1420" w:type="dxa"/>
            <w:vAlign w:val="bottom"/>
            <w:tcBorders>
              <w:bottom w:val="single" w:sz="8" w:color="572C83"/>
            </w:tcBorders>
          </w:tcPr>
          <w:p>
            <w:pPr>
              <w:jc w:val="right"/>
              <w:ind w:right="99"/>
              <w:spacing w:after="0"/>
              <w:rPr>
                <w:sz w:val="20"/>
                <w:szCs w:val="20"/>
                <w:color w:val="auto"/>
              </w:rPr>
            </w:pPr>
            <w:r>
              <w:rPr>
                <w:rFonts w:ascii="Arial" w:cs="Arial" w:eastAsia="Arial" w:hAnsi="Arial"/>
                <w:sz w:val="16"/>
                <w:szCs w:val="16"/>
                <w:color w:val="auto"/>
              </w:rPr>
              <w:t>441,759</w:t>
            </w:r>
          </w:p>
        </w:tc>
        <w:tc>
          <w:tcPr>
            <w:tcW w:w="1280" w:type="dxa"/>
            <w:vAlign w:val="bottom"/>
            <w:tcBorders>
              <w:bottom w:val="single" w:sz="8" w:color="572C83"/>
            </w:tcBorders>
          </w:tcPr>
          <w:p>
            <w:pPr>
              <w:jc w:val="right"/>
              <w:ind w:right="79"/>
              <w:spacing w:after="0"/>
              <w:rPr>
                <w:sz w:val="20"/>
                <w:szCs w:val="20"/>
                <w:color w:val="auto"/>
              </w:rPr>
            </w:pPr>
            <w:r>
              <w:rPr>
                <w:rFonts w:ascii="Arial" w:cs="Arial" w:eastAsia="Arial" w:hAnsi="Arial"/>
                <w:sz w:val="16"/>
                <w:szCs w:val="16"/>
                <w:color w:val="auto"/>
              </w:rPr>
              <w:t>176,044</w:t>
            </w:r>
          </w:p>
        </w:tc>
        <w:tc>
          <w:tcPr>
            <w:tcW w:w="1440" w:type="dxa"/>
            <w:vAlign w:val="bottom"/>
            <w:tcBorders>
              <w:bottom w:val="single" w:sz="8" w:color="572C83"/>
            </w:tcBorders>
          </w:tcPr>
          <w:p>
            <w:pPr>
              <w:jc w:val="right"/>
              <w:ind w:right="199"/>
              <w:spacing w:after="0"/>
              <w:rPr>
                <w:sz w:val="20"/>
                <w:szCs w:val="20"/>
                <w:color w:val="auto"/>
              </w:rPr>
            </w:pPr>
            <w:r>
              <w:rPr>
                <w:rFonts w:ascii="Arial" w:cs="Arial" w:eastAsia="Arial" w:hAnsi="Arial"/>
                <w:sz w:val="16"/>
                <w:szCs w:val="16"/>
                <w:color w:val="auto"/>
              </w:rPr>
              <w:t>219,447</w:t>
            </w:r>
          </w:p>
        </w:tc>
        <w:tc>
          <w:tcPr>
            <w:tcW w:w="1380" w:type="dxa"/>
            <w:vAlign w:val="bottom"/>
            <w:tcBorders>
              <w:bottom w:val="single" w:sz="8" w:color="572C83"/>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tcPr>
          <w:p>
            <w:pPr>
              <w:jc w:val="right"/>
              <w:spacing w:after="0"/>
              <w:rPr>
                <w:sz w:val="20"/>
                <w:szCs w:val="20"/>
                <w:color w:val="auto"/>
              </w:rPr>
            </w:pPr>
            <w:r>
              <w:rPr>
                <w:rFonts w:ascii="Arial" w:cs="Arial" w:eastAsia="Arial" w:hAnsi="Arial"/>
                <w:sz w:val="16"/>
                <w:szCs w:val="16"/>
                <w:color w:val="auto"/>
              </w:rPr>
              <w:t>58,976</w:t>
            </w:r>
          </w:p>
        </w:tc>
      </w:tr>
      <w:tr>
        <w:trPr>
          <w:trHeight w:val="331"/>
        </w:trPr>
        <w:tc>
          <w:tcPr>
            <w:tcW w:w="4220" w:type="dxa"/>
            <w:vAlign w:val="bottom"/>
            <w:tcBorders>
              <w:bottom w:val="single" w:sz="8" w:color="572C83"/>
            </w:tcBorders>
            <w:shd w:val="clear" w:color="auto" w:fill="EBE6F0"/>
          </w:tcPr>
          <w:p>
            <w:pPr>
              <w:ind w:left="60"/>
              <w:spacing w:after="0"/>
              <w:rPr>
                <w:sz w:val="20"/>
                <w:szCs w:val="20"/>
                <w:color w:val="auto"/>
              </w:rPr>
            </w:pPr>
            <w:r>
              <w:rPr>
                <w:rFonts w:ascii="Arial" w:cs="Arial" w:eastAsia="Arial" w:hAnsi="Arial"/>
                <w:sz w:val="16"/>
                <w:szCs w:val="16"/>
                <w:color w:val="auto"/>
              </w:rPr>
              <w:t>Relocation expense</w:t>
            </w:r>
            <w:r>
              <w:rPr>
                <w:rFonts w:ascii="Arial" w:cs="Arial" w:eastAsia="Arial" w:hAnsi="Arial"/>
                <w:sz w:val="26"/>
                <w:szCs w:val="26"/>
                <w:color w:val="auto"/>
                <w:vertAlign w:val="superscript"/>
              </w:rPr>
              <w:t>(e)</w:t>
            </w:r>
          </w:p>
        </w:tc>
        <w:tc>
          <w:tcPr>
            <w:tcW w:w="1420" w:type="dxa"/>
            <w:vAlign w:val="bottom"/>
            <w:tcBorders>
              <w:bottom w:val="single" w:sz="8" w:color="572C83"/>
            </w:tcBorders>
            <w:shd w:val="clear" w:color="auto" w:fill="EBE6F0"/>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572C83"/>
            </w:tcBorders>
            <w:shd w:val="clear" w:color="auto" w:fill="EBE6F0"/>
          </w:tcPr>
          <w:p>
            <w:pPr>
              <w:jc w:val="right"/>
              <w:ind w:right="79"/>
              <w:spacing w:after="0"/>
              <w:rPr>
                <w:sz w:val="20"/>
                <w:szCs w:val="20"/>
                <w:color w:val="auto"/>
              </w:rPr>
            </w:pPr>
            <w:r>
              <w:rPr>
                <w:rFonts w:ascii="Arial" w:cs="Arial" w:eastAsia="Arial" w:hAnsi="Arial"/>
                <w:sz w:val="16"/>
                <w:szCs w:val="16"/>
                <w:color w:val="auto"/>
              </w:rPr>
              <w:t>63,862</w:t>
            </w:r>
          </w:p>
        </w:tc>
        <w:tc>
          <w:tcPr>
            <w:tcW w:w="1440" w:type="dxa"/>
            <w:vAlign w:val="bottom"/>
            <w:tcBorders>
              <w:bottom w:val="single" w:sz="8" w:color="572C83"/>
            </w:tcBorders>
            <w:shd w:val="clear" w:color="auto" w:fill="EBE6F0"/>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572C83"/>
            </w:tcBorders>
            <w:shd w:val="clear" w:color="auto" w:fill="EBE6F0"/>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331"/>
        </w:trPr>
        <w:tc>
          <w:tcPr>
            <w:tcW w:w="4220" w:type="dxa"/>
            <w:vAlign w:val="bottom"/>
            <w:tcBorders>
              <w:bottom w:val="single" w:sz="8" w:color="572C83"/>
            </w:tcBorders>
          </w:tcPr>
          <w:p>
            <w:pPr>
              <w:ind w:left="60"/>
              <w:spacing w:after="0"/>
              <w:rPr>
                <w:sz w:val="20"/>
                <w:szCs w:val="20"/>
                <w:color w:val="auto"/>
              </w:rPr>
            </w:pPr>
            <w:r>
              <w:rPr>
                <w:rFonts w:ascii="Arial" w:cs="Arial" w:eastAsia="Arial" w:hAnsi="Arial"/>
                <w:sz w:val="16"/>
                <w:szCs w:val="16"/>
                <w:color w:val="auto"/>
              </w:rPr>
              <w:t>Tax equalization payment</w:t>
            </w:r>
            <w:r>
              <w:rPr>
                <w:rFonts w:ascii="Arial" w:cs="Arial" w:eastAsia="Arial" w:hAnsi="Arial"/>
                <w:sz w:val="26"/>
                <w:szCs w:val="26"/>
                <w:color w:val="auto"/>
                <w:vertAlign w:val="superscript"/>
              </w:rPr>
              <w:t>(f)</w:t>
            </w:r>
          </w:p>
        </w:tc>
        <w:tc>
          <w:tcPr>
            <w:tcW w:w="1420" w:type="dxa"/>
            <w:vAlign w:val="bottom"/>
            <w:tcBorders>
              <w:bottom w:val="single" w:sz="8" w:color="572C83"/>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572C83"/>
            </w:tcBorders>
          </w:tcPr>
          <w:p>
            <w:pPr>
              <w:jc w:val="right"/>
              <w:ind w:right="79"/>
              <w:spacing w:after="0"/>
              <w:rPr>
                <w:sz w:val="20"/>
                <w:szCs w:val="20"/>
                <w:color w:val="auto"/>
              </w:rPr>
            </w:pPr>
            <w:r>
              <w:rPr>
                <w:rFonts w:ascii="Arial" w:cs="Arial" w:eastAsia="Arial" w:hAnsi="Arial"/>
                <w:sz w:val="16"/>
                <w:szCs w:val="16"/>
                <w:color w:val="auto"/>
              </w:rPr>
              <w:t>102,870</w:t>
            </w:r>
          </w:p>
        </w:tc>
        <w:tc>
          <w:tcPr>
            <w:tcW w:w="1440" w:type="dxa"/>
            <w:vAlign w:val="bottom"/>
            <w:tcBorders>
              <w:bottom w:val="single" w:sz="8" w:color="572C83"/>
            </w:tcBorders>
          </w:tcPr>
          <w:p>
            <w:pPr>
              <w:jc w:val="right"/>
              <w:ind w:right="199"/>
              <w:spacing w:after="0"/>
              <w:rPr>
                <w:sz w:val="20"/>
                <w:szCs w:val="20"/>
                <w:color w:val="auto"/>
              </w:rPr>
            </w:pPr>
            <w:r>
              <w:rPr>
                <w:rFonts w:ascii="Arial" w:cs="Arial" w:eastAsia="Arial" w:hAnsi="Arial"/>
                <w:sz w:val="16"/>
                <w:szCs w:val="16"/>
                <w:color w:val="auto"/>
              </w:rPr>
              <w:t>276,247</w:t>
            </w:r>
          </w:p>
        </w:tc>
        <w:tc>
          <w:tcPr>
            <w:tcW w:w="1380" w:type="dxa"/>
            <w:vAlign w:val="bottom"/>
            <w:tcBorders>
              <w:bottom w:val="single" w:sz="8" w:color="572C83"/>
            </w:tcBorders>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tcPr>
          <w:p>
            <w:pPr>
              <w:jc w:val="right"/>
              <w:spacing w:after="0"/>
              <w:rPr>
                <w:sz w:val="20"/>
                <w:szCs w:val="20"/>
                <w:color w:val="auto"/>
              </w:rPr>
            </w:pPr>
            <w:r>
              <w:rPr>
                <w:rFonts w:ascii="Arial" w:cs="Arial" w:eastAsia="Arial" w:hAnsi="Arial"/>
                <w:sz w:val="16"/>
                <w:szCs w:val="16"/>
                <w:color w:val="auto"/>
              </w:rPr>
              <w:t>–</w:t>
            </w:r>
          </w:p>
        </w:tc>
      </w:tr>
      <w:tr>
        <w:trPr>
          <w:trHeight w:val="331"/>
        </w:trPr>
        <w:tc>
          <w:tcPr>
            <w:tcW w:w="4220" w:type="dxa"/>
            <w:vAlign w:val="bottom"/>
            <w:tcBorders>
              <w:bottom w:val="single" w:sz="8" w:color="572C83"/>
            </w:tcBorders>
            <w:shd w:val="clear" w:color="auto" w:fill="EBE6F0"/>
          </w:tcPr>
          <w:p>
            <w:pPr>
              <w:ind w:left="60"/>
              <w:spacing w:after="0"/>
              <w:rPr>
                <w:sz w:val="20"/>
                <w:szCs w:val="20"/>
                <w:color w:val="auto"/>
              </w:rPr>
            </w:pPr>
            <w:r>
              <w:rPr>
                <w:rFonts w:ascii="Arial" w:cs="Arial" w:eastAsia="Arial" w:hAnsi="Arial"/>
                <w:sz w:val="16"/>
                <w:szCs w:val="16"/>
                <w:color w:val="auto"/>
              </w:rPr>
              <w:t>Payments related to expatriate assignment</w:t>
            </w:r>
            <w:r>
              <w:rPr>
                <w:rFonts w:ascii="Arial" w:cs="Arial" w:eastAsia="Arial" w:hAnsi="Arial"/>
                <w:sz w:val="26"/>
                <w:szCs w:val="26"/>
                <w:color w:val="auto"/>
                <w:vertAlign w:val="superscript"/>
              </w:rPr>
              <w:t>(f)</w:t>
            </w:r>
          </w:p>
        </w:tc>
        <w:tc>
          <w:tcPr>
            <w:tcW w:w="1420" w:type="dxa"/>
            <w:vAlign w:val="bottom"/>
            <w:tcBorders>
              <w:bottom w:val="single" w:sz="8" w:color="572C83"/>
            </w:tcBorders>
            <w:shd w:val="clear" w:color="auto" w:fill="EBE6F0"/>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572C83"/>
            </w:tcBorders>
            <w:shd w:val="clear" w:color="auto" w:fill="EBE6F0"/>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572C83"/>
            </w:tcBorders>
            <w:shd w:val="clear" w:color="auto" w:fill="EBE6F0"/>
          </w:tcPr>
          <w:p>
            <w:pPr>
              <w:jc w:val="right"/>
              <w:ind w:right="199"/>
              <w:spacing w:after="0"/>
              <w:rPr>
                <w:sz w:val="20"/>
                <w:szCs w:val="20"/>
                <w:color w:val="auto"/>
              </w:rPr>
            </w:pPr>
            <w:r>
              <w:rPr>
                <w:rFonts w:ascii="Arial" w:cs="Arial" w:eastAsia="Arial" w:hAnsi="Arial"/>
                <w:sz w:val="16"/>
                <w:szCs w:val="16"/>
                <w:color w:val="auto"/>
              </w:rPr>
              <w:t>299,285</w:t>
            </w:r>
          </w:p>
        </w:tc>
        <w:tc>
          <w:tcPr>
            <w:tcW w:w="1380" w:type="dxa"/>
            <w:vAlign w:val="bottom"/>
            <w:tcBorders>
              <w:bottom w:val="single" w:sz="8" w:color="572C83"/>
            </w:tcBorders>
            <w:shd w:val="clear" w:color="auto" w:fill="EBE6F0"/>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4220" w:type="dxa"/>
            <w:vAlign w:val="bottom"/>
          </w:tcPr>
          <w:p>
            <w:pPr>
              <w:ind w:left="60"/>
              <w:spacing w:after="0"/>
              <w:rPr>
                <w:sz w:val="20"/>
                <w:szCs w:val="20"/>
                <w:color w:val="auto"/>
              </w:rPr>
            </w:pPr>
            <w:r>
              <w:rPr>
                <w:rFonts w:ascii="Arial" w:cs="Arial" w:eastAsia="Arial" w:hAnsi="Arial"/>
                <w:sz w:val="16"/>
                <w:szCs w:val="16"/>
                <w:color w:val="auto"/>
              </w:rPr>
              <w:t>Tax preparation expenses</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2,037</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2,187</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22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28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70"/>
        </w:trPr>
        <w:tc>
          <w:tcPr>
            <w:tcW w:w="4220" w:type="dxa"/>
            <w:vAlign w:val="bottom"/>
            <w:tcBorders>
              <w:bottom w:val="single" w:sz="8" w:color="EAE6F0"/>
            </w:tcBorders>
            <w:shd w:val="clear" w:color="auto" w:fill="EAE6F0"/>
          </w:tcPr>
          <w:p>
            <w:pPr>
              <w:ind w:left="60"/>
              <w:spacing w:after="0"/>
              <w:rPr>
                <w:sz w:val="20"/>
                <w:szCs w:val="20"/>
                <w:color w:val="auto"/>
              </w:rPr>
            </w:pPr>
            <w:r>
              <w:rPr>
                <w:rFonts w:ascii="Arial" w:cs="Arial" w:eastAsia="Arial" w:hAnsi="Arial"/>
                <w:sz w:val="16"/>
                <w:szCs w:val="16"/>
                <w:b w:val="1"/>
                <w:bCs w:val="1"/>
                <w:color w:val="auto"/>
              </w:rPr>
              <w:t>Total All Other Compensation</w:t>
            </w:r>
          </w:p>
        </w:tc>
        <w:tc>
          <w:tcPr>
            <w:tcW w:w="1420" w:type="dxa"/>
            <w:vAlign w:val="bottom"/>
            <w:tcBorders>
              <w:bottom w:val="single" w:sz="8" w:color="EAE6F0"/>
            </w:tcBorders>
            <w:shd w:val="clear" w:color="auto" w:fill="EAE6F0"/>
          </w:tcPr>
          <w:p>
            <w:pPr>
              <w:jc w:val="right"/>
              <w:ind w:right="99"/>
              <w:spacing w:after="0"/>
              <w:rPr>
                <w:sz w:val="20"/>
                <w:szCs w:val="20"/>
                <w:color w:val="auto"/>
              </w:rPr>
            </w:pPr>
            <w:r>
              <w:rPr>
                <w:rFonts w:ascii="Arial" w:cs="Arial" w:eastAsia="Arial" w:hAnsi="Arial"/>
                <w:sz w:val="16"/>
                <w:szCs w:val="16"/>
                <w:b w:val="1"/>
                <w:bCs w:val="1"/>
                <w:color w:val="auto"/>
              </w:rPr>
              <w:t>674,728</w:t>
            </w:r>
          </w:p>
        </w:tc>
        <w:tc>
          <w:tcPr>
            <w:tcW w:w="1280" w:type="dxa"/>
            <w:vAlign w:val="bottom"/>
            <w:tcBorders>
              <w:bottom w:val="single" w:sz="8" w:color="EAE6F0"/>
            </w:tcBorders>
            <w:shd w:val="clear" w:color="auto" w:fill="EAE6F0"/>
          </w:tcPr>
          <w:p>
            <w:pPr>
              <w:jc w:val="right"/>
              <w:ind w:right="79"/>
              <w:spacing w:after="0"/>
              <w:rPr>
                <w:sz w:val="20"/>
                <w:szCs w:val="20"/>
                <w:color w:val="auto"/>
              </w:rPr>
            </w:pPr>
            <w:r>
              <w:rPr>
                <w:rFonts w:ascii="Arial" w:cs="Arial" w:eastAsia="Arial" w:hAnsi="Arial"/>
                <w:sz w:val="16"/>
                <w:szCs w:val="16"/>
                <w:b w:val="1"/>
                <w:bCs w:val="1"/>
                <w:color w:val="auto"/>
              </w:rPr>
              <w:t>384,330</w:t>
            </w:r>
          </w:p>
        </w:tc>
        <w:tc>
          <w:tcPr>
            <w:tcW w:w="1440" w:type="dxa"/>
            <w:vAlign w:val="bottom"/>
            <w:tcBorders>
              <w:bottom w:val="single" w:sz="8" w:color="EAE6F0"/>
            </w:tcBorders>
            <w:shd w:val="clear" w:color="auto" w:fill="EAE6F0"/>
          </w:tcPr>
          <w:p>
            <w:pPr>
              <w:jc w:val="right"/>
              <w:ind w:right="199"/>
              <w:spacing w:after="0"/>
              <w:rPr>
                <w:sz w:val="20"/>
                <w:szCs w:val="20"/>
                <w:color w:val="auto"/>
              </w:rPr>
            </w:pPr>
            <w:r>
              <w:rPr>
                <w:rFonts w:ascii="Arial" w:cs="Arial" w:eastAsia="Arial" w:hAnsi="Arial"/>
                <w:sz w:val="16"/>
                <w:szCs w:val="16"/>
                <w:b w:val="1"/>
                <w:bCs w:val="1"/>
                <w:color w:val="auto"/>
              </w:rPr>
              <w:t>846,063</w:t>
            </w:r>
          </w:p>
        </w:tc>
        <w:tc>
          <w:tcPr>
            <w:tcW w:w="1380" w:type="dxa"/>
            <w:vAlign w:val="bottom"/>
            <w:tcBorders>
              <w:bottom w:val="single" w:sz="8" w:color="EAE6F0"/>
            </w:tcBorders>
            <w:shd w:val="clear" w:color="auto" w:fill="EAE6F0"/>
          </w:tcPr>
          <w:p>
            <w:pPr>
              <w:jc w:val="right"/>
              <w:ind w:right="279"/>
              <w:spacing w:after="0"/>
              <w:rPr>
                <w:sz w:val="20"/>
                <w:szCs w:val="20"/>
                <w:color w:val="auto"/>
              </w:rPr>
            </w:pPr>
            <w:r>
              <w:rPr>
                <w:rFonts w:ascii="Arial" w:cs="Arial" w:eastAsia="Arial" w:hAnsi="Arial"/>
                <w:sz w:val="16"/>
                <w:szCs w:val="16"/>
                <w:b w:val="1"/>
                <w:bCs w:val="1"/>
                <w:color w:val="auto"/>
              </w:rPr>
              <w:t>17,564</w:t>
            </w:r>
          </w:p>
        </w:tc>
        <w:tc>
          <w:tcPr>
            <w:tcW w:w="1040" w:type="dxa"/>
            <w:vAlign w:val="bottom"/>
            <w:tcBorders>
              <w:bottom w:val="single" w:sz="8" w:color="EAE6F0"/>
            </w:tcBorders>
            <w:shd w:val="clear" w:color="auto" w:fill="EAE6F0"/>
          </w:tcPr>
          <w:p>
            <w:pPr>
              <w:jc w:val="right"/>
              <w:spacing w:after="0"/>
              <w:rPr>
                <w:sz w:val="20"/>
                <w:szCs w:val="20"/>
                <w:color w:val="auto"/>
              </w:rPr>
            </w:pPr>
            <w:r>
              <w:rPr>
                <w:rFonts w:ascii="Arial" w:cs="Arial" w:eastAsia="Arial" w:hAnsi="Arial"/>
                <w:sz w:val="16"/>
                <w:szCs w:val="16"/>
                <w:b w:val="1"/>
                <w:bCs w:val="1"/>
                <w:color w:val="auto"/>
              </w:rPr>
              <w:t>87,826</w:t>
            </w:r>
          </w:p>
        </w:tc>
      </w:tr>
      <w:tr>
        <w:trPr>
          <w:trHeight w:val="20"/>
        </w:trPr>
        <w:tc>
          <w:tcPr>
            <w:tcW w:w="4220" w:type="dxa"/>
            <w:vAlign w:val="bottom"/>
            <w:shd w:val="clear" w:color="auto" w:fill="572C83"/>
          </w:tcPr>
          <w:p>
            <w:pPr>
              <w:spacing w:after="0" w:line="20" w:lineRule="exact"/>
              <w:rPr>
                <w:sz w:val="1"/>
                <w:szCs w:val="1"/>
                <w:color w:val="auto"/>
              </w:rPr>
            </w:pPr>
          </w:p>
        </w:tc>
        <w:tc>
          <w:tcPr>
            <w:tcW w:w="1420" w:type="dxa"/>
            <w:vAlign w:val="bottom"/>
            <w:shd w:val="clear" w:color="auto" w:fill="572C83"/>
          </w:tcPr>
          <w:p>
            <w:pPr>
              <w:spacing w:after="0" w:line="20" w:lineRule="exact"/>
              <w:rPr>
                <w:sz w:val="1"/>
                <w:szCs w:val="1"/>
                <w:color w:val="auto"/>
              </w:rPr>
            </w:pPr>
          </w:p>
        </w:tc>
        <w:tc>
          <w:tcPr>
            <w:tcW w:w="1280" w:type="dxa"/>
            <w:vAlign w:val="bottom"/>
            <w:shd w:val="clear" w:color="auto" w:fill="572C83"/>
          </w:tcPr>
          <w:p>
            <w:pPr>
              <w:spacing w:after="0" w:line="20" w:lineRule="exact"/>
              <w:rPr>
                <w:sz w:val="1"/>
                <w:szCs w:val="1"/>
                <w:color w:val="auto"/>
              </w:rPr>
            </w:pPr>
          </w:p>
        </w:tc>
        <w:tc>
          <w:tcPr>
            <w:tcW w:w="1440" w:type="dxa"/>
            <w:vAlign w:val="bottom"/>
            <w:shd w:val="clear" w:color="auto" w:fill="572C83"/>
          </w:tcPr>
          <w:p>
            <w:pPr>
              <w:spacing w:after="0" w:line="20" w:lineRule="exact"/>
              <w:rPr>
                <w:sz w:val="1"/>
                <w:szCs w:val="1"/>
                <w:color w:val="auto"/>
              </w:rPr>
            </w:pPr>
          </w:p>
        </w:tc>
        <w:tc>
          <w:tcPr>
            <w:tcW w:w="1380" w:type="dxa"/>
            <w:vAlign w:val="bottom"/>
            <w:shd w:val="clear" w:color="auto" w:fill="572C83"/>
          </w:tcPr>
          <w:p>
            <w:pPr>
              <w:spacing w:after="0" w:line="20" w:lineRule="exact"/>
              <w:rPr>
                <w:sz w:val="1"/>
                <w:szCs w:val="1"/>
                <w:color w:val="auto"/>
              </w:rPr>
            </w:pPr>
          </w:p>
        </w:tc>
        <w:tc>
          <w:tcPr>
            <w:tcW w:w="1040" w:type="dxa"/>
            <w:vAlign w:val="bottom"/>
            <w:shd w:val="clear" w:color="auto" w:fill="572C83"/>
          </w:tcPr>
          <w:p>
            <w:pPr>
              <w:spacing w:after="0" w:line="20" w:lineRule="exact"/>
              <w:rPr>
                <w:sz w:val="1"/>
                <w:szCs w:val="1"/>
                <w:color w:val="auto"/>
              </w:rPr>
            </w:pPr>
          </w:p>
        </w:tc>
      </w:tr>
    </w:tbl>
    <w:p>
      <w:pPr>
        <w:spacing w:after="0" w:line="40" w:lineRule="exact"/>
        <w:rPr>
          <w:sz w:val="20"/>
          <w:szCs w:val="20"/>
          <w:color w:val="auto"/>
        </w:rPr>
      </w:pPr>
    </w:p>
    <w:p>
      <w:pPr>
        <w:ind w:left="840" w:right="360" w:hanging="346"/>
        <w:spacing w:after="0" w:line="259"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Consistent with the findings of an independent, third-party security study, for security and personal safety, we require Mr. Van de Put to use a private (non-commercial) Company-leased aircraft for all travel. The incremental cost of personal use of the Company-leased aircraft, as reflected in the table, is the actual invoice to the Company. Mr. Van de Put and Mr. Zaramella are responsible for taxes in connection with personal aircraft use and we do not reimburse for those taxes.</w:t>
      </w:r>
    </w:p>
    <w:p>
      <w:pPr>
        <w:spacing w:after="0" w:line="2" w:lineRule="exact"/>
        <w:rPr>
          <w:rFonts w:ascii="Arial" w:cs="Arial" w:eastAsia="Arial" w:hAnsi="Arial"/>
          <w:sz w:val="16"/>
          <w:szCs w:val="16"/>
          <w:color w:val="auto"/>
        </w:rPr>
      </w:pPr>
    </w:p>
    <w:p>
      <w:pPr>
        <w:ind w:left="840" w:hanging="346"/>
        <w:spacing w:after="0"/>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Ms. Stein’s annual allowance is $15,000, the amount above is prorated based on her hire date.</w:t>
      </w:r>
    </w:p>
    <w:p>
      <w:pPr>
        <w:spacing w:after="0" w:line="45" w:lineRule="exact"/>
        <w:rPr>
          <w:rFonts w:ascii="Arial" w:cs="Arial" w:eastAsia="Arial" w:hAnsi="Arial"/>
          <w:sz w:val="16"/>
          <w:szCs w:val="16"/>
          <w:color w:val="auto"/>
        </w:rPr>
      </w:pPr>
    </w:p>
    <w:p>
      <w:pPr>
        <w:ind w:left="840" w:right="660" w:hanging="346"/>
        <w:spacing w:after="0" w:line="272"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U.S. executive officers are eligible for an annual financial counseling allowance up to $7,500 and, in the case of Mr. Van de Put, up to $10,000.</w:t>
      </w:r>
    </w:p>
    <w:p>
      <w:pPr>
        <w:spacing w:after="0" w:line="1" w:lineRule="exact"/>
        <w:rPr>
          <w:rFonts w:ascii="Arial" w:cs="Arial" w:eastAsia="Arial" w:hAnsi="Arial"/>
          <w:sz w:val="16"/>
          <w:szCs w:val="16"/>
          <w:color w:val="auto"/>
        </w:rPr>
      </w:pPr>
    </w:p>
    <w:p>
      <w:pPr>
        <w:ind w:left="840" w:right="140" w:hanging="346"/>
        <w:spacing w:after="0" w:line="252"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eligible U.S. employees, including our NEOs, receive matching Company contributions for contributions made to the Thrift Plan and the Supplemental Plan, if applicable. Similarly, all eligible U.S. employees hired or localized to the United States after 2008 who are not otherwise eligible to participate in the Retirement Plan, including Messrs. Van de Put and Zaramella and Ms. Stein, receive an additional non-elective Company contribution to the Thrift Plan and the Supplemental Plan, if applicable, equal to 4.5% of eligible compensation. The amount for Mr. Brusadelli is related to the Company-sponsored II Mio Domani plan in Italy. All eligible Italian employees at the senior manager level and above, including Mr. Brusadelli, receive matching Company contributions for contributions made to the II Mio Domani Plan. The percentage of the Company contribution made to the plan is based on the member’s base pay plus AIP. Mr. Gruber does not participate in a defined contribution plan.</w:t>
      </w:r>
    </w:p>
    <w:p>
      <w:pPr>
        <w:spacing w:after="0" w:line="7" w:lineRule="exact"/>
        <w:rPr>
          <w:rFonts w:ascii="Arial" w:cs="Arial" w:eastAsia="Arial" w:hAnsi="Arial"/>
          <w:sz w:val="16"/>
          <w:szCs w:val="16"/>
          <w:color w:val="auto"/>
        </w:rPr>
      </w:pPr>
    </w:p>
    <w:p>
      <w:pPr>
        <w:ind w:left="840" w:right="140" w:hanging="346"/>
        <w:spacing w:after="0" w:line="272"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Zaramella, previously a Swiss expatriate on international assignment in the United States, localized effective August 1, 2018. The relocation expenses reflect moving his household goods as part of the package offered with his localization.</w:t>
      </w:r>
    </w:p>
    <w:p>
      <w:pPr>
        <w:spacing w:after="0" w:line="1" w:lineRule="exact"/>
        <w:rPr>
          <w:rFonts w:ascii="Arial" w:cs="Arial" w:eastAsia="Arial" w:hAnsi="Arial"/>
          <w:sz w:val="16"/>
          <w:szCs w:val="16"/>
          <w:color w:val="auto"/>
        </w:rPr>
      </w:pPr>
    </w:p>
    <w:p>
      <w:pPr>
        <w:ind w:left="840" w:right="120" w:hanging="346"/>
        <w:spacing w:after="0" w:line="252" w:lineRule="auto"/>
        <w:tabs>
          <w:tab w:leader="none" w:pos="8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ongoing expenses for Mr. Zaramella are trailing tax expenses related to equity earned during his international assignment, paid in accordance with our global mobility and tax equalization (“TEQ”) policies. Likewise, Mr. Brusadelli, currently an Italian expatriate on international assignment in Singapore, also received payments in conjunction with his assignment. These payments were similar to the types of payments generally made to other employees on international assignment with the Company. Payments are designed to mitigate the inconvenience of an international assignment by covering expenses in excess of what the expatriate would have incurred if he or she had remained in his or her home country. These payments include housing expenses, cost of living adjustments, travel expenses and other assignment related expenses. Expenses incurred in Singapore dollars for Mr. Brusadelli are converted to U.S. dollars using the Applicable Exchange Rate. Tax equalization payments are made pursuant to our TEQ policy and are designed to ensure an expatriate does not receive any undue tax burden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Grants of Plan-Based Awards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Estimated Future Payouts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Estimated Future Payouts</w:t>
            </w:r>
          </w:p>
        </w:tc>
        <w:tc>
          <w:tcPr>
            <w:tcW w:w="720" w:type="dxa"/>
            <w:vAlign w:val="bottom"/>
          </w:tcPr>
          <w:p>
            <w:pPr>
              <w:spacing w:after="0"/>
              <w:rPr>
                <w:sz w:val="14"/>
                <w:szCs w:val="14"/>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Under</w:t>
            </w: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Under Non-Equity Incentive</w:t>
            </w:r>
          </w:p>
        </w:tc>
        <w:tc>
          <w:tcPr>
            <w:tcW w:w="22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Equity Incentive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of</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Exercise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60" w:type="dxa"/>
            <w:vAlign w:val="bottom"/>
            <w:gridSpan w:val="3"/>
          </w:tcPr>
          <w:p>
            <w:pPr>
              <w:jc w:val="center"/>
              <w:ind w:right="48"/>
              <w:spacing w:after="0" w:line="189"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21"/>
                <w:szCs w:val="21"/>
                <w:b w:val="1"/>
                <w:bCs w:val="1"/>
                <w:color w:val="auto"/>
                <w:vertAlign w:val="superscript"/>
              </w:rPr>
              <w:t>(1)</w:t>
            </w:r>
          </w:p>
        </w:tc>
        <w:tc>
          <w:tcPr>
            <w:tcW w:w="2200" w:type="dxa"/>
            <w:vAlign w:val="bottom"/>
            <w:gridSpan w:val="3"/>
          </w:tcPr>
          <w:p>
            <w:pPr>
              <w:jc w:val="center"/>
              <w:ind w:right="48"/>
              <w:spacing w:after="0" w:line="189"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21"/>
                <w:szCs w:val="21"/>
                <w:b w:val="1"/>
                <w:bCs w:val="1"/>
                <w:color w:val="auto"/>
                <w:vertAlign w:val="superscript"/>
              </w:rPr>
              <w:t>(2)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of</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Price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Borders>
              <w:bottom w:val="single" w:sz="8" w:color="572C83"/>
            </w:tcBorders>
          </w:tcPr>
          <w:p>
            <w:pPr>
              <w:spacing w:after="0"/>
              <w:rPr>
                <w:sz w:val="4"/>
                <w:szCs w:val="4"/>
                <w:color w:val="auto"/>
              </w:rPr>
            </w:pPr>
          </w:p>
        </w:tc>
        <w:tc>
          <w:tcPr>
            <w:tcW w:w="780" w:type="dxa"/>
            <w:vAlign w:val="bottom"/>
            <w:tcBorders>
              <w:bottom w:val="single" w:sz="8" w:color="572C83"/>
            </w:tcBorders>
          </w:tcPr>
          <w:p>
            <w:pPr>
              <w:spacing w:after="0"/>
              <w:rPr>
                <w:sz w:val="4"/>
                <w:szCs w:val="4"/>
                <w:color w:val="auto"/>
              </w:rPr>
            </w:pPr>
          </w:p>
        </w:tc>
        <w:tc>
          <w:tcPr>
            <w:tcW w:w="900" w:type="dxa"/>
            <w:vAlign w:val="bottom"/>
            <w:tcBorders>
              <w:bottom w:val="single" w:sz="8" w:color="572C83"/>
            </w:tcBorders>
          </w:tcPr>
          <w:p>
            <w:pPr>
              <w:spacing w:after="0"/>
              <w:rPr>
                <w:sz w:val="4"/>
                <w:szCs w:val="4"/>
                <w:color w:val="auto"/>
              </w:rPr>
            </w:pPr>
          </w:p>
        </w:tc>
        <w:tc>
          <w:tcPr>
            <w:tcW w:w="720" w:type="dxa"/>
            <w:vAlign w:val="bottom"/>
            <w:tcBorders>
              <w:bottom w:val="single" w:sz="8" w:color="572C83"/>
            </w:tcBorders>
          </w:tcPr>
          <w:p>
            <w:pPr>
              <w:spacing w:after="0"/>
              <w:rPr>
                <w:sz w:val="4"/>
                <w:szCs w:val="4"/>
                <w:color w:val="auto"/>
              </w:rPr>
            </w:pPr>
          </w:p>
        </w:tc>
        <w:tc>
          <w:tcPr>
            <w:tcW w:w="720" w:type="dxa"/>
            <w:vAlign w:val="bottom"/>
            <w:tcBorders>
              <w:bottom w:val="single" w:sz="8" w:color="572C83"/>
            </w:tcBorders>
          </w:tcPr>
          <w:p>
            <w:pPr>
              <w:spacing w:after="0"/>
              <w:rPr>
                <w:sz w:val="4"/>
                <w:szCs w:val="4"/>
                <w:color w:val="auto"/>
              </w:rPr>
            </w:pPr>
          </w:p>
        </w:tc>
        <w:tc>
          <w:tcPr>
            <w:tcW w:w="760" w:type="dxa"/>
            <w:vAlign w:val="bottom"/>
            <w:tcBorders>
              <w:bottom w:val="single" w:sz="8" w:color="572C83"/>
            </w:tcBorders>
          </w:tcPr>
          <w:p>
            <w:pPr>
              <w:spacing w:after="0"/>
              <w:rPr>
                <w:sz w:val="4"/>
                <w:szCs w:val="4"/>
                <w:color w:val="auto"/>
              </w:rPr>
            </w:pPr>
          </w:p>
        </w:tc>
        <w:tc>
          <w:tcPr>
            <w:tcW w:w="78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of Stock</w:t>
            </w:r>
          </w:p>
        </w:tc>
        <w:tc>
          <w:tcPr>
            <w:tcW w:w="860" w:type="dxa"/>
            <w:vAlign w:val="bottom"/>
            <w:vMerge w:val="restart"/>
          </w:tcPr>
          <w:p>
            <w:pPr>
              <w:jc w:val="right"/>
              <w:ind w:right="8"/>
              <w:spacing w:after="0" w:line="122" w:lineRule="exact"/>
              <w:rPr>
                <w:sz w:val="20"/>
                <w:szCs w:val="20"/>
                <w:color w:val="auto"/>
              </w:rPr>
            </w:pPr>
            <w:r>
              <w:rPr>
                <w:rFonts w:ascii="Arial" w:cs="Arial" w:eastAsia="Arial" w:hAnsi="Arial"/>
                <w:sz w:val="14"/>
                <w:szCs w:val="14"/>
                <w:b w:val="1"/>
                <w:bCs w:val="1"/>
                <w:color w:val="auto"/>
              </w:rPr>
              <w:t>Securities</w:t>
            </w:r>
          </w:p>
        </w:tc>
        <w:tc>
          <w:tcPr>
            <w:tcW w:w="780" w:type="dxa"/>
            <w:vAlign w:val="bottom"/>
            <w:vMerge w:val="restart"/>
          </w:tcPr>
          <w:p>
            <w:pPr>
              <w:jc w:val="right"/>
              <w:ind w:right="8"/>
              <w:spacing w:after="0" w:line="122" w:lineRule="exact"/>
              <w:rPr>
                <w:sz w:val="20"/>
                <w:szCs w:val="20"/>
                <w:color w:val="auto"/>
              </w:rPr>
            </w:pPr>
            <w:r>
              <w:rPr>
                <w:rFonts w:ascii="Arial" w:cs="Arial" w:eastAsia="Arial" w:hAnsi="Arial"/>
                <w:sz w:val="14"/>
                <w:szCs w:val="14"/>
                <w:b w:val="1"/>
                <w:bCs w:val="1"/>
                <w:color w:val="auto"/>
              </w:rPr>
              <w:t>of</w:t>
            </w:r>
          </w:p>
        </w:tc>
        <w:tc>
          <w:tcPr>
            <w:tcW w:w="740" w:type="dxa"/>
            <w:vAlign w:val="bottom"/>
            <w:vMerge w:val="restart"/>
          </w:tcPr>
          <w:p>
            <w:pPr>
              <w:jc w:val="right"/>
              <w:spacing w:after="0" w:line="122"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48"/>
        </w:trPr>
        <w:tc>
          <w:tcPr>
            <w:tcW w:w="9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or</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Underlying</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Grant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Approval</w:t>
            </w:r>
          </w:p>
        </w:tc>
        <w:tc>
          <w:tcPr>
            <w:tcW w:w="9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16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Maximum Threshold</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78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0"/>
                <w:szCs w:val="20"/>
                <w:b w:val="1"/>
                <w:bCs w:val="1"/>
                <w:color w:val="auto"/>
                <w:vertAlign w:val="superscript"/>
              </w:rPr>
              <w:t>(3)</w:t>
            </w:r>
          </w:p>
        </w:tc>
        <w:tc>
          <w:tcPr>
            <w:tcW w:w="2380" w:type="dxa"/>
            <w:vAlign w:val="bottom"/>
            <w:gridSpan w:val="3"/>
          </w:tcPr>
          <w:p>
            <w:pPr>
              <w:jc w:val="right"/>
              <w:spacing w:after="0" w:line="180" w:lineRule="exact"/>
              <w:rPr>
                <w:sz w:val="20"/>
                <w:szCs w:val="20"/>
                <w:color w:val="auto"/>
              </w:rPr>
            </w:pPr>
            <w:r>
              <w:rPr>
                <w:rFonts w:ascii="Arial" w:cs="Arial" w:eastAsia="Arial" w:hAnsi="Arial"/>
                <w:sz w:val="13"/>
                <w:szCs w:val="13"/>
                <w:b w:val="1"/>
                <w:bCs w:val="1"/>
                <w:color w:val="auto"/>
              </w:rPr>
              <w:t>Options  Awards</w:t>
            </w:r>
            <w:r>
              <w:rPr>
                <w:rFonts w:ascii="Arial" w:cs="Arial" w:eastAsia="Arial" w:hAnsi="Arial"/>
                <w:sz w:val="20"/>
                <w:szCs w:val="20"/>
                <w:b w:val="1"/>
                <w:bCs w:val="1"/>
                <w:color w:val="auto"/>
                <w:vertAlign w:val="superscript"/>
              </w:rPr>
              <w:t>(4)</w:t>
            </w:r>
            <w:r>
              <w:rPr>
                <w:rFonts w:ascii="Arial" w:cs="Arial" w:eastAsia="Arial" w:hAnsi="Arial"/>
                <w:sz w:val="13"/>
                <w:szCs w:val="13"/>
                <w:b w:val="1"/>
                <w:bCs w:val="1"/>
                <w:color w:val="auto"/>
              </w:rPr>
              <w:t xml:space="preserve">  Awards</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219"/>
        </w:trPr>
        <w:tc>
          <w:tcPr>
            <w:tcW w:w="960" w:type="dxa"/>
            <w:vAlign w:val="bottom"/>
            <w:tcBorders>
              <w:bottom w:val="single" w:sz="8" w:color="582C83"/>
            </w:tcBorders>
          </w:tcPr>
          <w:p>
            <w:pPr>
              <w:ind w:left="40"/>
              <w:spacing w:after="0"/>
              <w:rPr>
                <w:sz w:val="20"/>
                <w:szCs w:val="20"/>
                <w:color w:val="auto"/>
              </w:rPr>
            </w:pPr>
            <w:r>
              <w:rPr>
                <w:rFonts w:ascii="Arial" w:cs="Arial" w:eastAsia="Arial" w:hAnsi="Arial"/>
                <w:sz w:val="14"/>
                <w:szCs w:val="14"/>
                <w:b w:val="1"/>
                <w:bCs w:val="1"/>
                <w:color w:val="auto"/>
              </w:rPr>
              <w:t>Name</w:t>
            </w:r>
          </w:p>
        </w:tc>
        <w:tc>
          <w:tcPr>
            <w:tcW w:w="780" w:type="dxa"/>
            <w:vAlign w:val="bottom"/>
            <w:tcBorders>
              <w:bottom w:val="single" w:sz="8" w:color="582C83"/>
            </w:tcBorders>
          </w:tcPr>
          <w:p>
            <w:pPr>
              <w:ind w:left="20"/>
              <w:spacing w:after="0"/>
              <w:rPr>
                <w:sz w:val="20"/>
                <w:szCs w:val="20"/>
                <w:color w:val="auto"/>
              </w:rPr>
            </w:pPr>
            <w:r>
              <w:rPr>
                <w:rFonts w:ascii="Arial" w:cs="Arial" w:eastAsia="Arial" w:hAnsi="Arial"/>
                <w:sz w:val="14"/>
                <w:szCs w:val="14"/>
                <w:b w:val="1"/>
                <w:bCs w:val="1"/>
                <w:color w:val="auto"/>
              </w:rPr>
              <w:t>Date</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Date</w:t>
            </w:r>
          </w:p>
        </w:tc>
        <w:tc>
          <w:tcPr>
            <w:tcW w:w="9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Grant Type</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582C83"/>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82C83"/>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582C83"/>
            </w:tcBorders>
          </w:tcPr>
          <w:p>
            <w:pPr>
              <w:jc w:val="right"/>
              <w:ind w:right="8"/>
              <w:spacing w:after="0"/>
              <w:rPr>
                <w:sz w:val="20"/>
                <w:szCs w:val="20"/>
                <w:color w:val="auto"/>
              </w:rPr>
            </w:pPr>
            <w:r>
              <w:rPr>
                <w:rFonts w:ascii="Arial" w:cs="Arial" w:eastAsia="Arial" w:hAnsi="Arial"/>
                <w:sz w:val="14"/>
                <w:szCs w:val="14"/>
                <w:b w:val="1"/>
                <w:bCs w:val="1"/>
                <w:color w:val="auto"/>
              </w:rPr>
              <w:t>($/Share)</w:t>
            </w:r>
          </w:p>
        </w:tc>
        <w:tc>
          <w:tcPr>
            <w:tcW w:w="7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1"/>
        </w:trPr>
        <w:tc>
          <w:tcPr>
            <w:tcW w:w="960" w:type="dxa"/>
            <w:vAlign w:val="bottom"/>
            <w:tcBorders>
              <w:bottom w:val="single" w:sz="8" w:color="EBE6F0"/>
            </w:tcBorders>
            <w:shd w:val="clear" w:color="auto" w:fill="EBE6F0"/>
          </w:tcPr>
          <w:p>
            <w:pPr>
              <w:ind w:left="40"/>
              <w:spacing w:after="0"/>
              <w:rPr>
                <w:sz w:val="20"/>
                <w:szCs w:val="20"/>
                <w:color w:val="auto"/>
              </w:rPr>
            </w:pPr>
            <w:r>
              <w:rPr>
                <w:rFonts w:ascii="Arial" w:cs="Arial" w:eastAsia="Arial" w:hAnsi="Arial"/>
                <w:sz w:val="14"/>
                <w:szCs w:val="14"/>
                <w:b w:val="1"/>
                <w:bCs w:val="1"/>
                <w:color w:val="auto"/>
              </w:rPr>
              <w:t>Van de Put,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AIP</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1,387,500</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2,775,000</w:t>
            </w:r>
          </w:p>
        </w:tc>
        <w:tc>
          <w:tcPr>
            <w:tcW w:w="900" w:type="dxa"/>
            <w:vAlign w:val="bottom"/>
            <w:tcBorders>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5,550,000</w:t>
            </w:r>
          </w:p>
        </w:tc>
        <w:tc>
          <w:tcPr>
            <w:tcW w:w="720" w:type="dxa"/>
            <w:vAlign w:val="bottom"/>
            <w:tcBorders>
              <w:bottom w:val="single" w:sz="8" w:color="EBE6F0"/>
            </w:tcBorders>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BE6F0"/>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960" w:type="dxa"/>
            <w:vAlign w:val="bottom"/>
            <w:tcBorders>
              <w:top w:val="single" w:sz="8" w:color="EBE6F0"/>
            </w:tcBorders>
            <w:shd w:val="clear" w:color="auto" w:fill="EBE6F0"/>
          </w:tcPr>
          <w:p>
            <w:pPr>
              <w:ind w:left="40"/>
              <w:spacing w:after="0" w:line="140" w:lineRule="exact"/>
              <w:rPr>
                <w:sz w:val="20"/>
                <w:szCs w:val="20"/>
                <w:color w:val="auto"/>
              </w:rPr>
            </w:pPr>
            <w:r>
              <w:rPr>
                <w:rFonts w:ascii="Arial" w:cs="Arial" w:eastAsia="Arial" w:hAnsi="Arial"/>
                <w:sz w:val="14"/>
                <w:szCs w:val="14"/>
                <w:b w:val="1"/>
                <w:bCs w:val="1"/>
                <w:color w:val="auto"/>
              </w:rPr>
              <w:t>Dirk</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Performance</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572C83"/>
            </w:tcBorders>
            <w:vMerge w:val="restart"/>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572C83"/>
            </w:tcBorders>
            <w:vMerge w:val="restart"/>
            <w:shd w:val="clear" w:color="auto" w:fill="EBE6F0"/>
          </w:tcPr>
          <w:p>
            <w:pPr>
              <w:jc w:val="right"/>
              <w:ind w:right="28"/>
              <w:spacing w:after="0"/>
              <w:rPr>
                <w:sz w:val="20"/>
                <w:szCs w:val="20"/>
                <w:color w:val="auto"/>
              </w:rPr>
            </w:pPr>
            <w:r>
              <w:rPr>
                <w:rFonts w:ascii="Arial" w:cs="Arial" w:eastAsia="Arial" w:hAnsi="Arial"/>
                <w:sz w:val="14"/>
                <w:szCs w:val="14"/>
                <w:color w:val="auto"/>
              </w:rPr>
              <w:t>76,835</w:t>
            </w:r>
          </w:p>
        </w:tc>
        <w:tc>
          <w:tcPr>
            <w:tcW w:w="72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153,670</w:t>
            </w:r>
          </w:p>
        </w:tc>
        <w:tc>
          <w:tcPr>
            <w:tcW w:w="76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307,340</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572C83"/>
            </w:tcBorders>
            <w:vMerge w:val="restart"/>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572C83"/>
            </w:tcBorders>
            <w:vMerge w:val="restart"/>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9,120,315</w:t>
            </w:r>
          </w:p>
        </w:tc>
        <w:tc>
          <w:tcPr>
            <w:tcW w:w="0" w:type="dxa"/>
            <w:vAlign w:val="bottom"/>
          </w:tcPr>
          <w:p>
            <w:pPr>
              <w:spacing w:after="0"/>
              <w:rPr>
                <w:sz w:val="1"/>
                <w:szCs w:val="1"/>
                <w:color w:val="auto"/>
              </w:rPr>
            </w:pPr>
          </w:p>
        </w:tc>
      </w:tr>
      <w:tr>
        <w:trPr>
          <w:trHeight w:val="33"/>
        </w:trPr>
        <w:tc>
          <w:tcPr>
            <w:tcW w:w="960" w:type="dxa"/>
            <w:vAlign w:val="bottom"/>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90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900" w:type="dxa"/>
            <w:vAlign w:val="bottom"/>
            <w:vMerge w:val="continue"/>
            <w:shd w:val="clear" w:color="auto" w:fill="EBE6F0"/>
          </w:tcPr>
          <w:p>
            <w:pPr>
              <w:spacing w:after="0"/>
              <w:rPr>
                <w:sz w:val="2"/>
                <w:szCs w:val="2"/>
                <w:color w:val="auto"/>
              </w:rPr>
            </w:pPr>
          </w:p>
        </w:tc>
        <w:tc>
          <w:tcPr>
            <w:tcW w:w="720" w:type="dxa"/>
            <w:vAlign w:val="bottom"/>
            <w:vMerge w:val="continue"/>
            <w:shd w:val="clear" w:color="auto" w:fill="EBE6F0"/>
          </w:tcPr>
          <w:p>
            <w:pPr>
              <w:spacing w:after="0"/>
              <w:rPr>
                <w:sz w:val="2"/>
                <w:szCs w:val="2"/>
                <w:color w:val="auto"/>
              </w:rPr>
            </w:pPr>
          </w:p>
        </w:tc>
        <w:tc>
          <w:tcPr>
            <w:tcW w:w="720" w:type="dxa"/>
            <w:vAlign w:val="bottom"/>
            <w:vMerge w:val="continue"/>
            <w:shd w:val="clear" w:color="auto" w:fill="EBE6F0"/>
          </w:tcPr>
          <w:p>
            <w:pPr>
              <w:spacing w:after="0"/>
              <w:rPr>
                <w:sz w:val="2"/>
                <w:szCs w:val="2"/>
                <w:color w:val="auto"/>
              </w:rPr>
            </w:pPr>
          </w:p>
        </w:tc>
        <w:tc>
          <w:tcPr>
            <w:tcW w:w="76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86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40" w:type="dxa"/>
            <w:vAlign w:val="bottom"/>
            <w:vMerge w:val="continue"/>
            <w:shd w:val="clear" w:color="auto" w:fill="EBE6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256,110</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56.13</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2,320,357</w:t>
            </w:r>
          </w:p>
        </w:tc>
        <w:tc>
          <w:tcPr>
            <w:tcW w:w="0" w:type="dxa"/>
            <w:vAlign w:val="bottom"/>
          </w:tcPr>
          <w:p>
            <w:pPr>
              <w:spacing w:after="0"/>
              <w:rPr>
                <w:sz w:val="1"/>
                <w:szCs w:val="1"/>
                <w:color w:val="auto"/>
              </w:rPr>
            </w:pPr>
          </w:p>
        </w:tc>
      </w:tr>
      <w:tr>
        <w:trPr>
          <w:trHeight w:val="194"/>
        </w:trPr>
        <w:tc>
          <w:tcPr>
            <w:tcW w:w="9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Zaramella,</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AIP</w:t>
            </w:r>
          </w:p>
        </w:tc>
        <w:tc>
          <w:tcPr>
            <w:tcW w:w="780" w:type="dxa"/>
            <w:vAlign w:val="bottom"/>
          </w:tcPr>
          <w:p>
            <w:pPr>
              <w:jc w:val="right"/>
              <w:spacing w:after="0"/>
              <w:rPr>
                <w:sz w:val="20"/>
                <w:szCs w:val="20"/>
                <w:color w:val="auto"/>
              </w:rPr>
            </w:pPr>
            <w:r>
              <w:rPr>
                <w:rFonts w:ascii="Arial" w:cs="Arial" w:eastAsia="Arial" w:hAnsi="Arial"/>
                <w:sz w:val="14"/>
                <w:szCs w:val="14"/>
                <w:color w:val="auto"/>
              </w:rPr>
              <w:t>425,000</w:t>
            </w:r>
          </w:p>
        </w:tc>
        <w:tc>
          <w:tcPr>
            <w:tcW w:w="780" w:type="dxa"/>
            <w:vAlign w:val="bottom"/>
          </w:tcPr>
          <w:p>
            <w:pPr>
              <w:jc w:val="right"/>
              <w:spacing w:after="0"/>
              <w:rPr>
                <w:sz w:val="20"/>
                <w:szCs w:val="20"/>
                <w:color w:val="auto"/>
              </w:rPr>
            </w:pPr>
            <w:r>
              <w:rPr>
                <w:rFonts w:ascii="Arial" w:cs="Arial" w:eastAsia="Arial" w:hAnsi="Arial"/>
                <w:sz w:val="14"/>
                <w:szCs w:val="14"/>
                <w:color w:val="auto"/>
              </w:rPr>
              <w:t>850,000</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1,700,000</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Luca</w:t>
            </w:r>
          </w:p>
        </w:tc>
        <w:tc>
          <w:tcPr>
            <w:tcW w:w="78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90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900" w:type="dxa"/>
            <w:vAlign w:val="bottom"/>
            <w:tcBorders>
              <w:bottom w:val="single" w:sz="8" w:color="572C83"/>
            </w:tcBorders>
          </w:tcPr>
          <w:p>
            <w:pPr>
              <w:spacing w:after="0"/>
              <w:rPr>
                <w:sz w:val="3"/>
                <w:szCs w:val="3"/>
                <w:color w:val="auto"/>
              </w:rPr>
            </w:pPr>
          </w:p>
        </w:tc>
        <w:tc>
          <w:tcPr>
            <w:tcW w:w="720" w:type="dxa"/>
            <w:vAlign w:val="bottom"/>
            <w:tcBorders>
              <w:bottom w:val="single" w:sz="8" w:color="572C83"/>
            </w:tcBorders>
          </w:tcPr>
          <w:p>
            <w:pPr>
              <w:spacing w:after="0"/>
              <w:rPr>
                <w:sz w:val="3"/>
                <w:szCs w:val="3"/>
                <w:color w:val="auto"/>
              </w:rPr>
            </w:pPr>
          </w:p>
        </w:tc>
        <w:tc>
          <w:tcPr>
            <w:tcW w:w="720" w:type="dxa"/>
            <w:vAlign w:val="bottom"/>
            <w:tcBorders>
              <w:bottom w:val="single" w:sz="8" w:color="572C83"/>
            </w:tcBorders>
          </w:tcPr>
          <w:p>
            <w:pPr>
              <w:spacing w:after="0"/>
              <w:rPr>
                <w:sz w:val="3"/>
                <w:szCs w:val="3"/>
                <w:color w:val="auto"/>
              </w:rPr>
            </w:pPr>
          </w:p>
        </w:tc>
        <w:tc>
          <w:tcPr>
            <w:tcW w:w="76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86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7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02/18/2021</w:t>
            </w: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color w:val="auto"/>
              </w:rPr>
              <w:t>– Performance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22,050</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44,100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88,200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2,617,335</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8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40" w:type="dxa"/>
            <w:vAlign w:val="bottom"/>
            <w:tcBorders>
              <w:bottom w:val="single" w:sz="8" w:color="572C83"/>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73,500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56.13</w:t>
            </w:r>
          </w:p>
        </w:tc>
        <w:tc>
          <w:tcPr>
            <w:tcW w:w="740" w:type="dxa"/>
            <w:vAlign w:val="bottom"/>
          </w:tcPr>
          <w:p>
            <w:pPr>
              <w:jc w:val="right"/>
              <w:spacing w:after="0"/>
              <w:rPr>
                <w:sz w:val="20"/>
                <w:szCs w:val="20"/>
                <w:color w:val="auto"/>
              </w:rPr>
            </w:pPr>
            <w:r>
              <w:rPr>
                <w:rFonts w:ascii="Arial" w:cs="Arial" w:eastAsia="Arial" w:hAnsi="Arial"/>
                <w:sz w:val="14"/>
                <w:szCs w:val="14"/>
                <w:color w:val="auto"/>
              </w:rPr>
              <w:t>665,910</w:t>
            </w:r>
          </w:p>
        </w:tc>
        <w:tc>
          <w:tcPr>
            <w:tcW w:w="0" w:type="dxa"/>
            <w:vAlign w:val="bottom"/>
          </w:tcPr>
          <w:p>
            <w:pPr>
              <w:spacing w:after="0"/>
              <w:rPr>
                <w:sz w:val="1"/>
                <w:szCs w:val="1"/>
                <w:color w:val="auto"/>
              </w:rPr>
            </w:pPr>
          </w:p>
        </w:tc>
      </w:tr>
      <w:tr>
        <w:trPr>
          <w:trHeight w:val="194"/>
        </w:trPr>
        <w:tc>
          <w:tcPr>
            <w:tcW w:w="9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8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40" w:type="dxa"/>
            <w:vAlign w:val="bottom"/>
            <w:tcBorders>
              <w:bottom w:val="single" w:sz="8" w:color="572C83"/>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60" w:type="dxa"/>
            <w:vAlign w:val="bottom"/>
            <w:tcBorders>
              <w:bottom w:val="single" w:sz="8" w:color="EBE6F0"/>
            </w:tcBorders>
            <w:shd w:val="clear" w:color="auto" w:fill="EBE6F0"/>
          </w:tcPr>
          <w:p>
            <w:pPr>
              <w:ind w:left="40"/>
              <w:spacing w:after="0"/>
              <w:rPr>
                <w:sz w:val="20"/>
                <w:szCs w:val="20"/>
                <w:color w:val="auto"/>
              </w:rPr>
            </w:pPr>
            <w:r>
              <w:rPr>
                <w:rFonts w:ascii="Arial" w:cs="Arial" w:eastAsia="Arial" w:hAnsi="Arial"/>
                <w:sz w:val="14"/>
                <w:szCs w:val="14"/>
                <w:b w:val="1"/>
                <w:bCs w:val="1"/>
                <w:color w:val="auto"/>
              </w:rPr>
              <w:t>Brusadelli,</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AIP</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307,124</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614,248</w:t>
            </w:r>
          </w:p>
        </w:tc>
        <w:tc>
          <w:tcPr>
            <w:tcW w:w="900" w:type="dxa"/>
            <w:vAlign w:val="bottom"/>
            <w:tcBorders>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1,228,496</w:t>
            </w:r>
          </w:p>
        </w:tc>
        <w:tc>
          <w:tcPr>
            <w:tcW w:w="720" w:type="dxa"/>
            <w:vAlign w:val="bottom"/>
            <w:tcBorders>
              <w:bottom w:val="single" w:sz="8" w:color="EBE6F0"/>
            </w:tcBorders>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BE6F0"/>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BE6F0"/>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960" w:type="dxa"/>
            <w:vAlign w:val="bottom"/>
            <w:tcBorders>
              <w:top w:val="single" w:sz="8" w:color="EBE6F0"/>
            </w:tcBorders>
            <w:shd w:val="clear" w:color="auto" w:fill="EBE6F0"/>
          </w:tcPr>
          <w:p>
            <w:pPr>
              <w:ind w:left="40"/>
              <w:spacing w:after="0" w:line="140" w:lineRule="exact"/>
              <w:rPr>
                <w:sz w:val="20"/>
                <w:szCs w:val="20"/>
                <w:color w:val="auto"/>
              </w:rPr>
            </w:pPr>
            <w:r>
              <w:rPr>
                <w:rFonts w:ascii="Arial" w:cs="Arial" w:eastAsia="Arial" w:hAnsi="Arial"/>
                <w:sz w:val="14"/>
                <w:szCs w:val="14"/>
                <w:b w:val="1"/>
                <w:bCs w:val="1"/>
                <w:color w:val="auto"/>
              </w:rPr>
              <w:t>Maurizio</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Performance</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572C83"/>
            </w:tcBorders>
            <w:vMerge w:val="restart"/>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572C83"/>
            </w:tcBorders>
            <w:vMerge w:val="restart"/>
            <w:shd w:val="clear" w:color="auto" w:fill="EBE6F0"/>
          </w:tcPr>
          <w:p>
            <w:pPr>
              <w:jc w:val="right"/>
              <w:ind w:right="28"/>
              <w:spacing w:after="0"/>
              <w:rPr>
                <w:sz w:val="20"/>
                <w:szCs w:val="20"/>
                <w:color w:val="auto"/>
              </w:rPr>
            </w:pPr>
            <w:r>
              <w:rPr>
                <w:rFonts w:ascii="Arial" w:cs="Arial" w:eastAsia="Arial" w:hAnsi="Arial"/>
                <w:sz w:val="14"/>
                <w:szCs w:val="14"/>
                <w:color w:val="auto"/>
              </w:rPr>
              <w:t>15,370</w:t>
            </w:r>
          </w:p>
        </w:tc>
        <w:tc>
          <w:tcPr>
            <w:tcW w:w="72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30,740</w:t>
            </w:r>
          </w:p>
        </w:tc>
        <w:tc>
          <w:tcPr>
            <w:tcW w:w="76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61,480</w:t>
            </w:r>
          </w:p>
        </w:tc>
        <w:tc>
          <w:tcPr>
            <w:tcW w:w="78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572C83"/>
            </w:tcBorders>
            <w:vMerge w:val="restart"/>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572C83"/>
            </w:tcBorders>
            <w:vMerge w:val="restart"/>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572C83"/>
            </w:tcBorders>
            <w:vMerge w:val="restart"/>
            <w:shd w:val="clear" w:color="auto" w:fill="EBE6F0"/>
          </w:tcPr>
          <w:p>
            <w:pPr>
              <w:jc w:val="right"/>
              <w:spacing w:after="0"/>
              <w:rPr>
                <w:sz w:val="20"/>
                <w:szCs w:val="20"/>
                <w:color w:val="auto"/>
              </w:rPr>
            </w:pPr>
            <w:r>
              <w:rPr>
                <w:rFonts w:ascii="Arial" w:cs="Arial" w:eastAsia="Arial" w:hAnsi="Arial"/>
                <w:sz w:val="14"/>
                <w:szCs w:val="14"/>
                <w:color w:val="auto"/>
              </w:rPr>
              <w:t>1,824,419</w:t>
            </w:r>
          </w:p>
        </w:tc>
        <w:tc>
          <w:tcPr>
            <w:tcW w:w="0" w:type="dxa"/>
            <w:vAlign w:val="bottom"/>
          </w:tcPr>
          <w:p>
            <w:pPr>
              <w:spacing w:after="0"/>
              <w:rPr>
                <w:sz w:val="1"/>
                <w:szCs w:val="1"/>
                <w:color w:val="auto"/>
              </w:rPr>
            </w:pPr>
          </w:p>
        </w:tc>
      </w:tr>
      <w:tr>
        <w:trPr>
          <w:trHeight w:val="33"/>
        </w:trPr>
        <w:tc>
          <w:tcPr>
            <w:tcW w:w="960" w:type="dxa"/>
            <w:vAlign w:val="bottom"/>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90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900" w:type="dxa"/>
            <w:vAlign w:val="bottom"/>
            <w:vMerge w:val="continue"/>
            <w:shd w:val="clear" w:color="auto" w:fill="EBE6F0"/>
          </w:tcPr>
          <w:p>
            <w:pPr>
              <w:spacing w:after="0"/>
              <w:rPr>
                <w:sz w:val="2"/>
                <w:szCs w:val="2"/>
                <w:color w:val="auto"/>
              </w:rPr>
            </w:pPr>
          </w:p>
        </w:tc>
        <w:tc>
          <w:tcPr>
            <w:tcW w:w="720" w:type="dxa"/>
            <w:vAlign w:val="bottom"/>
            <w:vMerge w:val="continue"/>
            <w:shd w:val="clear" w:color="auto" w:fill="EBE6F0"/>
          </w:tcPr>
          <w:p>
            <w:pPr>
              <w:spacing w:after="0"/>
              <w:rPr>
                <w:sz w:val="2"/>
                <w:szCs w:val="2"/>
                <w:color w:val="auto"/>
              </w:rPr>
            </w:pPr>
          </w:p>
        </w:tc>
        <w:tc>
          <w:tcPr>
            <w:tcW w:w="720" w:type="dxa"/>
            <w:vAlign w:val="bottom"/>
            <w:vMerge w:val="continue"/>
            <w:shd w:val="clear" w:color="auto" w:fill="EBE6F0"/>
          </w:tcPr>
          <w:p>
            <w:pPr>
              <w:spacing w:after="0"/>
              <w:rPr>
                <w:sz w:val="2"/>
                <w:szCs w:val="2"/>
                <w:color w:val="auto"/>
              </w:rPr>
            </w:pPr>
          </w:p>
        </w:tc>
        <w:tc>
          <w:tcPr>
            <w:tcW w:w="76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860" w:type="dxa"/>
            <w:vAlign w:val="bottom"/>
            <w:vMerge w:val="continue"/>
            <w:shd w:val="clear" w:color="auto" w:fill="EBE6F0"/>
          </w:tcPr>
          <w:p>
            <w:pPr>
              <w:spacing w:after="0"/>
              <w:rPr>
                <w:sz w:val="2"/>
                <w:szCs w:val="2"/>
                <w:color w:val="auto"/>
              </w:rPr>
            </w:pPr>
          </w:p>
        </w:tc>
        <w:tc>
          <w:tcPr>
            <w:tcW w:w="780" w:type="dxa"/>
            <w:vAlign w:val="bottom"/>
            <w:vMerge w:val="continue"/>
            <w:shd w:val="clear" w:color="auto" w:fill="EBE6F0"/>
          </w:tcPr>
          <w:p>
            <w:pPr>
              <w:spacing w:after="0"/>
              <w:rPr>
                <w:sz w:val="2"/>
                <w:szCs w:val="2"/>
                <w:color w:val="auto"/>
              </w:rPr>
            </w:pPr>
          </w:p>
        </w:tc>
        <w:tc>
          <w:tcPr>
            <w:tcW w:w="740" w:type="dxa"/>
            <w:vAlign w:val="bottom"/>
            <w:vMerge w:val="continue"/>
            <w:shd w:val="clear" w:color="auto" w:fill="EBE6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51,230</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56.13</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464,144</w:t>
            </w:r>
          </w:p>
        </w:tc>
        <w:tc>
          <w:tcPr>
            <w:tcW w:w="0" w:type="dxa"/>
            <w:vAlign w:val="bottom"/>
          </w:tcPr>
          <w:p>
            <w:pPr>
              <w:spacing w:after="0"/>
              <w:rPr>
                <w:sz w:val="1"/>
                <w:szCs w:val="1"/>
                <w:color w:val="auto"/>
              </w:rPr>
            </w:pPr>
          </w:p>
        </w:tc>
      </w:tr>
      <w:tr>
        <w:trPr>
          <w:trHeight w:val="194"/>
        </w:trPr>
        <w:tc>
          <w:tcPr>
            <w:tcW w:w="9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Gruber,</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AIP</w:t>
            </w:r>
          </w:p>
        </w:tc>
        <w:tc>
          <w:tcPr>
            <w:tcW w:w="780" w:type="dxa"/>
            <w:vAlign w:val="bottom"/>
          </w:tcPr>
          <w:p>
            <w:pPr>
              <w:jc w:val="right"/>
              <w:spacing w:after="0"/>
              <w:rPr>
                <w:sz w:val="20"/>
                <w:szCs w:val="20"/>
                <w:color w:val="auto"/>
              </w:rPr>
            </w:pPr>
            <w:r>
              <w:rPr>
                <w:rFonts w:ascii="Arial" w:cs="Arial" w:eastAsia="Arial" w:hAnsi="Arial"/>
                <w:sz w:val="14"/>
                <w:szCs w:val="14"/>
                <w:color w:val="auto"/>
              </w:rPr>
              <w:t>349,452</w:t>
            </w:r>
          </w:p>
        </w:tc>
        <w:tc>
          <w:tcPr>
            <w:tcW w:w="780" w:type="dxa"/>
            <w:vAlign w:val="bottom"/>
          </w:tcPr>
          <w:p>
            <w:pPr>
              <w:jc w:val="right"/>
              <w:spacing w:after="0"/>
              <w:rPr>
                <w:sz w:val="20"/>
                <w:szCs w:val="20"/>
                <w:color w:val="auto"/>
              </w:rPr>
            </w:pPr>
            <w:r>
              <w:rPr>
                <w:rFonts w:ascii="Arial" w:cs="Arial" w:eastAsia="Arial" w:hAnsi="Arial"/>
                <w:sz w:val="14"/>
                <w:szCs w:val="14"/>
                <w:color w:val="auto"/>
              </w:rPr>
              <w:t>698,903</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1,397,806</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Vinzenz</w:t>
            </w:r>
          </w:p>
        </w:tc>
        <w:tc>
          <w:tcPr>
            <w:tcW w:w="78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90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900" w:type="dxa"/>
            <w:vAlign w:val="bottom"/>
            <w:tcBorders>
              <w:bottom w:val="single" w:sz="8" w:color="572C83"/>
            </w:tcBorders>
          </w:tcPr>
          <w:p>
            <w:pPr>
              <w:spacing w:after="0"/>
              <w:rPr>
                <w:sz w:val="3"/>
                <w:szCs w:val="3"/>
                <w:color w:val="auto"/>
              </w:rPr>
            </w:pPr>
          </w:p>
        </w:tc>
        <w:tc>
          <w:tcPr>
            <w:tcW w:w="720" w:type="dxa"/>
            <w:vAlign w:val="bottom"/>
            <w:tcBorders>
              <w:bottom w:val="single" w:sz="8" w:color="572C83"/>
            </w:tcBorders>
          </w:tcPr>
          <w:p>
            <w:pPr>
              <w:spacing w:after="0"/>
              <w:rPr>
                <w:sz w:val="3"/>
                <w:szCs w:val="3"/>
                <w:color w:val="auto"/>
              </w:rPr>
            </w:pPr>
          </w:p>
        </w:tc>
        <w:tc>
          <w:tcPr>
            <w:tcW w:w="720" w:type="dxa"/>
            <w:vAlign w:val="bottom"/>
            <w:tcBorders>
              <w:bottom w:val="single" w:sz="8" w:color="572C83"/>
            </w:tcBorders>
          </w:tcPr>
          <w:p>
            <w:pPr>
              <w:spacing w:after="0"/>
              <w:rPr>
                <w:sz w:val="3"/>
                <w:szCs w:val="3"/>
                <w:color w:val="auto"/>
              </w:rPr>
            </w:pPr>
          </w:p>
        </w:tc>
        <w:tc>
          <w:tcPr>
            <w:tcW w:w="76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860" w:type="dxa"/>
            <w:vAlign w:val="bottom"/>
            <w:tcBorders>
              <w:bottom w:val="single" w:sz="8" w:color="572C83"/>
            </w:tcBorders>
          </w:tcPr>
          <w:p>
            <w:pPr>
              <w:spacing w:after="0"/>
              <w:rPr>
                <w:sz w:val="3"/>
                <w:szCs w:val="3"/>
                <w:color w:val="auto"/>
              </w:rPr>
            </w:pPr>
          </w:p>
        </w:tc>
        <w:tc>
          <w:tcPr>
            <w:tcW w:w="780" w:type="dxa"/>
            <w:vAlign w:val="bottom"/>
            <w:tcBorders>
              <w:bottom w:val="single" w:sz="8" w:color="572C83"/>
            </w:tcBorders>
          </w:tcPr>
          <w:p>
            <w:pPr>
              <w:spacing w:after="0"/>
              <w:rPr>
                <w:sz w:val="3"/>
                <w:szCs w:val="3"/>
                <w:color w:val="auto"/>
              </w:rPr>
            </w:pPr>
          </w:p>
        </w:tc>
        <w:tc>
          <w:tcPr>
            <w:tcW w:w="7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960" w:type="dxa"/>
            <w:vAlign w:val="bottom"/>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02/18/2021</w:t>
            </w:r>
          </w:p>
        </w:tc>
        <w:tc>
          <w:tcPr>
            <w:tcW w:w="1680" w:type="dxa"/>
            <w:vAlign w:val="bottom"/>
            <w:gridSpan w:val="2"/>
            <w:vMerge w:val="restart"/>
          </w:tcPr>
          <w:p>
            <w:pPr>
              <w:jc w:val="right"/>
              <w:spacing w:after="0"/>
              <w:rPr>
                <w:sz w:val="20"/>
                <w:szCs w:val="20"/>
                <w:color w:val="auto"/>
              </w:rPr>
            </w:pPr>
            <w:r>
              <w:rPr>
                <w:rFonts w:ascii="Arial" w:cs="Arial" w:eastAsia="Arial" w:hAnsi="Arial"/>
                <w:sz w:val="14"/>
                <w:szCs w:val="14"/>
                <w:color w:val="auto"/>
              </w:rPr>
              <w:t>– Performance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16,035</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32,070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64,140</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1,903,355</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8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40" w:type="dxa"/>
            <w:vAlign w:val="bottom"/>
            <w:tcBorders>
              <w:bottom w:val="single" w:sz="8" w:color="572C83"/>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53,450</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56.13</w:t>
            </w:r>
          </w:p>
        </w:tc>
        <w:tc>
          <w:tcPr>
            <w:tcW w:w="740" w:type="dxa"/>
            <w:vAlign w:val="bottom"/>
          </w:tcPr>
          <w:p>
            <w:pPr>
              <w:jc w:val="right"/>
              <w:spacing w:after="0"/>
              <w:rPr>
                <w:sz w:val="20"/>
                <w:szCs w:val="20"/>
                <w:color w:val="auto"/>
              </w:rPr>
            </w:pPr>
            <w:r>
              <w:rPr>
                <w:rFonts w:ascii="Arial" w:cs="Arial" w:eastAsia="Arial" w:hAnsi="Arial"/>
                <w:sz w:val="14"/>
                <w:szCs w:val="14"/>
                <w:color w:val="auto"/>
              </w:rPr>
              <w:t>484,257</w:t>
            </w:r>
          </w:p>
        </w:tc>
        <w:tc>
          <w:tcPr>
            <w:tcW w:w="0" w:type="dxa"/>
            <w:vAlign w:val="bottom"/>
          </w:tcPr>
          <w:p>
            <w:pPr>
              <w:spacing w:after="0"/>
              <w:rPr>
                <w:sz w:val="1"/>
                <w:szCs w:val="1"/>
                <w:color w:val="auto"/>
              </w:rPr>
            </w:pPr>
          </w:p>
        </w:tc>
      </w:tr>
      <w:tr>
        <w:trPr>
          <w:trHeight w:val="194"/>
        </w:trPr>
        <w:tc>
          <w:tcPr>
            <w:tcW w:w="9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90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20" w:type="dxa"/>
            <w:vAlign w:val="bottom"/>
            <w:tcBorders>
              <w:bottom w:val="single" w:sz="8" w:color="572C83"/>
            </w:tcBorders>
          </w:tcPr>
          <w:p>
            <w:pPr>
              <w:spacing w:after="0"/>
              <w:rPr>
                <w:sz w:val="16"/>
                <w:szCs w:val="16"/>
                <w:color w:val="auto"/>
              </w:rPr>
            </w:pPr>
          </w:p>
        </w:tc>
        <w:tc>
          <w:tcPr>
            <w:tcW w:w="7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860" w:type="dxa"/>
            <w:vAlign w:val="bottom"/>
            <w:tcBorders>
              <w:bottom w:val="single" w:sz="8" w:color="572C83"/>
            </w:tcBorders>
          </w:tcPr>
          <w:p>
            <w:pPr>
              <w:spacing w:after="0"/>
              <w:rPr>
                <w:sz w:val="16"/>
                <w:szCs w:val="16"/>
                <w:color w:val="auto"/>
              </w:rPr>
            </w:pPr>
          </w:p>
        </w:tc>
        <w:tc>
          <w:tcPr>
            <w:tcW w:w="780" w:type="dxa"/>
            <w:vAlign w:val="bottom"/>
            <w:tcBorders>
              <w:bottom w:val="single" w:sz="8" w:color="572C83"/>
            </w:tcBorders>
          </w:tcPr>
          <w:p>
            <w:pPr>
              <w:spacing w:after="0"/>
              <w:rPr>
                <w:sz w:val="16"/>
                <w:szCs w:val="16"/>
                <w:color w:val="auto"/>
              </w:rPr>
            </w:pPr>
          </w:p>
        </w:tc>
        <w:tc>
          <w:tcPr>
            <w:tcW w:w="740" w:type="dxa"/>
            <w:vAlign w:val="bottom"/>
            <w:tcBorders>
              <w:bottom w:val="single" w:sz="8" w:color="572C83"/>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EBE6F0"/>
            </w:tcBorders>
            <w:shd w:val="clear" w:color="auto" w:fill="EBE6F0"/>
          </w:tcPr>
          <w:p>
            <w:pPr>
              <w:ind w:left="40"/>
              <w:spacing w:after="0"/>
              <w:rPr>
                <w:sz w:val="20"/>
                <w:szCs w:val="20"/>
                <w:color w:val="auto"/>
              </w:rPr>
            </w:pPr>
            <w:r>
              <w:rPr>
                <w:rFonts w:ascii="Arial" w:cs="Arial" w:eastAsia="Arial" w:hAnsi="Arial"/>
                <w:sz w:val="14"/>
                <w:szCs w:val="14"/>
                <w:b w:val="1"/>
                <w:bCs w:val="1"/>
                <w:color w:val="auto"/>
              </w:rPr>
              <w:t>Stein, Laura</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AIP</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282,055</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564,110</w:t>
            </w:r>
          </w:p>
        </w:tc>
        <w:tc>
          <w:tcPr>
            <w:tcW w:w="900" w:type="dxa"/>
            <w:vAlign w:val="bottom"/>
            <w:tcBorders>
              <w:bottom w:val="single" w:sz="8" w:color="572C83"/>
            </w:tcBorders>
            <w:shd w:val="clear" w:color="auto" w:fill="EBE6F0"/>
          </w:tcPr>
          <w:p>
            <w:pPr>
              <w:jc w:val="right"/>
              <w:ind w:right="88"/>
              <w:spacing w:after="0"/>
              <w:rPr>
                <w:sz w:val="20"/>
                <w:szCs w:val="20"/>
                <w:color w:val="auto"/>
              </w:rPr>
            </w:pPr>
            <w:r>
              <w:rPr>
                <w:rFonts w:ascii="Arial" w:cs="Arial" w:eastAsia="Arial" w:hAnsi="Arial"/>
                <w:sz w:val="14"/>
                <w:szCs w:val="14"/>
                <w:color w:val="auto"/>
              </w:rPr>
              <w:t>1,128,220</w:t>
            </w:r>
          </w:p>
        </w:tc>
        <w:tc>
          <w:tcPr>
            <w:tcW w:w="720" w:type="dxa"/>
            <w:vAlign w:val="bottom"/>
            <w:tcBorders>
              <w:bottom w:val="single" w:sz="8" w:color="572C83"/>
            </w:tcBorders>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572C83"/>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72C83"/>
            </w:tcBorders>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11/4/20</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Performance</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13,580</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27,160</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54,320</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1,794,881</w:t>
            </w:r>
          </w:p>
        </w:tc>
        <w:tc>
          <w:tcPr>
            <w:tcW w:w="0" w:type="dxa"/>
            <w:vAlign w:val="bottom"/>
          </w:tcPr>
          <w:p>
            <w:pPr>
              <w:spacing w:after="0"/>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11/4/20</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48,170</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57.09</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447,018</w:t>
            </w:r>
          </w:p>
        </w:tc>
        <w:tc>
          <w:tcPr>
            <w:tcW w:w="0" w:type="dxa"/>
            <w:vAlign w:val="bottom"/>
          </w:tcPr>
          <w:p>
            <w:pPr>
              <w:spacing w:after="0"/>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11/4/20</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Deferred</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4,380</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250,054</w:t>
            </w:r>
          </w:p>
        </w:tc>
        <w:tc>
          <w:tcPr>
            <w:tcW w:w="0" w:type="dxa"/>
            <w:vAlign w:val="bottom"/>
          </w:tcPr>
          <w:p>
            <w:pPr>
              <w:spacing w:after="0"/>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Stock Units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Performance</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12,030</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24,060</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48,120</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1,427,961</w:t>
            </w:r>
          </w:p>
        </w:tc>
        <w:tc>
          <w:tcPr>
            <w:tcW w:w="0" w:type="dxa"/>
            <w:vAlign w:val="bottom"/>
          </w:tcPr>
          <w:p>
            <w:pPr>
              <w:spacing w:after="0"/>
              <w:rPr>
                <w:sz w:val="1"/>
                <w:szCs w:val="1"/>
                <w:color w:val="auto"/>
              </w:rPr>
            </w:pPr>
          </w:p>
        </w:tc>
      </w:tr>
      <w:tr>
        <w:trPr>
          <w:trHeight w:val="194"/>
        </w:trPr>
        <w:tc>
          <w:tcPr>
            <w:tcW w:w="960" w:type="dxa"/>
            <w:vAlign w:val="bottom"/>
            <w:tcBorders>
              <w:bottom w:val="single" w:sz="8" w:color="EBE6F0"/>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Share Units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shd w:val="clear" w:color="auto" w:fill="EBE6F0"/>
          </w:tcPr>
          <w:p>
            <w:pPr>
              <w:spacing w:after="0"/>
              <w:rPr>
                <w:sz w:val="15"/>
                <w:szCs w:val="15"/>
                <w:color w:val="auto"/>
              </w:rPr>
            </w:pP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40,090</w:t>
            </w:r>
          </w:p>
        </w:tc>
        <w:tc>
          <w:tcPr>
            <w:tcW w:w="780" w:type="dxa"/>
            <w:vAlign w:val="bottom"/>
            <w:shd w:val="clear" w:color="auto" w:fill="EBE6F0"/>
          </w:tcPr>
          <w:p>
            <w:pPr>
              <w:jc w:val="right"/>
              <w:ind w:right="8"/>
              <w:spacing w:after="0"/>
              <w:rPr>
                <w:sz w:val="20"/>
                <w:szCs w:val="20"/>
                <w:color w:val="auto"/>
              </w:rPr>
            </w:pPr>
            <w:r>
              <w:rPr>
                <w:rFonts w:ascii="Arial" w:cs="Arial" w:eastAsia="Arial" w:hAnsi="Arial"/>
                <w:sz w:val="14"/>
                <w:szCs w:val="14"/>
                <w:color w:val="auto"/>
              </w:rPr>
              <w:t>56.13</w:t>
            </w:r>
          </w:p>
        </w:tc>
        <w:tc>
          <w:tcPr>
            <w:tcW w:w="740" w:type="dxa"/>
            <w:vAlign w:val="bottom"/>
            <w:shd w:val="clear" w:color="auto" w:fill="EBE6F0"/>
          </w:tcPr>
          <w:p>
            <w:pPr>
              <w:jc w:val="right"/>
              <w:spacing w:after="0"/>
              <w:rPr>
                <w:sz w:val="20"/>
                <w:szCs w:val="20"/>
                <w:color w:val="auto"/>
              </w:rPr>
            </w:pPr>
            <w:r>
              <w:rPr>
                <w:rFonts w:ascii="Arial" w:cs="Arial" w:eastAsia="Arial" w:hAnsi="Arial"/>
                <w:sz w:val="14"/>
                <w:szCs w:val="14"/>
                <w:color w:val="auto"/>
              </w:rPr>
              <w:t>363,215</w:t>
            </w:r>
          </w:p>
        </w:tc>
        <w:tc>
          <w:tcPr>
            <w:tcW w:w="0" w:type="dxa"/>
            <w:vAlign w:val="bottom"/>
          </w:tcPr>
          <w:p>
            <w:pPr>
              <w:spacing w:after="0"/>
              <w:rPr>
                <w:sz w:val="1"/>
                <w:szCs w:val="1"/>
                <w:color w:val="auto"/>
              </w:rPr>
            </w:pPr>
          </w:p>
        </w:tc>
      </w:tr>
      <w:tr>
        <w:trPr>
          <w:trHeight w:val="194"/>
        </w:trPr>
        <w:tc>
          <w:tcPr>
            <w:tcW w:w="9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4"/>
                <w:szCs w:val="14"/>
                <w:color w:val="auto"/>
              </w:rPr>
              <w:t>Options</w:t>
            </w:r>
          </w:p>
        </w:tc>
        <w:tc>
          <w:tcPr>
            <w:tcW w:w="78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90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20" w:type="dxa"/>
            <w:vAlign w:val="bottom"/>
            <w:tcBorders>
              <w:bottom w:val="single" w:sz="8" w:color="572C83"/>
            </w:tcBorders>
            <w:shd w:val="clear" w:color="auto" w:fill="EBE6F0"/>
          </w:tcPr>
          <w:p>
            <w:pPr>
              <w:spacing w:after="0"/>
              <w:rPr>
                <w:sz w:val="16"/>
                <w:szCs w:val="16"/>
                <w:color w:val="auto"/>
              </w:rPr>
            </w:pPr>
          </w:p>
        </w:tc>
        <w:tc>
          <w:tcPr>
            <w:tcW w:w="7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860" w:type="dxa"/>
            <w:vAlign w:val="bottom"/>
            <w:tcBorders>
              <w:bottom w:val="single" w:sz="8" w:color="572C83"/>
            </w:tcBorders>
            <w:shd w:val="clear" w:color="auto" w:fill="EBE6F0"/>
          </w:tcPr>
          <w:p>
            <w:pPr>
              <w:spacing w:after="0"/>
              <w:rPr>
                <w:sz w:val="16"/>
                <w:szCs w:val="16"/>
                <w:color w:val="auto"/>
              </w:rPr>
            </w:pPr>
          </w:p>
        </w:tc>
        <w:tc>
          <w:tcPr>
            <w:tcW w:w="780" w:type="dxa"/>
            <w:vAlign w:val="bottom"/>
            <w:tcBorders>
              <w:bottom w:val="single" w:sz="8" w:color="572C83"/>
            </w:tcBorders>
            <w:shd w:val="clear" w:color="auto" w:fill="EBE6F0"/>
          </w:tcPr>
          <w:p>
            <w:pPr>
              <w:spacing w:after="0"/>
              <w:rPr>
                <w:sz w:val="16"/>
                <w:szCs w:val="16"/>
                <w:color w:val="auto"/>
              </w:rPr>
            </w:pPr>
          </w:p>
        </w:tc>
        <w:tc>
          <w:tcPr>
            <w:tcW w:w="740" w:type="dxa"/>
            <w:vAlign w:val="bottom"/>
            <w:tcBorders>
              <w:bottom w:val="single" w:sz="8" w:color="572C83"/>
            </w:tcBorders>
            <w:shd w:val="clear" w:color="auto" w:fill="EBE6F0"/>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0" w:right="280" w:hanging="356"/>
        <w:spacing w:after="0" w:line="259" w:lineRule="auto"/>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Threshold amounts equal 50% of target. A zero payout is possible if threshold performance levels are not achieved. Actual amounts under our 2021 AIP were settled in March 2022 and are disclosed in the Non-Equity Incentive Plan Compensation Annual Incentive Awards column in the 2021 Summary Compensation Table. Maximum amounts equal 200% of target. The amounts for Messrs. Brusadelli and Gruber are converted to U.S. dollars using the Applicable Exchange Rate.</w:t>
      </w:r>
    </w:p>
    <w:p>
      <w:pPr>
        <w:spacing w:after="0" w:line="15" w:lineRule="exact"/>
        <w:rPr>
          <w:rFonts w:ascii="Arial" w:cs="Arial" w:eastAsia="Arial" w:hAnsi="Arial"/>
          <w:sz w:val="16"/>
          <w:szCs w:val="16"/>
          <w:color w:val="auto"/>
        </w:rPr>
      </w:pPr>
    </w:p>
    <w:p>
      <w:pPr>
        <w:ind w:left="400" w:right="120" w:hanging="356"/>
        <w:spacing w:after="0" w:line="255" w:lineRule="auto"/>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Threshold units equal 50% of target units. A zero payout is possible if threshold performance levels are not achieved. The target number of units shown in the table reflects the number of shares of our Common Stock earned if performance is achieved at target levels. Maximum units equal 200% of target units. Actual shares earned under the 2021-2023 performance cycle will be issued no later than March 15, 2024, assuming threshold performance is achieved. All shares will be awarded net of applicable tax withholding. Dividend equivalents accrue during the performance cycle and will be paid at the end of the performance cycle in cash, net of applicable tax withholding, based on the actual number of shares earned for the performance cycle, if any.</w:t>
      </w:r>
    </w:p>
    <w:p>
      <w:pPr>
        <w:spacing w:after="0" w:line="210" w:lineRule="exact"/>
        <w:rPr>
          <w:rFonts w:ascii="Arial" w:cs="Arial" w:eastAsia="Arial" w:hAnsi="Arial"/>
          <w:sz w:val="16"/>
          <w:szCs w:val="16"/>
          <w:color w:val="auto"/>
        </w:rPr>
      </w:pPr>
    </w:p>
    <w:p>
      <w:pPr>
        <w:ind w:left="400" w:hanging="356"/>
        <w:spacing w:after="0"/>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Dividend equivalents are generally paid on unvested deferred stock units at a similar time as dividends are paid to our shareholders.</w:t>
      </w:r>
    </w:p>
    <w:p>
      <w:pPr>
        <w:spacing w:after="0" w:line="59" w:lineRule="exact"/>
        <w:rPr>
          <w:rFonts w:ascii="Arial" w:cs="Arial" w:eastAsia="Arial" w:hAnsi="Arial"/>
          <w:sz w:val="16"/>
          <w:szCs w:val="16"/>
          <w:color w:val="auto"/>
        </w:rPr>
      </w:pPr>
    </w:p>
    <w:p>
      <w:pPr>
        <w:ind w:left="400" w:hanging="356"/>
        <w:spacing w:after="0"/>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Exercise price equals the closing price of our Common Stock on the grant date.</w:t>
      </w:r>
    </w:p>
    <w:p>
      <w:pPr>
        <w:spacing w:after="0" w:line="59" w:lineRule="exact"/>
        <w:rPr>
          <w:rFonts w:ascii="Arial" w:cs="Arial" w:eastAsia="Arial" w:hAnsi="Arial"/>
          <w:sz w:val="16"/>
          <w:szCs w:val="16"/>
          <w:color w:val="auto"/>
        </w:rPr>
      </w:pPr>
    </w:p>
    <w:p>
      <w:pPr>
        <w:ind w:left="400" w:hanging="356"/>
        <w:spacing w:after="0"/>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represent the grant date fair value of the awards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Outstanding Equity Awards at Fiscal Year-End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bottom w:val="single" w:sz="8" w:color="572C83"/>
            </w:tcBorders>
          </w:tcPr>
          <w:p>
            <w:pPr>
              <w:spacing w:after="0"/>
              <w:rPr>
                <w:sz w:val="17"/>
                <w:szCs w:val="17"/>
                <w:color w:val="auto"/>
              </w:rPr>
            </w:pPr>
          </w:p>
        </w:tc>
        <w:tc>
          <w:tcPr>
            <w:tcW w:w="2200" w:type="dxa"/>
            <w:vAlign w:val="bottom"/>
            <w:tcBorders>
              <w:bottom w:val="single" w:sz="8" w:color="572C83"/>
            </w:tcBorders>
            <w:gridSpan w:val="2"/>
          </w:tcPr>
          <w:p>
            <w:pPr>
              <w:jc w:val="right"/>
              <w:ind w:right="528"/>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572C83"/>
            </w:tcBorders>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572C83"/>
            </w:tcBorders>
          </w:tcPr>
          <w:p>
            <w:pPr>
              <w:spacing w:after="0"/>
              <w:rPr>
                <w:sz w:val="17"/>
                <w:szCs w:val="17"/>
                <w:color w:val="auto"/>
              </w:rPr>
            </w:pPr>
          </w:p>
        </w:tc>
        <w:tc>
          <w:tcPr>
            <w:tcW w:w="2020" w:type="dxa"/>
            <w:vAlign w:val="bottom"/>
            <w:tcBorders>
              <w:bottom w:val="single" w:sz="8" w:color="572C83"/>
            </w:tcBorders>
            <w:gridSpan w:val="2"/>
          </w:tcPr>
          <w:p>
            <w:pPr>
              <w:jc w:val="right"/>
              <w:ind w:right="449"/>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572C83"/>
            </w:tcBorders>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Market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Payout Value</w:t>
            </w:r>
          </w:p>
        </w:tc>
      </w:tr>
      <w:tr>
        <w:trPr>
          <w:trHeight w:val="171"/>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Shares or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Unearned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or Units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Units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Units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of Stock</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or Other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That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That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1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r>
      <w:tr>
        <w:trPr>
          <w:trHeight w:val="180"/>
        </w:trPr>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24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0"/>
                <w:szCs w:val="20"/>
                <w:b w:val="1"/>
                <w:bCs w:val="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(1)</w:t>
            </w:r>
          </w:p>
        </w:tc>
        <w:tc>
          <w:tcPr>
            <w:tcW w:w="98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w:t>
            </w:r>
          </w:p>
        </w:tc>
        <w:tc>
          <w:tcPr>
            <w:tcW w:w="1040" w:type="dxa"/>
            <w:vAlign w:val="bottom"/>
          </w:tcPr>
          <w:p>
            <w:pPr>
              <w:jc w:val="right"/>
              <w:spacing w:after="0" w:line="180" w:lineRule="exact"/>
              <w:rPr>
                <w:sz w:val="20"/>
                <w:szCs w:val="20"/>
                <w:color w:val="auto"/>
              </w:rPr>
            </w:pPr>
            <w:r>
              <w:rPr>
                <w:rFonts w:ascii="Arial" w:cs="Arial" w:eastAsia="Arial" w:hAnsi="Arial"/>
                <w:sz w:val="20"/>
                <w:szCs w:val="20"/>
                <w:b w:val="1"/>
                <w:bCs w:val="1"/>
                <w:color w:val="auto"/>
                <w:vertAlign w:val="subscript"/>
              </w:rPr>
              <w:t>Vested</w:t>
            </w:r>
            <w:r>
              <w:rPr>
                <w:rFonts w:ascii="Arial" w:cs="Arial" w:eastAsia="Arial" w:hAnsi="Arial"/>
                <w:sz w:val="10"/>
                <w:szCs w:val="10"/>
                <w:b w:val="1"/>
                <w:bCs w:val="1"/>
                <w:color w:val="auto"/>
              </w:rPr>
              <w:t>(1),(3)</w:t>
            </w:r>
          </w:p>
        </w:tc>
        <w:tc>
          <w:tcPr>
            <w:tcW w:w="104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w:t>
            </w:r>
          </w:p>
        </w:tc>
      </w:tr>
      <w:tr>
        <w:trPr>
          <w:trHeight w:val="219"/>
        </w:trPr>
        <w:tc>
          <w:tcPr>
            <w:tcW w:w="1780" w:type="dxa"/>
            <w:vAlign w:val="bottom"/>
            <w:tcBorders>
              <w:bottom w:val="single" w:sz="8" w:color="582C83"/>
            </w:tcBorders>
          </w:tcPr>
          <w:p>
            <w:pPr>
              <w:ind w:left="6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Grant Date</w:t>
            </w:r>
          </w:p>
        </w:tc>
        <w:tc>
          <w:tcPr>
            <w:tcW w:w="10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Date</w:t>
            </w:r>
          </w:p>
        </w:tc>
        <w:tc>
          <w:tcPr>
            <w:tcW w:w="1200" w:type="dxa"/>
            <w:vAlign w:val="bottom"/>
            <w:tcBorders>
              <w:bottom w:val="single" w:sz="8" w:color="582C83"/>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75"/>
        </w:trPr>
        <w:tc>
          <w:tcPr>
            <w:tcW w:w="17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4"/>
                <w:szCs w:val="14"/>
                <w:b w:val="1"/>
                <w:bCs w:val="1"/>
                <w:color w:val="auto"/>
              </w:rPr>
              <w:t>Van de Put, Dirk</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11/20/2017</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133,580</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42.110</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11/20/2027</w:t>
            </w:r>
          </w:p>
        </w:tc>
        <w:tc>
          <w:tcPr>
            <w:tcW w:w="200" w:type="dxa"/>
            <w:vAlign w:val="bottom"/>
            <w:tcBorders>
              <w:bottom w:val="single" w:sz="8" w:color="EBE6F0"/>
            </w:tcBorders>
            <w:shd w:val="clear" w:color="auto" w:fill="EBE6F0"/>
          </w:tcPr>
          <w:p>
            <w:pPr>
              <w:spacing w:after="0"/>
              <w:rPr>
                <w:sz w:val="23"/>
                <w:szCs w:val="23"/>
                <w:color w:val="auto"/>
              </w:rPr>
            </w:pP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02/22/2018</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258,570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43.510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02/22/2028</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02/22/2019</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180,668</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93,072</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47.720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02/22/2029</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279,480</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18,532,319</w:t>
            </w:r>
          </w:p>
        </w:tc>
      </w:tr>
      <w:tr>
        <w:trPr>
          <w:trHeight w:val="269"/>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76,857</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156,043</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59.040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02/20/2030</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307,340</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20,379,715</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256,110</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56.130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02/18/2031</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1780" w:type="dxa"/>
            <w:vAlign w:val="bottom"/>
            <w:tcBorders>
              <w:top w:val="single" w:sz="8" w:color="572C83"/>
            </w:tcBorders>
          </w:tcPr>
          <w:p>
            <w:pPr>
              <w:ind w:left="60"/>
              <w:spacing w:after="0"/>
              <w:rPr>
                <w:sz w:val="20"/>
                <w:szCs w:val="20"/>
                <w:color w:val="auto"/>
              </w:rPr>
            </w:pPr>
            <w:r>
              <w:rPr>
                <w:rFonts w:ascii="Arial" w:cs="Arial" w:eastAsia="Arial" w:hAnsi="Arial"/>
                <w:sz w:val="14"/>
                <w:szCs w:val="14"/>
                <w:b w:val="1"/>
                <w:bCs w:val="1"/>
                <w:color w:val="auto"/>
              </w:rPr>
              <w:t>Zaramella, Luca</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02/19/2014</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21,960</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34.165</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02/19/2024</w:t>
            </w:r>
          </w:p>
        </w:tc>
        <w:tc>
          <w:tcPr>
            <w:tcW w:w="200" w:type="dxa"/>
            <w:vAlign w:val="bottom"/>
            <w:tcBorders>
              <w:top w:val="single" w:sz="8" w:color="572C83"/>
            </w:tcBorders>
          </w:tcPr>
          <w:p>
            <w:pPr>
              <w:spacing w:after="0"/>
              <w:rPr>
                <w:sz w:val="20"/>
                <w:szCs w:val="20"/>
                <w:color w:val="auto"/>
              </w:rPr>
            </w:pP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r>
      <w:tr>
        <w:trPr>
          <w:trHeight w:val="29"/>
        </w:trPr>
        <w:tc>
          <w:tcPr>
            <w:tcW w:w="1780" w:type="dxa"/>
            <w:vAlign w:val="bottom"/>
          </w:tcPr>
          <w:p>
            <w:pPr>
              <w:spacing w:after="0"/>
              <w:rPr>
                <w:sz w:val="2"/>
                <w:szCs w:val="2"/>
                <w:color w:val="auto"/>
              </w:rPr>
            </w:pPr>
          </w:p>
        </w:tc>
        <w:tc>
          <w:tcPr>
            <w:tcW w:w="1000" w:type="dxa"/>
            <w:vAlign w:val="bottom"/>
            <w:tcBorders>
              <w:bottom w:val="single" w:sz="8" w:color="572C83"/>
            </w:tcBorders>
          </w:tcPr>
          <w:p>
            <w:pPr>
              <w:spacing w:after="0"/>
              <w:rPr>
                <w:sz w:val="2"/>
                <w:szCs w:val="2"/>
                <w:color w:val="auto"/>
              </w:rPr>
            </w:pPr>
          </w:p>
        </w:tc>
        <w:tc>
          <w:tcPr>
            <w:tcW w:w="1000" w:type="dxa"/>
            <w:vAlign w:val="bottom"/>
            <w:tcBorders>
              <w:bottom w:val="single" w:sz="8" w:color="572C83"/>
            </w:tcBorders>
          </w:tcPr>
          <w:p>
            <w:pPr>
              <w:spacing w:after="0"/>
              <w:rPr>
                <w:sz w:val="2"/>
                <w:szCs w:val="2"/>
                <w:color w:val="auto"/>
              </w:rPr>
            </w:pPr>
          </w:p>
        </w:tc>
        <w:tc>
          <w:tcPr>
            <w:tcW w:w="1240" w:type="dxa"/>
            <w:vAlign w:val="bottom"/>
            <w:tcBorders>
              <w:bottom w:val="single" w:sz="8" w:color="572C83"/>
            </w:tcBorders>
          </w:tcPr>
          <w:p>
            <w:pPr>
              <w:spacing w:after="0"/>
              <w:rPr>
                <w:sz w:val="2"/>
                <w:szCs w:val="2"/>
                <w:color w:val="auto"/>
              </w:rPr>
            </w:pPr>
          </w:p>
        </w:tc>
        <w:tc>
          <w:tcPr>
            <w:tcW w:w="960" w:type="dxa"/>
            <w:vAlign w:val="bottom"/>
            <w:tcBorders>
              <w:bottom w:val="single" w:sz="8" w:color="572C83"/>
            </w:tcBorders>
          </w:tcPr>
          <w:p>
            <w:pPr>
              <w:spacing w:after="0"/>
              <w:rPr>
                <w:sz w:val="2"/>
                <w:szCs w:val="2"/>
                <w:color w:val="auto"/>
              </w:rPr>
            </w:pPr>
          </w:p>
        </w:tc>
        <w:tc>
          <w:tcPr>
            <w:tcW w:w="1000" w:type="dxa"/>
            <w:vAlign w:val="bottom"/>
            <w:tcBorders>
              <w:bottom w:val="single" w:sz="8" w:color="572C83"/>
            </w:tcBorders>
          </w:tcPr>
          <w:p>
            <w:pPr>
              <w:spacing w:after="0"/>
              <w:rPr>
                <w:sz w:val="2"/>
                <w:szCs w:val="2"/>
                <w:color w:val="auto"/>
              </w:rPr>
            </w:pPr>
          </w:p>
        </w:tc>
        <w:tc>
          <w:tcPr>
            <w:tcW w:w="200" w:type="dxa"/>
            <w:vAlign w:val="bottom"/>
            <w:tcBorders>
              <w:bottom w:val="single" w:sz="8" w:color="572C83"/>
            </w:tcBorders>
          </w:tcPr>
          <w:p>
            <w:pPr>
              <w:spacing w:after="0"/>
              <w:rPr>
                <w:sz w:val="2"/>
                <w:szCs w:val="2"/>
                <w:color w:val="auto"/>
              </w:rPr>
            </w:pPr>
          </w:p>
        </w:tc>
        <w:tc>
          <w:tcPr>
            <w:tcW w:w="1000" w:type="dxa"/>
            <w:vAlign w:val="bottom"/>
            <w:tcBorders>
              <w:bottom w:val="single" w:sz="8" w:color="572C83"/>
            </w:tcBorders>
          </w:tcPr>
          <w:p>
            <w:pPr>
              <w:spacing w:after="0"/>
              <w:rPr>
                <w:sz w:val="2"/>
                <w:szCs w:val="2"/>
                <w:color w:val="auto"/>
              </w:rPr>
            </w:pPr>
          </w:p>
        </w:tc>
        <w:tc>
          <w:tcPr>
            <w:tcW w:w="980" w:type="dxa"/>
            <w:vAlign w:val="bottom"/>
            <w:tcBorders>
              <w:bottom w:val="single" w:sz="8" w:color="572C83"/>
            </w:tcBorders>
          </w:tcPr>
          <w:p>
            <w:pPr>
              <w:spacing w:after="0"/>
              <w:rPr>
                <w:sz w:val="2"/>
                <w:szCs w:val="2"/>
                <w:color w:val="auto"/>
              </w:rPr>
            </w:pPr>
          </w:p>
        </w:tc>
        <w:tc>
          <w:tcPr>
            <w:tcW w:w="1040" w:type="dxa"/>
            <w:vAlign w:val="bottom"/>
            <w:tcBorders>
              <w:bottom w:val="single" w:sz="8" w:color="572C83"/>
            </w:tcBorders>
          </w:tcPr>
          <w:p>
            <w:pPr>
              <w:spacing w:after="0"/>
              <w:rPr>
                <w:sz w:val="2"/>
                <w:szCs w:val="2"/>
                <w:color w:val="auto"/>
              </w:rPr>
            </w:pPr>
          </w:p>
        </w:tc>
        <w:tc>
          <w:tcPr>
            <w:tcW w:w="1040" w:type="dxa"/>
            <w:vAlign w:val="bottom"/>
            <w:tcBorders>
              <w:bottom w:val="single" w:sz="8" w:color="572C83"/>
            </w:tcBorders>
          </w:tcPr>
          <w:p>
            <w:pPr>
              <w:spacing w:after="0"/>
              <w:rPr>
                <w:sz w:val="2"/>
                <w:szCs w:val="2"/>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02/18/2015</w:t>
            </w:r>
          </w:p>
        </w:tc>
        <w:tc>
          <w:tcPr>
            <w:tcW w:w="1000" w:type="dxa"/>
            <w:vAlign w:val="bottom"/>
          </w:tcPr>
          <w:p>
            <w:pPr>
              <w:jc w:val="right"/>
              <w:spacing w:after="0"/>
              <w:rPr>
                <w:sz w:val="20"/>
                <w:szCs w:val="20"/>
                <w:color w:val="auto"/>
              </w:rPr>
            </w:pPr>
            <w:r>
              <w:rPr>
                <w:rFonts w:ascii="Arial" w:cs="Arial" w:eastAsia="Arial" w:hAnsi="Arial"/>
                <w:sz w:val="14"/>
                <w:szCs w:val="14"/>
                <w:color w:val="auto"/>
              </w:rPr>
              <w:t>25,380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36.940</w:t>
            </w:r>
          </w:p>
        </w:tc>
        <w:tc>
          <w:tcPr>
            <w:tcW w:w="1000" w:type="dxa"/>
            <w:vAlign w:val="bottom"/>
          </w:tcPr>
          <w:p>
            <w:pPr>
              <w:jc w:val="right"/>
              <w:spacing w:after="0"/>
              <w:rPr>
                <w:sz w:val="20"/>
                <w:szCs w:val="20"/>
                <w:color w:val="auto"/>
              </w:rPr>
            </w:pPr>
            <w:r>
              <w:rPr>
                <w:rFonts w:ascii="Arial" w:cs="Arial" w:eastAsia="Arial" w:hAnsi="Arial"/>
                <w:sz w:val="14"/>
                <w:szCs w:val="14"/>
                <w:color w:val="auto"/>
              </w:rPr>
              <w:t>02/18/2025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02/22/2016</w:t>
            </w:r>
          </w:p>
        </w:tc>
        <w:tc>
          <w:tcPr>
            <w:tcW w:w="1000" w:type="dxa"/>
            <w:vAlign w:val="bottom"/>
          </w:tcPr>
          <w:p>
            <w:pPr>
              <w:jc w:val="right"/>
              <w:spacing w:after="0"/>
              <w:rPr>
                <w:sz w:val="20"/>
                <w:szCs w:val="20"/>
                <w:color w:val="auto"/>
              </w:rPr>
            </w:pPr>
            <w:r>
              <w:rPr>
                <w:rFonts w:ascii="Arial" w:cs="Arial" w:eastAsia="Arial" w:hAnsi="Arial"/>
                <w:sz w:val="14"/>
                <w:szCs w:val="14"/>
                <w:color w:val="auto"/>
              </w:rPr>
              <w:t>24,410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39.700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9"/>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02/16/2017</w:t>
            </w:r>
          </w:p>
        </w:tc>
        <w:tc>
          <w:tcPr>
            <w:tcW w:w="1000" w:type="dxa"/>
            <w:vAlign w:val="bottom"/>
          </w:tcPr>
          <w:p>
            <w:pPr>
              <w:jc w:val="right"/>
              <w:spacing w:after="0"/>
              <w:rPr>
                <w:sz w:val="20"/>
                <w:szCs w:val="20"/>
                <w:color w:val="auto"/>
              </w:rPr>
            </w:pPr>
            <w:r>
              <w:rPr>
                <w:rFonts w:ascii="Arial" w:cs="Arial" w:eastAsia="Arial" w:hAnsi="Arial"/>
                <w:sz w:val="14"/>
                <w:szCs w:val="14"/>
                <w:color w:val="auto"/>
              </w:rPr>
              <w:t>22,570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43.200</w:t>
            </w:r>
          </w:p>
        </w:tc>
        <w:tc>
          <w:tcPr>
            <w:tcW w:w="1000" w:type="dxa"/>
            <w:vAlign w:val="bottom"/>
          </w:tcPr>
          <w:p>
            <w:pPr>
              <w:jc w:val="right"/>
              <w:spacing w:after="0"/>
              <w:rPr>
                <w:sz w:val="20"/>
                <w:szCs w:val="20"/>
                <w:color w:val="auto"/>
              </w:rPr>
            </w:pPr>
            <w:r>
              <w:rPr>
                <w:rFonts w:ascii="Arial" w:cs="Arial" w:eastAsia="Arial" w:hAnsi="Arial"/>
                <w:sz w:val="14"/>
                <w:szCs w:val="14"/>
                <w:color w:val="auto"/>
              </w:rPr>
              <w:t>02/16/2027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02/22/2018</w:t>
            </w:r>
          </w:p>
        </w:tc>
        <w:tc>
          <w:tcPr>
            <w:tcW w:w="1000" w:type="dxa"/>
            <w:vAlign w:val="bottom"/>
          </w:tcPr>
          <w:p>
            <w:pPr>
              <w:jc w:val="right"/>
              <w:spacing w:after="0"/>
              <w:rPr>
                <w:sz w:val="20"/>
                <w:szCs w:val="20"/>
                <w:color w:val="auto"/>
              </w:rPr>
            </w:pPr>
            <w:r>
              <w:rPr>
                <w:rFonts w:ascii="Arial" w:cs="Arial" w:eastAsia="Arial" w:hAnsi="Arial"/>
                <w:sz w:val="14"/>
                <w:szCs w:val="14"/>
                <w:color w:val="auto"/>
              </w:rPr>
              <w:t>22,410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43.510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08/01/2018</w:t>
            </w:r>
          </w:p>
        </w:tc>
        <w:tc>
          <w:tcPr>
            <w:tcW w:w="1000" w:type="dxa"/>
            <w:vAlign w:val="bottom"/>
          </w:tcPr>
          <w:p>
            <w:pPr>
              <w:jc w:val="right"/>
              <w:spacing w:after="0"/>
              <w:rPr>
                <w:sz w:val="20"/>
                <w:szCs w:val="20"/>
                <w:color w:val="auto"/>
              </w:rPr>
            </w:pPr>
            <w:r>
              <w:rPr>
                <w:rFonts w:ascii="Arial" w:cs="Arial" w:eastAsia="Arial" w:hAnsi="Arial"/>
                <w:sz w:val="14"/>
                <w:szCs w:val="14"/>
                <w:color w:val="auto"/>
              </w:rPr>
              <w:t>29,190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42.830</w:t>
            </w:r>
          </w:p>
        </w:tc>
        <w:tc>
          <w:tcPr>
            <w:tcW w:w="1000" w:type="dxa"/>
            <w:vAlign w:val="bottom"/>
          </w:tcPr>
          <w:p>
            <w:pPr>
              <w:jc w:val="right"/>
              <w:spacing w:after="0"/>
              <w:rPr>
                <w:sz w:val="20"/>
                <w:szCs w:val="20"/>
                <w:color w:val="auto"/>
              </w:rPr>
            </w:pPr>
            <w:r>
              <w:rPr>
                <w:rFonts w:ascii="Arial" w:cs="Arial" w:eastAsia="Arial" w:hAnsi="Arial"/>
                <w:sz w:val="14"/>
                <w:szCs w:val="14"/>
                <w:color w:val="auto"/>
              </w:rPr>
              <w:t>08/01/2028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02/22/2019</w:t>
            </w:r>
          </w:p>
        </w:tc>
        <w:tc>
          <w:tcPr>
            <w:tcW w:w="1000" w:type="dxa"/>
            <w:vAlign w:val="bottom"/>
          </w:tcPr>
          <w:p>
            <w:pPr>
              <w:jc w:val="right"/>
              <w:spacing w:after="0"/>
              <w:rPr>
                <w:sz w:val="20"/>
                <w:szCs w:val="20"/>
                <w:color w:val="auto"/>
              </w:rPr>
            </w:pPr>
            <w:r>
              <w:rPr>
                <w:rFonts w:ascii="Arial" w:cs="Arial" w:eastAsia="Arial" w:hAnsi="Arial"/>
                <w:sz w:val="14"/>
                <w:szCs w:val="14"/>
                <w:color w:val="auto"/>
              </w:rPr>
              <w:t>38,900</w:t>
            </w:r>
          </w:p>
        </w:tc>
        <w:tc>
          <w:tcPr>
            <w:tcW w:w="1240" w:type="dxa"/>
            <w:vAlign w:val="bottom"/>
          </w:tcPr>
          <w:p>
            <w:pPr>
              <w:jc w:val="right"/>
              <w:spacing w:after="0"/>
              <w:rPr>
                <w:sz w:val="20"/>
                <w:szCs w:val="20"/>
                <w:color w:val="auto"/>
              </w:rPr>
            </w:pPr>
            <w:r>
              <w:rPr>
                <w:rFonts w:ascii="Arial" w:cs="Arial" w:eastAsia="Arial" w:hAnsi="Arial"/>
                <w:sz w:val="14"/>
                <w:szCs w:val="14"/>
                <w:color w:val="auto"/>
              </w:rPr>
              <w:t>20,040</w:t>
            </w:r>
          </w:p>
        </w:tc>
        <w:tc>
          <w:tcPr>
            <w:tcW w:w="960" w:type="dxa"/>
            <w:vAlign w:val="bottom"/>
          </w:tcPr>
          <w:p>
            <w:pPr>
              <w:jc w:val="right"/>
              <w:spacing w:after="0"/>
              <w:rPr>
                <w:sz w:val="20"/>
                <w:szCs w:val="20"/>
                <w:color w:val="auto"/>
              </w:rPr>
            </w:pPr>
            <w:r>
              <w:rPr>
                <w:rFonts w:ascii="Arial" w:cs="Arial" w:eastAsia="Arial" w:hAnsi="Arial"/>
                <w:sz w:val="14"/>
                <w:szCs w:val="14"/>
                <w:color w:val="auto"/>
              </w:rPr>
              <w:t>47.720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78,780</w:t>
            </w:r>
          </w:p>
        </w:tc>
        <w:tc>
          <w:tcPr>
            <w:tcW w:w="1040" w:type="dxa"/>
            <w:vAlign w:val="bottom"/>
          </w:tcPr>
          <w:p>
            <w:pPr>
              <w:jc w:val="right"/>
              <w:spacing w:after="0"/>
              <w:rPr>
                <w:sz w:val="20"/>
                <w:szCs w:val="20"/>
                <w:color w:val="auto"/>
              </w:rPr>
            </w:pPr>
            <w:r>
              <w:rPr>
                <w:rFonts w:ascii="Arial" w:cs="Arial" w:eastAsia="Arial" w:hAnsi="Arial"/>
                <w:sz w:val="14"/>
                <w:szCs w:val="14"/>
                <w:color w:val="auto"/>
              </w:rPr>
              <w:t>5,223,902</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Pr>
          <w:p>
            <w:pPr>
              <w:jc w:val="right"/>
              <w:spacing w:after="0"/>
              <w:rPr>
                <w:sz w:val="20"/>
                <w:szCs w:val="20"/>
                <w:color w:val="auto"/>
              </w:rPr>
            </w:pPr>
            <w:r>
              <w:rPr>
                <w:rFonts w:ascii="Arial" w:cs="Arial" w:eastAsia="Arial" w:hAnsi="Arial"/>
                <w:sz w:val="14"/>
                <w:szCs w:val="14"/>
                <w:color w:val="auto"/>
              </w:rPr>
              <w:t>21,661</w:t>
            </w:r>
          </w:p>
        </w:tc>
        <w:tc>
          <w:tcPr>
            <w:tcW w:w="1240" w:type="dxa"/>
            <w:vAlign w:val="bottom"/>
          </w:tcPr>
          <w:p>
            <w:pPr>
              <w:jc w:val="right"/>
              <w:spacing w:after="0"/>
              <w:rPr>
                <w:sz w:val="20"/>
                <w:szCs w:val="20"/>
                <w:color w:val="auto"/>
              </w:rPr>
            </w:pPr>
            <w:r>
              <w:rPr>
                <w:rFonts w:ascii="Arial" w:cs="Arial" w:eastAsia="Arial" w:hAnsi="Arial"/>
                <w:sz w:val="14"/>
                <w:szCs w:val="14"/>
                <w:color w:val="auto"/>
              </w:rPr>
              <w:t>43,979</w:t>
            </w:r>
          </w:p>
        </w:tc>
        <w:tc>
          <w:tcPr>
            <w:tcW w:w="960" w:type="dxa"/>
            <w:vAlign w:val="bottom"/>
          </w:tcPr>
          <w:p>
            <w:pPr>
              <w:jc w:val="right"/>
              <w:spacing w:after="0"/>
              <w:rPr>
                <w:sz w:val="20"/>
                <w:szCs w:val="20"/>
                <w:color w:val="auto"/>
              </w:rPr>
            </w:pPr>
            <w:r>
              <w:rPr>
                <w:rFonts w:ascii="Arial" w:cs="Arial" w:eastAsia="Arial" w:hAnsi="Arial"/>
                <w:sz w:val="14"/>
                <w:szCs w:val="14"/>
                <w:color w:val="auto"/>
              </w:rPr>
              <w:t>59.040</w:t>
            </w:r>
          </w:p>
        </w:tc>
        <w:tc>
          <w:tcPr>
            <w:tcW w:w="1000" w:type="dxa"/>
            <w:vAlign w:val="bottom"/>
          </w:tcPr>
          <w:p>
            <w:pPr>
              <w:jc w:val="right"/>
              <w:spacing w:after="0"/>
              <w:rPr>
                <w:sz w:val="20"/>
                <w:szCs w:val="20"/>
                <w:color w:val="auto"/>
              </w:rPr>
            </w:pPr>
            <w:r>
              <w:rPr>
                <w:rFonts w:ascii="Arial" w:cs="Arial" w:eastAsia="Arial" w:hAnsi="Arial"/>
                <w:sz w:val="14"/>
                <w:szCs w:val="14"/>
                <w:color w:val="auto"/>
              </w:rPr>
              <w:t>02/20/2030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88,200</w:t>
            </w:r>
          </w:p>
        </w:tc>
        <w:tc>
          <w:tcPr>
            <w:tcW w:w="1040" w:type="dxa"/>
            <w:vAlign w:val="bottom"/>
          </w:tcPr>
          <w:p>
            <w:pPr>
              <w:jc w:val="right"/>
              <w:spacing w:after="0"/>
              <w:rPr>
                <w:sz w:val="20"/>
                <w:szCs w:val="20"/>
                <w:color w:val="auto"/>
              </w:rPr>
            </w:pPr>
            <w:r>
              <w:rPr>
                <w:rFonts w:ascii="Arial" w:cs="Arial" w:eastAsia="Arial" w:hAnsi="Arial"/>
                <w:sz w:val="14"/>
                <w:szCs w:val="14"/>
                <w:color w:val="auto"/>
              </w:rPr>
              <w:t>5,848,542</w:t>
            </w:r>
          </w:p>
        </w:tc>
      </w:tr>
      <w:tr>
        <w:trPr>
          <w:trHeight w:val="35"/>
        </w:trPr>
        <w:tc>
          <w:tcPr>
            <w:tcW w:w="17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28"/>
        </w:trPr>
        <w:tc>
          <w:tcPr>
            <w:tcW w:w="1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73,500</w:t>
            </w:r>
          </w:p>
        </w:tc>
        <w:tc>
          <w:tcPr>
            <w:tcW w:w="960" w:type="dxa"/>
            <w:vAlign w:val="bottom"/>
          </w:tcPr>
          <w:p>
            <w:pPr>
              <w:jc w:val="right"/>
              <w:spacing w:after="0"/>
              <w:rPr>
                <w:sz w:val="20"/>
                <w:szCs w:val="20"/>
                <w:color w:val="auto"/>
              </w:rPr>
            </w:pPr>
            <w:r>
              <w:rPr>
                <w:rFonts w:ascii="Arial" w:cs="Arial" w:eastAsia="Arial" w:hAnsi="Arial"/>
                <w:sz w:val="14"/>
                <w:szCs w:val="14"/>
                <w:color w:val="auto"/>
              </w:rPr>
              <w:t>56.130</w:t>
            </w:r>
          </w:p>
        </w:tc>
        <w:tc>
          <w:tcPr>
            <w:tcW w:w="1000" w:type="dxa"/>
            <w:vAlign w:val="bottom"/>
          </w:tcPr>
          <w:p>
            <w:pPr>
              <w:jc w:val="right"/>
              <w:spacing w:after="0"/>
              <w:rPr>
                <w:sz w:val="20"/>
                <w:szCs w:val="20"/>
                <w:color w:val="auto"/>
              </w:rPr>
            </w:pPr>
            <w:r>
              <w:rPr>
                <w:rFonts w:ascii="Arial" w:cs="Arial" w:eastAsia="Arial" w:hAnsi="Arial"/>
                <w:sz w:val="14"/>
                <w:szCs w:val="14"/>
                <w:color w:val="auto"/>
              </w:rPr>
              <w:t>02/18/2031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
        </w:trPr>
        <w:tc>
          <w:tcPr>
            <w:tcW w:w="178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9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68"/>
        </w:trPr>
        <w:tc>
          <w:tcPr>
            <w:tcW w:w="17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4"/>
                <w:szCs w:val="14"/>
                <w:b w:val="1"/>
                <w:bCs w:val="1"/>
                <w:color w:val="auto"/>
              </w:rPr>
              <w:t>Brusadelli, Maurizio</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02/19/2014</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18,300</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34.165</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02/19/2024</w:t>
            </w:r>
          </w:p>
        </w:tc>
        <w:tc>
          <w:tcPr>
            <w:tcW w:w="200" w:type="dxa"/>
            <w:vAlign w:val="bottom"/>
            <w:tcBorders>
              <w:bottom w:val="single" w:sz="8" w:color="EBE6F0"/>
            </w:tcBorders>
            <w:shd w:val="clear" w:color="auto" w:fill="EBE6F0"/>
          </w:tcPr>
          <w:p>
            <w:pPr>
              <w:spacing w:after="0"/>
              <w:rPr>
                <w:sz w:val="22"/>
                <w:szCs w:val="22"/>
                <w:color w:val="auto"/>
              </w:rPr>
            </w:pP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02/18/2015</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18,620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36.940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02/18/2025</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9"/>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02/22/2016</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25,190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39.700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02/22/2026</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02/16/2017</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43,410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43.200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02/16/2027</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02/22/2018</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60,340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43.510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02/22/2028</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9"/>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02/22/2019</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38,900</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20,040</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47.720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02/22/2029</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58,440</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3,875,156</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16,071</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32,629</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59.040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02/20/2030</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69"/>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61,480</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4,076,739</w:t>
            </w:r>
          </w:p>
        </w:tc>
      </w:tr>
      <w:tr>
        <w:trPr>
          <w:trHeight w:val="268"/>
        </w:trPr>
        <w:tc>
          <w:tcPr>
            <w:tcW w:w="1780" w:type="dxa"/>
            <w:vAlign w:val="bottom"/>
            <w:tcBorders>
              <w:top w:val="single" w:sz="8" w:color="EBE6F0"/>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51,230</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56.130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02/18/2031</w:t>
            </w:r>
          </w:p>
        </w:tc>
        <w:tc>
          <w:tcPr>
            <w:tcW w:w="200" w:type="dxa"/>
            <w:vAlign w:val="bottom"/>
            <w:tcBorders>
              <w:top w:val="single" w:sz="8" w:color="572C83"/>
              <w:bottom w:val="single" w:sz="8" w:color="EBE6F0"/>
            </w:tcBorders>
            <w:shd w:val="clear" w:color="auto" w:fill="EBE6F0"/>
          </w:tcPr>
          <w:p>
            <w:pPr>
              <w:spacing w:after="0"/>
              <w:rPr>
                <w:sz w:val="22"/>
                <w:szCs w:val="22"/>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1780" w:type="dxa"/>
            <w:vAlign w:val="bottom"/>
            <w:tcBorders>
              <w:top w:val="single" w:sz="8" w:color="572C83"/>
              <w:bottom w:val="single" w:sz="8" w:color="58358F"/>
            </w:tcBorders>
          </w:tcPr>
          <w:p>
            <w:pPr>
              <w:spacing w:after="0"/>
              <w:rPr>
                <w:sz w:val="15"/>
                <w:szCs w:val="15"/>
                <w:color w:val="auto"/>
              </w:rPr>
            </w:pPr>
          </w:p>
        </w:tc>
        <w:tc>
          <w:tcPr>
            <w:tcW w:w="1000" w:type="dxa"/>
            <w:vAlign w:val="bottom"/>
            <w:tcBorders>
              <w:top w:val="single" w:sz="8" w:color="572C83"/>
              <w:bottom w:val="single" w:sz="8" w:color="58358F"/>
            </w:tcBorders>
          </w:tcPr>
          <w:p>
            <w:pPr>
              <w:spacing w:after="0"/>
              <w:rPr>
                <w:sz w:val="15"/>
                <w:szCs w:val="15"/>
                <w:color w:val="auto"/>
              </w:rPr>
            </w:pPr>
          </w:p>
        </w:tc>
        <w:tc>
          <w:tcPr>
            <w:tcW w:w="1000" w:type="dxa"/>
            <w:vAlign w:val="bottom"/>
            <w:tcBorders>
              <w:top w:val="single" w:sz="8" w:color="572C83"/>
              <w:bottom w:val="single" w:sz="8" w:color="58358F"/>
            </w:tcBorders>
          </w:tcPr>
          <w:p>
            <w:pPr>
              <w:spacing w:after="0"/>
              <w:rPr>
                <w:sz w:val="15"/>
                <w:szCs w:val="15"/>
                <w:color w:val="auto"/>
              </w:rPr>
            </w:pPr>
          </w:p>
        </w:tc>
        <w:tc>
          <w:tcPr>
            <w:tcW w:w="1240" w:type="dxa"/>
            <w:vAlign w:val="bottom"/>
            <w:tcBorders>
              <w:top w:val="single" w:sz="8" w:color="572C83"/>
              <w:bottom w:val="single" w:sz="8" w:color="58358F"/>
            </w:tcBorders>
          </w:tcPr>
          <w:p>
            <w:pPr>
              <w:spacing w:after="0"/>
              <w:rPr>
                <w:sz w:val="15"/>
                <w:szCs w:val="15"/>
                <w:color w:val="auto"/>
              </w:rPr>
            </w:pPr>
          </w:p>
        </w:tc>
        <w:tc>
          <w:tcPr>
            <w:tcW w:w="960" w:type="dxa"/>
            <w:vAlign w:val="bottom"/>
            <w:tcBorders>
              <w:top w:val="single" w:sz="8" w:color="572C83"/>
              <w:bottom w:val="single" w:sz="8" w:color="58358F"/>
            </w:tcBorders>
          </w:tcPr>
          <w:p>
            <w:pPr>
              <w:spacing w:after="0"/>
              <w:rPr>
                <w:sz w:val="15"/>
                <w:szCs w:val="15"/>
                <w:color w:val="auto"/>
              </w:rPr>
            </w:pPr>
          </w:p>
        </w:tc>
        <w:tc>
          <w:tcPr>
            <w:tcW w:w="1000" w:type="dxa"/>
            <w:vAlign w:val="bottom"/>
            <w:tcBorders>
              <w:top w:val="single" w:sz="8" w:color="572C83"/>
              <w:bottom w:val="single" w:sz="8" w:color="58358F"/>
            </w:tcBorders>
          </w:tcPr>
          <w:p>
            <w:pPr>
              <w:spacing w:after="0"/>
              <w:rPr>
                <w:sz w:val="15"/>
                <w:szCs w:val="15"/>
                <w:color w:val="auto"/>
              </w:rPr>
            </w:pPr>
          </w:p>
        </w:tc>
        <w:tc>
          <w:tcPr>
            <w:tcW w:w="200" w:type="dxa"/>
            <w:vAlign w:val="bottom"/>
            <w:tcBorders>
              <w:top w:val="single" w:sz="8" w:color="572C83"/>
              <w:bottom w:val="single" w:sz="8" w:color="58358F"/>
            </w:tcBorders>
          </w:tcPr>
          <w:p>
            <w:pPr>
              <w:spacing w:after="0"/>
              <w:rPr>
                <w:sz w:val="15"/>
                <w:szCs w:val="15"/>
                <w:color w:val="auto"/>
              </w:rPr>
            </w:pPr>
          </w:p>
        </w:tc>
        <w:tc>
          <w:tcPr>
            <w:tcW w:w="1000" w:type="dxa"/>
            <w:vAlign w:val="bottom"/>
            <w:tcBorders>
              <w:top w:val="single" w:sz="8" w:color="572C83"/>
              <w:bottom w:val="single" w:sz="8" w:color="58358F"/>
            </w:tcBorders>
          </w:tcPr>
          <w:p>
            <w:pPr>
              <w:spacing w:after="0"/>
              <w:rPr>
                <w:sz w:val="15"/>
                <w:szCs w:val="15"/>
                <w:color w:val="auto"/>
              </w:rPr>
            </w:pPr>
          </w:p>
        </w:tc>
        <w:tc>
          <w:tcPr>
            <w:tcW w:w="980" w:type="dxa"/>
            <w:vAlign w:val="bottom"/>
            <w:tcBorders>
              <w:top w:val="single" w:sz="8" w:color="572C83"/>
              <w:bottom w:val="single" w:sz="8" w:color="58358F"/>
            </w:tcBorders>
          </w:tcPr>
          <w:p>
            <w:pPr>
              <w:spacing w:after="0"/>
              <w:rPr>
                <w:sz w:val="15"/>
                <w:szCs w:val="15"/>
                <w:color w:val="auto"/>
              </w:rPr>
            </w:pPr>
          </w:p>
        </w:tc>
        <w:tc>
          <w:tcPr>
            <w:tcW w:w="1040" w:type="dxa"/>
            <w:vAlign w:val="bottom"/>
            <w:tcBorders>
              <w:top w:val="single" w:sz="8" w:color="572C83"/>
              <w:bottom w:val="single" w:sz="8" w:color="58358F"/>
            </w:tcBorders>
          </w:tcPr>
          <w:p>
            <w:pPr>
              <w:spacing w:after="0"/>
              <w:rPr>
                <w:sz w:val="15"/>
                <w:szCs w:val="15"/>
                <w:color w:val="auto"/>
              </w:rPr>
            </w:pPr>
          </w:p>
        </w:tc>
        <w:tc>
          <w:tcPr>
            <w:tcW w:w="1040" w:type="dxa"/>
            <w:vAlign w:val="bottom"/>
            <w:tcBorders>
              <w:top w:val="single" w:sz="8" w:color="572C83"/>
              <w:bottom w:val="single" w:sz="8" w:color="58358F"/>
            </w:tcBorders>
          </w:tcPr>
          <w:p>
            <w:pPr>
              <w:spacing w:after="0"/>
              <w:rPr>
                <w:sz w:val="15"/>
                <w:szCs w:val="15"/>
                <w:color w:val="auto"/>
              </w:rPr>
            </w:pPr>
          </w:p>
        </w:tc>
      </w:tr>
    </w:tbl>
    <w:p>
      <w:pPr>
        <w:spacing w:after="0" w:line="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Back to Contents</w:t>
              </w:r>
            </w:hyperlink>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762"/>
        </w:trPr>
        <w:tc>
          <w:tcPr>
            <w:tcW w:w="11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Borders>
              <w:bottom w:val="single" w:sz="8" w:color="572C83"/>
            </w:tcBorders>
          </w:tcPr>
          <w:p>
            <w:pPr>
              <w:spacing w:after="0"/>
              <w:rPr>
                <w:sz w:val="24"/>
                <w:szCs w:val="24"/>
                <w:color w:val="auto"/>
              </w:rPr>
            </w:pPr>
          </w:p>
        </w:tc>
        <w:tc>
          <w:tcPr>
            <w:tcW w:w="2200" w:type="dxa"/>
            <w:vAlign w:val="bottom"/>
            <w:tcBorders>
              <w:bottom w:val="single" w:sz="8" w:color="572C83"/>
            </w:tcBorders>
            <w:gridSpan w:val="2"/>
          </w:tcPr>
          <w:p>
            <w:pPr>
              <w:jc w:val="right"/>
              <w:ind w:right="528"/>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Borders>
              <w:bottom w:val="single" w:sz="8" w:color="572C83"/>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bottom w:val="single" w:sz="8" w:color="572C83"/>
            </w:tcBorders>
          </w:tcPr>
          <w:p>
            <w:pPr>
              <w:spacing w:after="0"/>
              <w:rPr>
                <w:sz w:val="24"/>
                <w:szCs w:val="24"/>
                <w:color w:val="auto"/>
              </w:rPr>
            </w:pPr>
          </w:p>
        </w:tc>
        <w:tc>
          <w:tcPr>
            <w:tcW w:w="1920" w:type="dxa"/>
            <w:vAlign w:val="bottom"/>
            <w:tcBorders>
              <w:bottom w:val="single" w:sz="8" w:color="572C83"/>
            </w:tcBorders>
            <w:gridSpan w:val="2"/>
          </w:tcPr>
          <w:p>
            <w:pPr>
              <w:jc w:val="right"/>
              <w:ind w:right="449"/>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572C83"/>
            </w:tcBorders>
          </w:tcPr>
          <w:p>
            <w:pPr>
              <w:spacing w:after="0"/>
              <w:rPr>
                <w:sz w:val="24"/>
                <w:szCs w:val="24"/>
                <w:color w:val="auto"/>
              </w:rPr>
            </w:pPr>
          </w:p>
        </w:tc>
      </w:tr>
      <w:tr>
        <w:trPr>
          <w:trHeight w:val="215"/>
        </w:trPr>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Market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Payout Value</w:t>
            </w:r>
          </w:p>
        </w:tc>
      </w:tr>
      <w:tr>
        <w:trPr>
          <w:trHeight w:val="171"/>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Shares or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Unearned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or Units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Units of</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Units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Underlying</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of Stock</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or Other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or Other</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Unexercised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That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That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Have Not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r>
      <w:tr>
        <w:trPr>
          <w:trHeight w:val="180"/>
        </w:trPr>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124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0"/>
                <w:szCs w:val="20"/>
                <w:b w:val="1"/>
                <w:bCs w:val="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Expiration</w:t>
            </w:r>
          </w:p>
        </w:tc>
        <w:tc>
          <w:tcPr>
            <w:tcW w:w="1100" w:type="dxa"/>
            <w:vAlign w:val="bottom"/>
          </w:tcPr>
          <w:p>
            <w:pPr>
              <w:jc w:val="right"/>
              <w:ind w:right="88"/>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(1)</w:t>
            </w:r>
          </w:p>
        </w:tc>
        <w:tc>
          <w:tcPr>
            <w:tcW w:w="88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w:t>
            </w:r>
          </w:p>
        </w:tc>
        <w:tc>
          <w:tcPr>
            <w:tcW w:w="1040" w:type="dxa"/>
            <w:vAlign w:val="bottom"/>
          </w:tcPr>
          <w:p>
            <w:pPr>
              <w:jc w:val="right"/>
              <w:spacing w:after="0" w:line="180" w:lineRule="exact"/>
              <w:rPr>
                <w:sz w:val="20"/>
                <w:szCs w:val="20"/>
                <w:color w:val="auto"/>
              </w:rPr>
            </w:pPr>
            <w:r>
              <w:rPr>
                <w:rFonts w:ascii="Arial" w:cs="Arial" w:eastAsia="Arial" w:hAnsi="Arial"/>
                <w:sz w:val="20"/>
                <w:szCs w:val="20"/>
                <w:b w:val="1"/>
                <w:bCs w:val="1"/>
                <w:color w:val="auto"/>
                <w:vertAlign w:val="subscript"/>
              </w:rPr>
              <w:t>Vested</w:t>
            </w:r>
            <w:r>
              <w:rPr>
                <w:rFonts w:ascii="Arial" w:cs="Arial" w:eastAsia="Arial" w:hAnsi="Arial"/>
                <w:sz w:val="10"/>
                <w:szCs w:val="10"/>
                <w:b w:val="1"/>
                <w:bCs w:val="1"/>
                <w:color w:val="auto"/>
              </w:rPr>
              <w:t>(1),(3)</w:t>
            </w:r>
          </w:p>
        </w:tc>
        <w:tc>
          <w:tcPr>
            <w:tcW w:w="1040" w:type="dxa"/>
            <w:vAlign w:val="bottom"/>
          </w:tcPr>
          <w:p>
            <w:pPr>
              <w:jc w:val="right"/>
              <w:spacing w:after="0" w:line="180"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20"/>
                <w:szCs w:val="20"/>
                <w:b w:val="1"/>
                <w:bCs w:val="1"/>
                <w:color w:val="auto"/>
                <w:vertAlign w:val="superscript"/>
              </w:rPr>
              <w:t>(2)</w:t>
            </w:r>
          </w:p>
        </w:tc>
      </w:tr>
      <w:tr>
        <w:trPr>
          <w:trHeight w:val="219"/>
        </w:trPr>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Date</w:t>
            </w: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54"/>
        </w:trPr>
        <w:tc>
          <w:tcPr>
            <w:tcW w:w="1780" w:type="dxa"/>
            <w:vAlign w:val="bottom"/>
            <w:tcBorders>
              <w:top w:val="single" w:sz="8" w:color="572C83"/>
            </w:tcBorders>
            <w:gridSpan w:val="2"/>
          </w:tcPr>
          <w:p>
            <w:pPr>
              <w:ind w:left="60"/>
              <w:spacing w:after="0"/>
              <w:rPr>
                <w:sz w:val="20"/>
                <w:szCs w:val="20"/>
                <w:color w:val="auto"/>
              </w:rPr>
            </w:pPr>
            <w:r>
              <w:rPr>
                <w:rFonts w:ascii="Arial" w:cs="Arial" w:eastAsia="Arial" w:hAnsi="Arial"/>
                <w:sz w:val="14"/>
                <w:szCs w:val="14"/>
                <w:b w:val="1"/>
                <w:bCs w:val="1"/>
                <w:color w:val="auto"/>
              </w:rPr>
              <w:t>Gruber, Vinzenz</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02/20/2013</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22,190</w:t>
            </w:r>
          </w:p>
        </w:tc>
        <w:tc>
          <w:tcPr>
            <w:tcW w:w="12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27.050</w:t>
            </w:r>
          </w:p>
        </w:tc>
        <w:tc>
          <w:tcPr>
            <w:tcW w:w="100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02/20/2023</w:t>
            </w:r>
          </w:p>
        </w:tc>
        <w:tc>
          <w:tcPr>
            <w:tcW w:w="200" w:type="dxa"/>
            <w:vAlign w:val="bottom"/>
            <w:tcBorders>
              <w:top w:val="single" w:sz="8" w:color="582C83"/>
            </w:tcBorders>
          </w:tcPr>
          <w:p>
            <w:pPr>
              <w:spacing w:after="0"/>
              <w:rPr>
                <w:sz w:val="22"/>
                <w:szCs w:val="22"/>
                <w:color w:val="auto"/>
              </w:rPr>
            </w:pPr>
          </w:p>
        </w:tc>
        <w:tc>
          <w:tcPr>
            <w:tcW w:w="1100" w:type="dxa"/>
            <w:vAlign w:val="bottom"/>
            <w:tcBorders>
              <w:top w:val="single" w:sz="8" w:color="572C83"/>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4"/>
                <w:szCs w:val="14"/>
                <w:color w:val="auto"/>
              </w:rPr>
              <w:t>–</w:t>
            </w:r>
          </w:p>
        </w:tc>
      </w:tr>
      <w:tr>
        <w:trPr>
          <w:trHeight w:val="43"/>
        </w:trPr>
        <w:tc>
          <w:tcPr>
            <w:tcW w:w="1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1240" w:type="dxa"/>
            <w:vAlign w:val="bottom"/>
            <w:tcBorders>
              <w:bottom w:val="single" w:sz="8" w:color="572C83"/>
            </w:tcBorders>
          </w:tcPr>
          <w:p>
            <w:pPr>
              <w:spacing w:after="0"/>
              <w:rPr>
                <w:sz w:val="3"/>
                <w:szCs w:val="3"/>
                <w:color w:val="auto"/>
              </w:rPr>
            </w:pPr>
          </w:p>
        </w:tc>
        <w:tc>
          <w:tcPr>
            <w:tcW w:w="960" w:type="dxa"/>
            <w:vAlign w:val="bottom"/>
            <w:tcBorders>
              <w:bottom w:val="single" w:sz="8" w:color="572C83"/>
            </w:tcBorders>
          </w:tcPr>
          <w:p>
            <w:pPr>
              <w:spacing w:after="0"/>
              <w:rPr>
                <w:sz w:val="3"/>
                <w:szCs w:val="3"/>
                <w:color w:val="auto"/>
              </w:rPr>
            </w:pPr>
          </w:p>
        </w:tc>
        <w:tc>
          <w:tcPr>
            <w:tcW w:w="1000" w:type="dxa"/>
            <w:vAlign w:val="bottom"/>
            <w:tcBorders>
              <w:bottom w:val="single" w:sz="8" w:color="572C83"/>
            </w:tcBorders>
          </w:tcPr>
          <w:p>
            <w:pPr>
              <w:spacing w:after="0"/>
              <w:rPr>
                <w:sz w:val="3"/>
                <w:szCs w:val="3"/>
                <w:color w:val="auto"/>
              </w:rPr>
            </w:pPr>
          </w:p>
        </w:tc>
        <w:tc>
          <w:tcPr>
            <w:tcW w:w="200" w:type="dxa"/>
            <w:vAlign w:val="bottom"/>
            <w:tcBorders>
              <w:bottom w:val="single" w:sz="8" w:color="572C83"/>
            </w:tcBorders>
          </w:tcPr>
          <w:p>
            <w:pPr>
              <w:spacing w:after="0"/>
              <w:rPr>
                <w:sz w:val="3"/>
                <w:szCs w:val="3"/>
                <w:color w:val="auto"/>
              </w:rPr>
            </w:pPr>
          </w:p>
        </w:tc>
        <w:tc>
          <w:tcPr>
            <w:tcW w:w="1100" w:type="dxa"/>
            <w:vAlign w:val="bottom"/>
            <w:tcBorders>
              <w:bottom w:val="single" w:sz="8" w:color="572C83"/>
            </w:tcBorders>
          </w:tcPr>
          <w:p>
            <w:pPr>
              <w:spacing w:after="0"/>
              <w:rPr>
                <w:sz w:val="3"/>
                <w:szCs w:val="3"/>
                <w:color w:val="auto"/>
              </w:rPr>
            </w:pPr>
          </w:p>
        </w:tc>
        <w:tc>
          <w:tcPr>
            <w:tcW w:w="88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02/19/2014</w:t>
            </w:r>
          </w:p>
        </w:tc>
        <w:tc>
          <w:tcPr>
            <w:tcW w:w="1000" w:type="dxa"/>
            <w:vAlign w:val="bottom"/>
          </w:tcPr>
          <w:p>
            <w:pPr>
              <w:jc w:val="right"/>
              <w:spacing w:after="0"/>
              <w:rPr>
                <w:sz w:val="20"/>
                <w:szCs w:val="20"/>
                <w:color w:val="auto"/>
              </w:rPr>
            </w:pPr>
            <w:r>
              <w:rPr>
                <w:rFonts w:ascii="Arial" w:cs="Arial" w:eastAsia="Arial" w:hAnsi="Arial"/>
                <w:sz w:val="14"/>
                <w:szCs w:val="14"/>
                <w:color w:val="auto"/>
              </w:rPr>
              <w:t>20,130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34.165</w:t>
            </w:r>
          </w:p>
        </w:tc>
        <w:tc>
          <w:tcPr>
            <w:tcW w:w="1000" w:type="dxa"/>
            <w:vAlign w:val="bottom"/>
          </w:tcPr>
          <w:p>
            <w:pPr>
              <w:jc w:val="right"/>
              <w:spacing w:after="0"/>
              <w:rPr>
                <w:sz w:val="20"/>
                <w:szCs w:val="20"/>
                <w:color w:val="auto"/>
              </w:rPr>
            </w:pPr>
            <w:r>
              <w:rPr>
                <w:rFonts w:ascii="Arial" w:cs="Arial" w:eastAsia="Arial" w:hAnsi="Arial"/>
                <w:sz w:val="14"/>
                <w:szCs w:val="14"/>
                <w:color w:val="auto"/>
              </w:rPr>
              <w:t>02/19/2024</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8"/>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02/18/2015</w:t>
            </w:r>
          </w:p>
        </w:tc>
        <w:tc>
          <w:tcPr>
            <w:tcW w:w="1000" w:type="dxa"/>
            <w:vAlign w:val="bottom"/>
          </w:tcPr>
          <w:p>
            <w:pPr>
              <w:jc w:val="right"/>
              <w:spacing w:after="0"/>
              <w:rPr>
                <w:sz w:val="20"/>
                <w:szCs w:val="20"/>
                <w:color w:val="auto"/>
              </w:rPr>
            </w:pPr>
            <w:r>
              <w:rPr>
                <w:rFonts w:ascii="Arial" w:cs="Arial" w:eastAsia="Arial" w:hAnsi="Arial"/>
                <w:sz w:val="14"/>
                <w:szCs w:val="14"/>
                <w:color w:val="auto"/>
              </w:rPr>
              <w:t>22,000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36.940</w:t>
            </w:r>
          </w:p>
        </w:tc>
        <w:tc>
          <w:tcPr>
            <w:tcW w:w="1000" w:type="dxa"/>
            <w:vAlign w:val="bottom"/>
          </w:tcPr>
          <w:p>
            <w:pPr>
              <w:jc w:val="right"/>
              <w:spacing w:after="0"/>
              <w:rPr>
                <w:sz w:val="20"/>
                <w:szCs w:val="20"/>
                <w:color w:val="auto"/>
              </w:rPr>
            </w:pPr>
            <w:r>
              <w:rPr>
                <w:rFonts w:ascii="Arial" w:cs="Arial" w:eastAsia="Arial" w:hAnsi="Arial"/>
                <w:sz w:val="14"/>
                <w:szCs w:val="14"/>
                <w:color w:val="auto"/>
              </w:rPr>
              <w:t>02/18/2025</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9"/>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02/22/2016</w:t>
            </w:r>
          </w:p>
        </w:tc>
        <w:tc>
          <w:tcPr>
            <w:tcW w:w="1000" w:type="dxa"/>
            <w:vAlign w:val="bottom"/>
          </w:tcPr>
          <w:p>
            <w:pPr>
              <w:jc w:val="right"/>
              <w:spacing w:after="0"/>
              <w:rPr>
                <w:sz w:val="20"/>
                <w:szCs w:val="20"/>
                <w:color w:val="auto"/>
              </w:rPr>
            </w:pPr>
            <w:r>
              <w:rPr>
                <w:rFonts w:ascii="Arial" w:cs="Arial" w:eastAsia="Arial" w:hAnsi="Arial"/>
                <w:sz w:val="14"/>
                <w:szCs w:val="14"/>
                <w:color w:val="auto"/>
              </w:rPr>
              <w:t>22,830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39.700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02/22/2026</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8"/>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02/16/2017</w:t>
            </w:r>
          </w:p>
        </w:tc>
        <w:tc>
          <w:tcPr>
            <w:tcW w:w="1000" w:type="dxa"/>
            <w:vAlign w:val="bottom"/>
          </w:tcPr>
          <w:p>
            <w:pPr>
              <w:jc w:val="right"/>
              <w:spacing w:after="0"/>
              <w:rPr>
                <w:sz w:val="20"/>
                <w:szCs w:val="20"/>
                <w:color w:val="auto"/>
              </w:rPr>
            </w:pPr>
            <w:r>
              <w:rPr>
                <w:rFonts w:ascii="Arial" w:cs="Arial" w:eastAsia="Arial" w:hAnsi="Arial"/>
                <w:sz w:val="14"/>
                <w:szCs w:val="14"/>
                <w:color w:val="auto"/>
              </w:rPr>
              <w:t>20,980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43.200</w:t>
            </w:r>
          </w:p>
        </w:tc>
        <w:tc>
          <w:tcPr>
            <w:tcW w:w="1000" w:type="dxa"/>
            <w:vAlign w:val="bottom"/>
          </w:tcPr>
          <w:p>
            <w:pPr>
              <w:jc w:val="right"/>
              <w:spacing w:after="0"/>
              <w:rPr>
                <w:sz w:val="20"/>
                <w:szCs w:val="20"/>
                <w:color w:val="auto"/>
              </w:rPr>
            </w:pPr>
            <w:r>
              <w:rPr>
                <w:rFonts w:ascii="Arial" w:cs="Arial" w:eastAsia="Arial" w:hAnsi="Arial"/>
                <w:sz w:val="14"/>
                <w:szCs w:val="14"/>
                <w:color w:val="auto"/>
              </w:rPr>
              <w:t>02/16/2027</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9"/>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02/22/2018</w:t>
            </w:r>
          </w:p>
        </w:tc>
        <w:tc>
          <w:tcPr>
            <w:tcW w:w="1000" w:type="dxa"/>
            <w:vAlign w:val="bottom"/>
          </w:tcPr>
          <w:p>
            <w:pPr>
              <w:jc w:val="right"/>
              <w:spacing w:after="0"/>
              <w:rPr>
                <w:sz w:val="20"/>
                <w:szCs w:val="20"/>
                <w:color w:val="auto"/>
              </w:rPr>
            </w:pPr>
            <w:r>
              <w:rPr>
                <w:rFonts w:ascii="Arial" w:cs="Arial" w:eastAsia="Arial" w:hAnsi="Arial"/>
                <w:sz w:val="14"/>
                <w:szCs w:val="14"/>
                <w:color w:val="auto"/>
              </w:rPr>
              <w:t>20,830</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43.510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02/22/2028</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8"/>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02/22/2019</w:t>
            </w:r>
          </w:p>
        </w:tc>
        <w:tc>
          <w:tcPr>
            <w:tcW w:w="1000" w:type="dxa"/>
            <w:vAlign w:val="bottom"/>
          </w:tcPr>
          <w:p>
            <w:pPr>
              <w:jc w:val="right"/>
              <w:spacing w:after="0"/>
              <w:rPr>
                <w:sz w:val="20"/>
                <w:szCs w:val="20"/>
                <w:color w:val="auto"/>
              </w:rPr>
            </w:pPr>
            <w:r>
              <w:rPr>
                <w:rFonts w:ascii="Arial" w:cs="Arial" w:eastAsia="Arial" w:hAnsi="Arial"/>
                <w:sz w:val="14"/>
                <w:szCs w:val="14"/>
                <w:color w:val="auto"/>
              </w:rPr>
              <w:t>29,396</w:t>
            </w:r>
          </w:p>
        </w:tc>
        <w:tc>
          <w:tcPr>
            <w:tcW w:w="1240" w:type="dxa"/>
            <w:vAlign w:val="bottom"/>
          </w:tcPr>
          <w:p>
            <w:pPr>
              <w:jc w:val="right"/>
              <w:spacing w:after="0"/>
              <w:rPr>
                <w:sz w:val="20"/>
                <w:szCs w:val="20"/>
                <w:color w:val="auto"/>
              </w:rPr>
            </w:pPr>
            <w:r>
              <w:rPr>
                <w:rFonts w:ascii="Arial" w:cs="Arial" w:eastAsia="Arial" w:hAnsi="Arial"/>
                <w:sz w:val="14"/>
                <w:szCs w:val="14"/>
                <w:color w:val="auto"/>
              </w:rPr>
              <w:t>15,144</w:t>
            </w:r>
          </w:p>
        </w:tc>
        <w:tc>
          <w:tcPr>
            <w:tcW w:w="960" w:type="dxa"/>
            <w:vAlign w:val="bottom"/>
          </w:tcPr>
          <w:p>
            <w:pPr>
              <w:jc w:val="right"/>
              <w:spacing w:after="0"/>
              <w:rPr>
                <w:sz w:val="20"/>
                <w:szCs w:val="20"/>
                <w:color w:val="auto"/>
              </w:rPr>
            </w:pPr>
            <w:r>
              <w:rPr>
                <w:rFonts w:ascii="Arial" w:cs="Arial" w:eastAsia="Arial" w:hAnsi="Arial"/>
                <w:sz w:val="14"/>
                <w:szCs w:val="14"/>
                <w:color w:val="auto"/>
              </w:rPr>
              <w:t>47.720</w:t>
            </w:r>
          </w:p>
        </w:tc>
        <w:tc>
          <w:tcPr>
            <w:tcW w:w="1000" w:type="dxa"/>
            <w:vAlign w:val="bottom"/>
          </w:tcPr>
          <w:p>
            <w:pPr>
              <w:jc w:val="right"/>
              <w:spacing w:after="0"/>
              <w:rPr>
                <w:sz w:val="20"/>
                <w:szCs w:val="20"/>
                <w:color w:val="auto"/>
              </w:rPr>
            </w:pPr>
            <w:r>
              <w:rPr>
                <w:rFonts w:ascii="Arial" w:cs="Arial" w:eastAsia="Arial" w:hAnsi="Arial"/>
                <w:sz w:val="14"/>
                <w:szCs w:val="14"/>
                <w:color w:val="auto"/>
              </w:rPr>
              <w:t>02/22/2029</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9"/>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55,900</w:t>
            </w:r>
          </w:p>
        </w:tc>
        <w:tc>
          <w:tcPr>
            <w:tcW w:w="1040" w:type="dxa"/>
            <w:vAlign w:val="bottom"/>
          </w:tcPr>
          <w:p>
            <w:pPr>
              <w:jc w:val="right"/>
              <w:spacing w:after="0"/>
              <w:rPr>
                <w:sz w:val="20"/>
                <w:szCs w:val="20"/>
                <w:color w:val="auto"/>
              </w:rPr>
            </w:pPr>
            <w:r>
              <w:rPr>
                <w:rFonts w:ascii="Arial" w:cs="Arial" w:eastAsia="Arial" w:hAnsi="Arial"/>
                <w:sz w:val="14"/>
                <w:szCs w:val="14"/>
                <w:color w:val="auto"/>
              </w:rPr>
              <w:t>3,706,729</w:t>
            </w:r>
          </w:p>
        </w:tc>
      </w:tr>
      <w:tr>
        <w:trPr>
          <w:trHeight w:val="48"/>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02/20/2020</w:t>
            </w:r>
          </w:p>
        </w:tc>
        <w:tc>
          <w:tcPr>
            <w:tcW w:w="1000" w:type="dxa"/>
            <w:vAlign w:val="bottom"/>
          </w:tcPr>
          <w:p>
            <w:pPr>
              <w:jc w:val="right"/>
              <w:spacing w:after="0"/>
              <w:rPr>
                <w:sz w:val="20"/>
                <w:szCs w:val="20"/>
                <w:color w:val="auto"/>
              </w:rPr>
            </w:pPr>
            <w:r>
              <w:rPr>
                <w:rFonts w:ascii="Arial" w:cs="Arial" w:eastAsia="Arial" w:hAnsi="Arial"/>
                <w:sz w:val="14"/>
                <w:szCs w:val="14"/>
                <w:color w:val="auto"/>
              </w:rPr>
              <w:t>15,371</w:t>
            </w:r>
          </w:p>
        </w:tc>
        <w:tc>
          <w:tcPr>
            <w:tcW w:w="1240" w:type="dxa"/>
            <w:vAlign w:val="bottom"/>
          </w:tcPr>
          <w:p>
            <w:pPr>
              <w:jc w:val="right"/>
              <w:spacing w:after="0"/>
              <w:rPr>
                <w:sz w:val="20"/>
                <w:szCs w:val="20"/>
                <w:color w:val="auto"/>
              </w:rPr>
            </w:pPr>
            <w:r>
              <w:rPr>
                <w:rFonts w:ascii="Arial" w:cs="Arial" w:eastAsia="Arial" w:hAnsi="Arial"/>
                <w:sz w:val="14"/>
                <w:szCs w:val="14"/>
                <w:color w:val="auto"/>
              </w:rPr>
              <w:t>31,209</w:t>
            </w:r>
          </w:p>
        </w:tc>
        <w:tc>
          <w:tcPr>
            <w:tcW w:w="960" w:type="dxa"/>
            <w:vAlign w:val="bottom"/>
          </w:tcPr>
          <w:p>
            <w:pPr>
              <w:jc w:val="right"/>
              <w:spacing w:after="0"/>
              <w:rPr>
                <w:sz w:val="20"/>
                <w:szCs w:val="20"/>
                <w:color w:val="auto"/>
              </w:rPr>
            </w:pPr>
            <w:r>
              <w:rPr>
                <w:rFonts w:ascii="Arial" w:cs="Arial" w:eastAsia="Arial" w:hAnsi="Arial"/>
                <w:sz w:val="14"/>
                <w:szCs w:val="14"/>
                <w:color w:val="auto"/>
              </w:rPr>
              <w:t>59.040</w:t>
            </w:r>
          </w:p>
        </w:tc>
        <w:tc>
          <w:tcPr>
            <w:tcW w:w="1000" w:type="dxa"/>
            <w:vAlign w:val="bottom"/>
          </w:tcPr>
          <w:p>
            <w:pPr>
              <w:jc w:val="right"/>
              <w:spacing w:after="0"/>
              <w:rPr>
                <w:sz w:val="20"/>
                <w:szCs w:val="20"/>
                <w:color w:val="auto"/>
              </w:rPr>
            </w:pPr>
            <w:r>
              <w:rPr>
                <w:rFonts w:ascii="Arial" w:cs="Arial" w:eastAsia="Arial" w:hAnsi="Arial"/>
                <w:sz w:val="14"/>
                <w:szCs w:val="14"/>
                <w:color w:val="auto"/>
              </w:rPr>
              <w:t>02/20/2030</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8"/>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64,140</w:t>
            </w:r>
          </w:p>
        </w:tc>
        <w:tc>
          <w:tcPr>
            <w:tcW w:w="1040" w:type="dxa"/>
            <w:vAlign w:val="bottom"/>
          </w:tcPr>
          <w:p>
            <w:pPr>
              <w:jc w:val="right"/>
              <w:spacing w:after="0"/>
              <w:rPr>
                <w:sz w:val="20"/>
                <w:szCs w:val="20"/>
                <w:color w:val="auto"/>
              </w:rPr>
            </w:pPr>
            <w:r>
              <w:rPr>
                <w:rFonts w:ascii="Arial" w:cs="Arial" w:eastAsia="Arial" w:hAnsi="Arial"/>
                <w:sz w:val="14"/>
                <w:szCs w:val="14"/>
                <w:color w:val="auto"/>
              </w:rPr>
              <w:t>4,253,123</w:t>
            </w:r>
          </w:p>
        </w:tc>
      </w:tr>
      <w:tr>
        <w:trPr>
          <w:trHeight w:val="49"/>
        </w:trPr>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42"/>
        </w:trPr>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53,450</w:t>
            </w:r>
          </w:p>
        </w:tc>
        <w:tc>
          <w:tcPr>
            <w:tcW w:w="960" w:type="dxa"/>
            <w:vAlign w:val="bottom"/>
          </w:tcPr>
          <w:p>
            <w:pPr>
              <w:jc w:val="right"/>
              <w:spacing w:after="0"/>
              <w:rPr>
                <w:sz w:val="20"/>
                <w:szCs w:val="20"/>
                <w:color w:val="auto"/>
              </w:rPr>
            </w:pPr>
            <w:r>
              <w:rPr>
                <w:rFonts w:ascii="Arial" w:cs="Arial" w:eastAsia="Arial" w:hAnsi="Arial"/>
                <w:sz w:val="14"/>
                <w:szCs w:val="14"/>
                <w:color w:val="auto"/>
              </w:rPr>
              <w:t>56.130</w:t>
            </w:r>
          </w:p>
        </w:tc>
        <w:tc>
          <w:tcPr>
            <w:tcW w:w="1000" w:type="dxa"/>
            <w:vAlign w:val="bottom"/>
          </w:tcPr>
          <w:p>
            <w:pPr>
              <w:jc w:val="right"/>
              <w:spacing w:after="0"/>
              <w:rPr>
                <w:sz w:val="20"/>
                <w:szCs w:val="20"/>
                <w:color w:val="auto"/>
              </w:rPr>
            </w:pPr>
            <w:r>
              <w:rPr>
                <w:rFonts w:ascii="Arial" w:cs="Arial" w:eastAsia="Arial" w:hAnsi="Arial"/>
                <w:sz w:val="14"/>
                <w:szCs w:val="14"/>
                <w:color w:val="auto"/>
              </w:rPr>
              <w:t>02/18/2031</w:t>
            </w:r>
          </w:p>
        </w:tc>
        <w:tc>
          <w:tcPr>
            <w:tcW w:w="2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8"/>
        </w:trPr>
        <w:tc>
          <w:tcPr>
            <w:tcW w:w="1100" w:type="dxa"/>
            <w:vAlign w:val="bottom"/>
            <w:tcBorders>
              <w:bottom w:val="single" w:sz="8" w:color="572C83"/>
            </w:tcBorders>
          </w:tcPr>
          <w:p>
            <w:pPr>
              <w:spacing w:after="0"/>
              <w:rPr>
                <w:sz w:val="4"/>
                <w:szCs w:val="4"/>
                <w:color w:val="auto"/>
              </w:rPr>
            </w:pPr>
          </w:p>
        </w:tc>
        <w:tc>
          <w:tcPr>
            <w:tcW w:w="68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1240" w:type="dxa"/>
            <w:vAlign w:val="bottom"/>
            <w:tcBorders>
              <w:bottom w:val="single" w:sz="8" w:color="572C83"/>
            </w:tcBorders>
          </w:tcPr>
          <w:p>
            <w:pPr>
              <w:spacing w:after="0"/>
              <w:rPr>
                <w:sz w:val="4"/>
                <w:szCs w:val="4"/>
                <w:color w:val="auto"/>
              </w:rPr>
            </w:pPr>
          </w:p>
        </w:tc>
        <w:tc>
          <w:tcPr>
            <w:tcW w:w="960" w:type="dxa"/>
            <w:vAlign w:val="bottom"/>
            <w:tcBorders>
              <w:bottom w:val="single" w:sz="8" w:color="572C83"/>
            </w:tcBorders>
          </w:tcPr>
          <w:p>
            <w:pPr>
              <w:spacing w:after="0"/>
              <w:rPr>
                <w:sz w:val="4"/>
                <w:szCs w:val="4"/>
                <w:color w:val="auto"/>
              </w:rPr>
            </w:pPr>
          </w:p>
        </w:tc>
        <w:tc>
          <w:tcPr>
            <w:tcW w:w="1000" w:type="dxa"/>
            <w:vAlign w:val="bottom"/>
            <w:tcBorders>
              <w:bottom w:val="single" w:sz="8" w:color="572C83"/>
            </w:tcBorders>
          </w:tcPr>
          <w:p>
            <w:pPr>
              <w:spacing w:after="0"/>
              <w:rPr>
                <w:sz w:val="4"/>
                <w:szCs w:val="4"/>
                <w:color w:val="auto"/>
              </w:rPr>
            </w:pPr>
          </w:p>
        </w:tc>
        <w:tc>
          <w:tcPr>
            <w:tcW w:w="200" w:type="dxa"/>
            <w:vAlign w:val="bottom"/>
            <w:tcBorders>
              <w:bottom w:val="single" w:sz="8" w:color="572C83"/>
            </w:tcBorders>
          </w:tcPr>
          <w:p>
            <w:pPr>
              <w:spacing w:after="0"/>
              <w:rPr>
                <w:sz w:val="4"/>
                <w:szCs w:val="4"/>
                <w:color w:val="auto"/>
              </w:rPr>
            </w:pPr>
          </w:p>
        </w:tc>
        <w:tc>
          <w:tcPr>
            <w:tcW w:w="1100" w:type="dxa"/>
            <w:vAlign w:val="bottom"/>
            <w:tcBorders>
              <w:bottom w:val="single" w:sz="8" w:color="572C83"/>
            </w:tcBorders>
          </w:tcPr>
          <w:p>
            <w:pPr>
              <w:spacing w:after="0"/>
              <w:rPr>
                <w:sz w:val="4"/>
                <w:szCs w:val="4"/>
                <w:color w:val="auto"/>
              </w:rPr>
            </w:pPr>
          </w:p>
        </w:tc>
        <w:tc>
          <w:tcPr>
            <w:tcW w:w="88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c>
          <w:tcPr>
            <w:tcW w:w="1040" w:type="dxa"/>
            <w:vAlign w:val="bottom"/>
            <w:tcBorders>
              <w:bottom w:val="single" w:sz="8" w:color="572C83"/>
            </w:tcBorders>
          </w:tcPr>
          <w:p>
            <w:pPr>
              <w:spacing w:after="0"/>
              <w:rPr>
                <w:sz w:val="4"/>
                <w:szCs w:val="4"/>
                <w:color w:val="auto"/>
              </w:rPr>
            </w:pPr>
          </w:p>
        </w:tc>
      </w:tr>
      <w:tr>
        <w:trPr>
          <w:trHeight w:val="295"/>
        </w:trPr>
        <w:tc>
          <w:tcPr>
            <w:tcW w:w="1780" w:type="dxa"/>
            <w:vAlign w:val="bottom"/>
            <w:tcBorders>
              <w:bottom w:val="single" w:sz="8" w:color="EBE6F0"/>
            </w:tcBorders>
            <w:gridSpan w:val="2"/>
            <w:shd w:val="clear" w:color="auto" w:fill="EBE6F0"/>
          </w:tcPr>
          <w:p>
            <w:pPr>
              <w:ind w:left="60"/>
              <w:spacing w:after="0"/>
              <w:rPr>
                <w:sz w:val="20"/>
                <w:szCs w:val="20"/>
                <w:color w:val="auto"/>
              </w:rPr>
            </w:pPr>
            <w:r>
              <w:rPr>
                <w:rFonts w:ascii="Arial" w:cs="Arial" w:eastAsia="Arial" w:hAnsi="Arial"/>
                <w:sz w:val="14"/>
                <w:szCs w:val="14"/>
                <w:b w:val="1"/>
                <w:bCs w:val="1"/>
                <w:color w:val="auto"/>
              </w:rPr>
              <w:t>Stein, Laura</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10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BE6F0"/>
            </w:tcBorders>
            <w:gridSpan w:val="2"/>
            <w:shd w:val="clear" w:color="auto" w:fill="EBE6F0"/>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28,040</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1,859,332</w:t>
            </w:r>
          </w:p>
        </w:tc>
      </w:tr>
      <w:tr>
        <w:trPr>
          <w:trHeight w:val="295"/>
        </w:trPr>
        <w:tc>
          <w:tcPr>
            <w:tcW w:w="1100" w:type="dxa"/>
            <w:vAlign w:val="bottom"/>
            <w:tcBorders>
              <w:top w:val="single" w:sz="8" w:color="EBE6F0"/>
              <w:bottom w:val="single" w:sz="8" w:color="EBE6F0"/>
            </w:tcBorders>
            <w:shd w:val="clear" w:color="auto" w:fill="EBE6F0"/>
          </w:tcPr>
          <w:p>
            <w:pPr>
              <w:spacing w:after="0"/>
              <w:rPr>
                <w:sz w:val="24"/>
                <w:szCs w:val="24"/>
                <w:color w:val="auto"/>
              </w:rPr>
            </w:pPr>
          </w:p>
        </w:tc>
        <w:tc>
          <w:tcPr>
            <w:tcW w:w="680" w:type="dxa"/>
            <w:vAlign w:val="bottom"/>
            <w:tcBorders>
              <w:top w:val="single" w:sz="8" w:color="EBE6F0"/>
              <w:bottom w:val="single" w:sz="8" w:color="EBE6F0"/>
            </w:tcBorders>
            <w:shd w:val="clear" w:color="auto" w:fill="EBE6F0"/>
          </w:tcPr>
          <w:p>
            <w:pPr>
              <w:spacing w:after="0"/>
              <w:rPr>
                <w:sz w:val="24"/>
                <w:szCs w:val="24"/>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48,170</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57.090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01/11/2031</w:t>
            </w:r>
          </w:p>
        </w:tc>
        <w:tc>
          <w:tcPr>
            <w:tcW w:w="200" w:type="dxa"/>
            <w:vAlign w:val="bottom"/>
            <w:tcBorders>
              <w:top w:val="single" w:sz="8" w:color="572C83"/>
              <w:bottom w:val="single" w:sz="8" w:color="EBE6F0"/>
            </w:tcBorders>
            <w:shd w:val="clear" w:color="auto" w:fill="EBE6F0"/>
          </w:tcPr>
          <w:p>
            <w:pPr>
              <w:spacing w:after="0"/>
              <w:rPr>
                <w:sz w:val="24"/>
                <w:szCs w:val="24"/>
                <w:color w:val="auto"/>
              </w:rPr>
            </w:pPr>
          </w:p>
        </w:tc>
        <w:tc>
          <w:tcPr>
            <w:tcW w:w="1100" w:type="dxa"/>
            <w:vAlign w:val="bottom"/>
            <w:tcBorders>
              <w:top w:val="single" w:sz="8" w:color="572C83"/>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96"/>
        </w:trPr>
        <w:tc>
          <w:tcPr>
            <w:tcW w:w="1100" w:type="dxa"/>
            <w:vAlign w:val="bottom"/>
            <w:tcBorders>
              <w:top w:val="single" w:sz="8" w:color="EBE6F0"/>
              <w:bottom w:val="single" w:sz="8" w:color="EBE6F0"/>
            </w:tcBorders>
            <w:shd w:val="clear" w:color="auto" w:fill="EBE6F0"/>
          </w:tcPr>
          <w:p>
            <w:pPr>
              <w:spacing w:after="0"/>
              <w:rPr>
                <w:sz w:val="24"/>
                <w:szCs w:val="24"/>
                <w:color w:val="auto"/>
              </w:rPr>
            </w:pPr>
          </w:p>
        </w:tc>
        <w:tc>
          <w:tcPr>
            <w:tcW w:w="680" w:type="dxa"/>
            <w:vAlign w:val="bottom"/>
            <w:tcBorders>
              <w:top w:val="single" w:sz="8" w:color="EBE6F0"/>
              <w:bottom w:val="single" w:sz="8" w:color="EBE6F0"/>
            </w:tcBorders>
            <w:shd w:val="clear" w:color="auto" w:fill="EBE6F0"/>
          </w:tcPr>
          <w:p>
            <w:pPr>
              <w:spacing w:after="0"/>
              <w:rPr>
                <w:sz w:val="24"/>
                <w:szCs w:val="24"/>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01/11/2021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572C83"/>
              <w:bottom w:val="single" w:sz="8" w:color="EBE6F0"/>
            </w:tcBorders>
            <w:gridSpan w:val="2"/>
            <w:shd w:val="clear" w:color="auto" w:fill="EBE6F0"/>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572C83"/>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4,380</w:t>
            </w:r>
          </w:p>
        </w:tc>
        <w:tc>
          <w:tcPr>
            <w:tcW w:w="8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290,438</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95"/>
        </w:trPr>
        <w:tc>
          <w:tcPr>
            <w:tcW w:w="1100" w:type="dxa"/>
            <w:vAlign w:val="bottom"/>
            <w:tcBorders>
              <w:top w:val="single" w:sz="8" w:color="EBE6F0"/>
              <w:bottom w:val="single" w:sz="8" w:color="EBE6F0"/>
            </w:tcBorders>
            <w:shd w:val="clear" w:color="auto" w:fill="EBE6F0"/>
          </w:tcPr>
          <w:p>
            <w:pPr>
              <w:spacing w:after="0"/>
              <w:rPr>
                <w:sz w:val="24"/>
                <w:szCs w:val="24"/>
                <w:color w:val="auto"/>
              </w:rPr>
            </w:pPr>
          </w:p>
        </w:tc>
        <w:tc>
          <w:tcPr>
            <w:tcW w:w="680" w:type="dxa"/>
            <w:vAlign w:val="bottom"/>
            <w:tcBorders>
              <w:top w:val="single" w:sz="8" w:color="EBE6F0"/>
              <w:bottom w:val="single" w:sz="8" w:color="EBE6F0"/>
            </w:tcBorders>
            <w:shd w:val="clear" w:color="auto" w:fill="EBE6F0"/>
          </w:tcPr>
          <w:p>
            <w:pPr>
              <w:spacing w:after="0"/>
              <w:rPr>
                <w:sz w:val="24"/>
                <w:szCs w:val="24"/>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572C83"/>
              <w:bottom w:val="single" w:sz="8" w:color="EBE6F0"/>
            </w:tcBorders>
            <w:gridSpan w:val="2"/>
            <w:shd w:val="clear" w:color="auto" w:fill="EBE6F0"/>
          </w:tcPr>
          <w:p>
            <w:pPr>
              <w:jc w:val="right"/>
              <w:ind w:right="26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572C83"/>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48,120</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3,190,837</w:t>
            </w:r>
          </w:p>
        </w:tc>
      </w:tr>
      <w:tr>
        <w:trPr>
          <w:trHeight w:val="270"/>
        </w:trPr>
        <w:tc>
          <w:tcPr>
            <w:tcW w:w="1100" w:type="dxa"/>
            <w:vAlign w:val="bottom"/>
            <w:tcBorders>
              <w:top w:val="single" w:sz="8" w:color="EBE6F0"/>
              <w:bottom w:val="single" w:sz="8" w:color="EBE6F0"/>
            </w:tcBorders>
            <w:shd w:val="clear" w:color="auto" w:fill="EBE6F0"/>
          </w:tcPr>
          <w:p>
            <w:pPr>
              <w:spacing w:after="0"/>
              <w:rPr>
                <w:sz w:val="23"/>
                <w:szCs w:val="23"/>
                <w:color w:val="auto"/>
              </w:rPr>
            </w:pPr>
          </w:p>
        </w:tc>
        <w:tc>
          <w:tcPr>
            <w:tcW w:w="680" w:type="dxa"/>
            <w:vAlign w:val="bottom"/>
            <w:tcBorders>
              <w:top w:val="single" w:sz="8" w:color="EBE6F0"/>
              <w:bottom w:val="single" w:sz="8" w:color="EBE6F0"/>
            </w:tcBorders>
            <w:shd w:val="clear" w:color="auto" w:fill="EBE6F0"/>
          </w:tcPr>
          <w:p>
            <w:pPr>
              <w:spacing w:after="0"/>
              <w:rPr>
                <w:sz w:val="23"/>
                <w:szCs w:val="23"/>
                <w:color w:val="auto"/>
              </w:rPr>
            </w:pP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02/18/2021</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40,090</w:t>
            </w:r>
          </w:p>
        </w:tc>
        <w:tc>
          <w:tcPr>
            <w:tcW w:w="96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56.130</w:t>
            </w:r>
          </w:p>
        </w:tc>
        <w:tc>
          <w:tcPr>
            <w:tcW w:w="10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02/18/2031</w:t>
            </w:r>
          </w:p>
        </w:tc>
        <w:tc>
          <w:tcPr>
            <w:tcW w:w="200" w:type="dxa"/>
            <w:vAlign w:val="bottom"/>
            <w:tcBorders>
              <w:top w:val="single" w:sz="8" w:color="572C83"/>
              <w:bottom w:val="single" w:sz="8" w:color="EBE6F0"/>
            </w:tcBorders>
            <w:shd w:val="clear" w:color="auto" w:fill="EBE6F0"/>
          </w:tcPr>
          <w:p>
            <w:pPr>
              <w:spacing w:after="0"/>
              <w:rPr>
                <w:sz w:val="23"/>
                <w:szCs w:val="23"/>
                <w:color w:val="auto"/>
              </w:rPr>
            </w:pPr>
          </w:p>
        </w:tc>
        <w:tc>
          <w:tcPr>
            <w:tcW w:w="1100" w:type="dxa"/>
            <w:vAlign w:val="bottom"/>
            <w:tcBorders>
              <w:top w:val="single" w:sz="8" w:color="572C83"/>
              <w:bottom w:val="single" w:sz="8" w:color="EBE6F0"/>
            </w:tcBorders>
            <w:shd w:val="clear" w:color="auto" w:fill="EBE6F0"/>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100" w:type="dxa"/>
            <w:vAlign w:val="bottom"/>
            <w:shd w:val="clear" w:color="auto" w:fill="572C83"/>
          </w:tcPr>
          <w:p>
            <w:pPr>
              <w:spacing w:after="0" w:line="20" w:lineRule="exact"/>
              <w:rPr>
                <w:sz w:val="1"/>
                <w:szCs w:val="1"/>
                <w:color w:val="auto"/>
              </w:rPr>
            </w:pPr>
          </w:p>
        </w:tc>
        <w:tc>
          <w:tcPr>
            <w:tcW w:w="680" w:type="dxa"/>
            <w:vAlign w:val="bottom"/>
            <w:shd w:val="clear" w:color="auto" w:fill="572C83"/>
          </w:tcPr>
          <w:p>
            <w:pPr>
              <w:spacing w:after="0" w:line="20" w:lineRule="exact"/>
              <w:rPr>
                <w:sz w:val="1"/>
                <w:szCs w:val="1"/>
                <w:color w:val="auto"/>
              </w:rPr>
            </w:pPr>
          </w:p>
        </w:tc>
        <w:tc>
          <w:tcPr>
            <w:tcW w:w="1000" w:type="dxa"/>
            <w:vAlign w:val="bottom"/>
            <w:shd w:val="clear" w:color="auto" w:fill="572C83"/>
          </w:tcPr>
          <w:p>
            <w:pPr>
              <w:spacing w:after="0" w:line="20" w:lineRule="exact"/>
              <w:rPr>
                <w:sz w:val="1"/>
                <w:szCs w:val="1"/>
                <w:color w:val="auto"/>
              </w:rPr>
            </w:pPr>
          </w:p>
        </w:tc>
        <w:tc>
          <w:tcPr>
            <w:tcW w:w="1000" w:type="dxa"/>
            <w:vAlign w:val="bottom"/>
            <w:shd w:val="clear" w:color="auto" w:fill="572C83"/>
          </w:tcPr>
          <w:p>
            <w:pPr>
              <w:spacing w:after="0" w:line="20" w:lineRule="exact"/>
              <w:rPr>
                <w:sz w:val="1"/>
                <w:szCs w:val="1"/>
                <w:color w:val="auto"/>
              </w:rPr>
            </w:pPr>
          </w:p>
        </w:tc>
        <w:tc>
          <w:tcPr>
            <w:tcW w:w="1240" w:type="dxa"/>
            <w:vAlign w:val="bottom"/>
            <w:shd w:val="clear" w:color="auto" w:fill="572C83"/>
          </w:tcPr>
          <w:p>
            <w:pPr>
              <w:spacing w:after="0" w:line="20" w:lineRule="exact"/>
              <w:rPr>
                <w:sz w:val="1"/>
                <w:szCs w:val="1"/>
                <w:color w:val="auto"/>
              </w:rPr>
            </w:pPr>
          </w:p>
        </w:tc>
        <w:tc>
          <w:tcPr>
            <w:tcW w:w="960" w:type="dxa"/>
            <w:vAlign w:val="bottom"/>
            <w:shd w:val="clear" w:color="auto" w:fill="572C83"/>
          </w:tcPr>
          <w:p>
            <w:pPr>
              <w:spacing w:after="0" w:line="20" w:lineRule="exact"/>
              <w:rPr>
                <w:sz w:val="1"/>
                <w:szCs w:val="1"/>
                <w:color w:val="auto"/>
              </w:rPr>
            </w:pPr>
          </w:p>
        </w:tc>
        <w:tc>
          <w:tcPr>
            <w:tcW w:w="1000" w:type="dxa"/>
            <w:vAlign w:val="bottom"/>
            <w:shd w:val="clear" w:color="auto" w:fill="572C83"/>
          </w:tcPr>
          <w:p>
            <w:pPr>
              <w:spacing w:after="0" w:line="20" w:lineRule="exact"/>
              <w:rPr>
                <w:sz w:val="1"/>
                <w:szCs w:val="1"/>
                <w:color w:val="auto"/>
              </w:rPr>
            </w:pPr>
          </w:p>
        </w:tc>
        <w:tc>
          <w:tcPr>
            <w:tcW w:w="200" w:type="dxa"/>
            <w:vAlign w:val="bottom"/>
            <w:shd w:val="clear" w:color="auto" w:fill="572C83"/>
          </w:tcPr>
          <w:p>
            <w:pPr>
              <w:spacing w:after="0" w:line="20" w:lineRule="exact"/>
              <w:rPr>
                <w:sz w:val="1"/>
                <w:szCs w:val="1"/>
                <w:color w:val="auto"/>
              </w:rPr>
            </w:pPr>
          </w:p>
        </w:tc>
        <w:tc>
          <w:tcPr>
            <w:tcW w:w="1100" w:type="dxa"/>
            <w:vAlign w:val="bottom"/>
            <w:shd w:val="clear" w:color="auto" w:fill="572C83"/>
          </w:tcPr>
          <w:p>
            <w:pPr>
              <w:spacing w:after="0" w:line="20" w:lineRule="exact"/>
              <w:rPr>
                <w:sz w:val="1"/>
                <w:szCs w:val="1"/>
                <w:color w:val="auto"/>
              </w:rPr>
            </w:pPr>
          </w:p>
        </w:tc>
        <w:tc>
          <w:tcPr>
            <w:tcW w:w="880" w:type="dxa"/>
            <w:vAlign w:val="bottom"/>
            <w:shd w:val="clear" w:color="auto" w:fill="572C83"/>
          </w:tcPr>
          <w:p>
            <w:pPr>
              <w:spacing w:after="0" w:line="20" w:lineRule="exact"/>
              <w:rPr>
                <w:sz w:val="1"/>
                <w:szCs w:val="1"/>
                <w:color w:val="auto"/>
              </w:rPr>
            </w:pPr>
          </w:p>
        </w:tc>
        <w:tc>
          <w:tcPr>
            <w:tcW w:w="1040" w:type="dxa"/>
            <w:vAlign w:val="bottom"/>
            <w:shd w:val="clear" w:color="auto" w:fill="572C83"/>
          </w:tcPr>
          <w:p>
            <w:pPr>
              <w:spacing w:after="0" w:line="20" w:lineRule="exact"/>
              <w:rPr>
                <w:sz w:val="1"/>
                <w:szCs w:val="1"/>
                <w:color w:val="auto"/>
              </w:rPr>
            </w:pPr>
          </w:p>
        </w:tc>
        <w:tc>
          <w:tcPr>
            <w:tcW w:w="1040" w:type="dxa"/>
            <w:vAlign w:val="bottom"/>
            <w:shd w:val="clear" w:color="auto" w:fill="572C83"/>
          </w:tcPr>
          <w:p>
            <w:pPr>
              <w:spacing w:after="0" w:line="20" w:lineRule="exact"/>
              <w:rPr>
                <w:sz w:val="1"/>
                <w:szCs w:val="1"/>
                <w:color w:val="auto"/>
              </w:rPr>
            </w:pPr>
          </w:p>
        </w:tc>
      </w:tr>
    </w:tbl>
    <w:p>
      <w:pPr>
        <w:spacing w:after="0" w:line="53" w:lineRule="exact"/>
        <w:rPr>
          <w:sz w:val="20"/>
          <w:szCs w:val="20"/>
          <w:color w:val="auto"/>
        </w:rPr>
      </w:pPr>
    </w:p>
    <w:p>
      <w:pPr>
        <w:ind w:left="60"/>
        <w:spacing w:after="0"/>
        <w:tabs>
          <w:tab w:leader="none" w:pos="400" w:val="left"/>
        </w:tabs>
        <w:rPr>
          <w:sz w:val="20"/>
          <w:szCs w:val="20"/>
          <w:color w:val="auto"/>
        </w:rPr>
      </w:pPr>
      <w:r>
        <w:rPr>
          <w:rFonts w:ascii="Arial" w:cs="Arial" w:eastAsia="Arial" w:hAnsi="Arial"/>
          <w:sz w:val="16"/>
          <w:szCs w:val="16"/>
          <w:color w:val="auto"/>
        </w:rPr>
        <w:t>(1)</w:t>
        <w:tab/>
        <w:t>The vesting schedule for all outstanding unvested stock and stock options is as follows:</w:t>
      </w:r>
    </w:p>
    <w:p>
      <w:pPr>
        <w:spacing w:after="0" w:line="329" w:lineRule="exact"/>
        <w:rPr>
          <w:sz w:val="20"/>
          <w:szCs w:val="20"/>
          <w:color w:val="auto"/>
        </w:rPr>
      </w:pPr>
    </w:p>
    <w:tbl>
      <w:tblPr>
        <w:tblLayout w:type="fixed"/>
        <w:tblInd w:w="480" w:type="dxa"/>
        <w:tblCellMar>
          <w:top w:w="0" w:type="dxa"/>
          <w:left w:w="0" w:type="dxa"/>
          <w:bottom w:w="0" w:type="dxa"/>
          <w:right w:w="0" w:type="dxa"/>
        </w:tblCellMar>
      </w:tblPr>
      <w:tr>
        <w:trPr>
          <w:trHeight w:val="251"/>
        </w:trPr>
        <w:tc>
          <w:tcPr>
            <w:tcW w:w="116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Grant Date</w:t>
            </w:r>
          </w:p>
        </w:tc>
        <w:tc>
          <w:tcPr>
            <w:tcW w:w="2000" w:type="dxa"/>
            <w:vAlign w:val="bottom"/>
            <w:tcBorders>
              <w:bottom w:val="single" w:sz="8" w:color="582C83"/>
            </w:tcBorders>
          </w:tcPr>
          <w:p>
            <w:pPr>
              <w:ind w:left="280"/>
              <w:spacing w:after="0"/>
              <w:rPr>
                <w:sz w:val="20"/>
                <w:szCs w:val="20"/>
                <w:color w:val="auto"/>
              </w:rPr>
            </w:pPr>
            <w:r>
              <w:rPr>
                <w:rFonts w:ascii="Arial" w:cs="Arial" w:eastAsia="Arial" w:hAnsi="Arial"/>
                <w:sz w:val="16"/>
                <w:szCs w:val="16"/>
                <w:b w:val="1"/>
                <w:bCs w:val="1"/>
                <w:color w:val="auto"/>
              </w:rPr>
              <w:t>Grant Type</w:t>
            </w:r>
          </w:p>
        </w:tc>
        <w:tc>
          <w:tcPr>
            <w:tcW w:w="7660" w:type="dxa"/>
            <w:vAlign w:val="bottom"/>
            <w:tcBorders>
              <w:bottom w:val="single" w:sz="8" w:color="582C83"/>
            </w:tcBorders>
          </w:tcPr>
          <w:p>
            <w:pPr>
              <w:ind w:left="220"/>
              <w:spacing w:after="0"/>
              <w:rPr>
                <w:sz w:val="20"/>
                <w:szCs w:val="20"/>
                <w:color w:val="auto"/>
              </w:rPr>
            </w:pPr>
            <w:r>
              <w:rPr>
                <w:rFonts w:ascii="Arial" w:cs="Arial" w:eastAsia="Arial" w:hAnsi="Arial"/>
                <w:sz w:val="16"/>
                <w:szCs w:val="16"/>
                <w:b w:val="1"/>
                <w:bCs w:val="1"/>
                <w:color w:val="auto"/>
              </w:rPr>
              <w:t>Vesting Schedule</w:t>
            </w:r>
          </w:p>
        </w:tc>
      </w:tr>
      <w:tr>
        <w:trPr>
          <w:trHeight w:val="229"/>
        </w:trPr>
        <w:tc>
          <w:tcPr>
            <w:tcW w:w="1160" w:type="dxa"/>
            <w:vAlign w:val="bottom"/>
            <w:shd w:val="clear" w:color="auto" w:fill="EBE6F0"/>
          </w:tcPr>
          <w:p>
            <w:pPr>
              <w:ind w:left="60"/>
              <w:spacing w:after="0"/>
              <w:rPr>
                <w:sz w:val="20"/>
                <w:szCs w:val="20"/>
                <w:color w:val="auto"/>
              </w:rPr>
            </w:pPr>
            <w:r>
              <w:rPr>
                <w:rFonts w:ascii="Arial" w:cs="Arial" w:eastAsia="Arial" w:hAnsi="Arial"/>
                <w:sz w:val="16"/>
                <w:szCs w:val="16"/>
                <w:color w:val="auto"/>
              </w:rPr>
              <w:t>02/22/2019</w:t>
            </w:r>
          </w:p>
        </w:tc>
        <w:tc>
          <w:tcPr>
            <w:tcW w:w="2000" w:type="dxa"/>
            <w:vAlign w:val="bottom"/>
            <w:shd w:val="clear" w:color="auto" w:fill="EBE6F0"/>
          </w:tcPr>
          <w:p>
            <w:pPr>
              <w:ind w:left="280"/>
              <w:spacing w:after="0"/>
              <w:rPr>
                <w:sz w:val="20"/>
                <w:szCs w:val="20"/>
                <w:color w:val="auto"/>
              </w:rPr>
            </w:pPr>
            <w:r>
              <w:rPr>
                <w:rFonts w:ascii="Arial" w:cs="Arial" w:eastAsia="Arial" w:hAnsi="Arial"/>
                <w:sz w:val="16"/>
                <w:szCs w:val="16"/>
                <w:color w:val="auto"/>
              </w:rPr>
              <w:t>Stock Options</w:t>
            </w:r>
          </w:p>
        </w:tc>
        <w:tc>
          <w:tcPr>
            <w:tcW w:w="7660" w:type="dxa"/>
            <w:vAlign w:val="bottom"/>
            <w:shd w:val="clear" w:color="auto" w:fill="EBE6F0"/>
          </w:tcPr>
          <w:p>
            <w:pPr>
              <w:ind w:left="220"/>
              <w:spacing w:after="0"/>
              <w:rPr>
                <w:sz w:val="20"/>
                <w:szCs w:val="20"/>
                <w:color w:val="auto"/>
              </w:rPr>
            </w:pPr>
            <w:r>
              <w:rPr>
                <w:rFonts w:ascii="Arial" w:cs="Arial" w:eastAsia="Arial" w:hAnsi="Arial"/>
                <w:sz w:val="16"/>
                <w:szCs w:val="16"/>
                <w:color w:val="auto"/>
              </w:rPr>
              <w:t>First tranche (33%) vested on 02/22/2020, second tranche (33%) vested on 02/22/2021 and last</w:t>
            </w:r>
          </w:p>
        </w:tc>
      </w:tr>
      <w:tr>
        <w:trPr>
          <w:trHeight w:val="262"/>
        </w:trPr>
        <w:tc>
          <w:tcPr>
            <w:tcW w:w="1160" w:type="dxa"/>
            <w:vAlign w:val="bottom"/>
            <w:tcBorders>
              <w:bottom w:val="single" w:sz="8" w:color="EBE6F0"/>
            </w:tcBorders>
            <w:shd w:val="clear" w:color="auto" w:fill="EBE6F0"/>
          </w:tcPr>
          <w:p>
            <w:pPr>
              <w:spacing w:after="0"/>
              <w:rPr>
                <w:sz w:val="22"/>
                <w:szCs w:val="22"/>
                <w:color w:val="auto"/>
              </w:rPr>
            </w:pPr>
          </w:p>
        </w:tc>
        <w:tc>
          <w:tcPr>
            <w:tcW w:w="2000" w:type="dxa"/>
            <w:vAlign w:val="bottom"/>
            <w:tcBorders>
              <w:bottom w:val="single" w:sz="8" w:color="EBE6F0"/>
            </w:tcBorders>
            <w:shd w:val="clear" w:color="auto" w:fill="EBE6F0"/>
          </w:tcPr>
          <w:p>
            <w:pPr>
              <w:spacing w:after="0"/>
              <w:rPr>
                <w:sz w:val="22"/>
                <w:szCs w:val="22"/>
                <w:color w:val="auto"/>
              </w:rPr>
            </w:pPr>
          </w:p>
        </w:tc>
        <w:tc>
          <w:tcPr>
            <w:tcW w:w="7660" w:type="dxa"/>
            <w:vAlign w:val="bottom"/>
            <w:tcBorders>
              <w:bottom w:val="single" w:sz="8" w:color="EBE6F0"/>
            </w:tcBorders>
            <w:shd w:val="clear" w:color="auto" w:fill="EBE6F0"/>
          </w:tcPr>
          <w:p>
            <w:pPr>
              <w:ind w:left="220"/>
              <w:spacing w:after="0"/>
              <w:rPr>
                <w:sz w:val="20"/>
                <w:szCs w:val="20"/>
                <w:color w:val="auto"/>
              </w:rPr>
            </w:pPr>
            <w:r>
              <w:rPr>
                <w:rFonts w:ascii="Arial" w:cs="Arial" w:eastAsia="Arial" w:hAnsi="Arial"/>
                <w:sz w:val="16"/>
                <w:szCs w:val="16"/>
                <w:color w:val="auto"/>
              </w:rPr>
              <w:t>tranche (34%) vested on 02/22/2022.</w:t>
            </w:r>
          </w:p>
        </w:tc>
      </w:tr>
      <w:tr>
        <w:trPr>
          <w:trHeight w:val="222"/>
        </w:trPr>
        <w:tc>
          <w:tcPr>
            <w:tcW w:w="116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02/20/2020</w:t>
            </w:r>
          </w:p>
        </w:tc>
        <w:tc>
          <w:tcPr>
            <w:tcW w:w="2000" w:type="dxa"/>
            <w:vAlign w:val="bottom"/>
            <w:tcBorders>
              <w:top w:val="single" w:sz="8" w:color="572C83"/>
            </w:tcBorders>
          </w:tcPr>
          <w:p>
            <w:pPr>
              <w:ind w:left="280"/>
              <w:spacing w:after="0"/>
              <w:rPr>
                <w:sz w:val="20"/>
                <w:szCs w:val="20"/>
                <w:color w:val="auto"/>
              </w:rPr>
            </w:pPr>
            <w:r>
              <w:rPr>
                <w:rFonts w:ascii="Arial" w:cs="Arial" w:eastAsia="Arial" w:hAnsi="Arial"/>
                <w:sz w:val="16"/>
                <w:szCs w:val="16"/>
                <w:color w:val="auto"/>
              </w:rPr>
              <w:t>PSUs</w:t>
            </w:r>
          </w:p>
        </w:tc>
        <w:tc>
          <w:tcPr>
            <w:tcW w:w="7660" w:type="dxa"/>
            <w:vAlign w:val="bottom"/>
            <w:tcBorders>
              <w:top w:val="single" w:sz="8" w:color="572C83"/>
            </w:tcBorders>
          </w:tcPr>
          <w:p>
            <w:pPr>
              <w:ind w:left="220"/>
              <w:spacing w:after="0"/>
              <w:rPr>
                <w:sz w:val="20"/>
                <w:szCs w:val="20"/>
                <w:color w:val="auto"/>
              </w:rPr>
            </w:pPr>
            <w:r>
              <w:rPr>
                <w:rFonts w:ascii="Arial" w:cs="Arial" w:eastAsia="Arial" w:hAnsi="Arial"/>
                <w:sz w:val="16"/>
                <w:szCs w:val="16"/>
                <w:color w:val="auto"/>
              </w:rPr>
              <w:t>100% of the grant vests upon approval of the People and Compensation Committee subject to the</w:t>
            </w:r>
          </w:p>
        </w:tc>
      </w:tr>
      <w:tr>
        <w:trPr>
          <w:trHeight w:val="189"/>
        </w:trPr>
        <w:tc>
          <w:tcPr>
            <w:tcW w:w="1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60" w:type="dxa"/>
            <w:vAlign w:val="bottom"/>
          </w:tcPr>
          <w:p>
            <w:pPr>
              <w:ind w:left="220"/>
              <w:spacing w:after="0"/>
              <w:rPr>
                <w:sz w:val="20"/>
                <w:szCs w:val="20"/>
                <w:color w:val="auto"/>
              </w:rPr>
            </w:pPr>
            <w:r>
              <w:rPr>
                <w:rFonts w:ascii="Arial" w:cs="Arial" w:eastAsia="Arial" w:hAnsi="Arial"/>
                <w:sz w:val="16"/>
                <w:szCs w:val="16"/>
                <w:color w:val="auto"/>
              </w:rPr>
              <w:t>satisfaction of the performance criteria. Distribution of any shares awarded will be no later than</w:t>
            </w:r>
          </w:p>
        </w:tc>
      </w:tr>
      <w:tr>
        <w:trPr>
          <w:trHeight w:val="215"/>
        </w:trPr>
        <w:tc>
          <w:tcPr>
            <w:tcW w:w="1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6"/>
                <w:szCs w:val="16"/>
                <w:color w:val="auto"/>
              </w:rPr>
              <w:t>3/15/2023.</w:t>
            </w:r>
          </w:p>
        </w:tc>
      </w:tr>
      <w:tr>
        <w:trPr>
          <w:trHeight w:val="43"/>
        </w:trPr>
        <w:tc>
          <w:tcPr>
            <w:tcW w:w="116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7660" w:type="dxa"/>
            <w:vAlign w:val="bottom"/>
            <w:tcBorders>
              <w:bottom w:val="single" w:sz="8" w:color="572C83"/>
            </w:tcBorders>
          </w:tcPr>
          <w:p>
            <w:pPr>
              <w:spacing w:after="0"/>
              <w:rPr>
                <w:sz w:val="3"/>
                <w:szCs w:val="3"/>
                <w:color w:val="auto"/>
              </w:rPr>
            </w:pPr>
          </w:p>
        </w:tc>
      </w:tr>
      <w:tr>
        <w:trPr>
          <w:trHeight w:val="222"/>
        </w:trPr>
        <w:tc>
          <w:tcPr>
            <w:tcW w:w="1160" w:type="dxa"/>
            <w:vAlign w:val="bottom"/>
            <w:shd w:val="clear" w:color="auto" w:fill="EBE6F0"/>
          </w:tcPr>
          <w:p>
            <w:pPr>
              <w:ind w:left="60"/>
              <w:spacing w:after="0"/>
              <w:rPr>
                <w:sz w:val="20"/>
                <w:szCs w:val="20"/>
                <w:color w:val="auto"/>
              </w:rPr>
            </w:pPr>
            <w:r>
              <w:rPr>
                <w:rFonts w:ascii="Arial" w:cs="Arial" w:eastAsia="Arial" w:hAnsi="Arial"/>
                <w:sz w:val="16"/>
                <w:szCs w:val="16"/>
                <w:color w:val="auto"/>
              </w:rPr>
              <w:t>02/20/2020</w:t>
            </w:r>
          </w:p>
        </w:tc>
        <w:tc>
          <w:tcPr>
            <w:tcW w:w="2000" w:type="dxa"/>
            <w:vAlign w:val="bottom"/>
            <w:shd w:val="clear" w:color="auto" w:fill="EBE6F0"/>
          </w:tcPr>
          <w:p>
            <w:pPr>
              <w:ind w:left="280"/>
              <w:spacing w:after="0"/>
              <w:rPr>
                <w:sz w:val="20"/>
                <w:szCs w:val="20"/>
                <w:color w:val="auto"/>
              </w:rPr>
            </w:pPr>
            <w:r>
              <w:rPr>
                <w:rFonts w:ascii="Arial" w:cs="Arial" w:eastAsia="Arial" w:hAnsi="Arial"/>
                <w:sz w:val="16"/>
                <w:szCs w:val="16"/>
                <w:color w:val="auto"/>
              </w:rPr>
              <w:t>Stock Options</w:t>
            </w:r>
          </w:p>
        </w:tc>
        <w:tc>
          <w:tcPr>
            <w:tcW w:w="7660" w:type="dxa"/>
            <w:vAlign w:val="bottom"/>
            <w:shd w:val="clear" w:color="auto" w:fill="EBE6F0"/>
          </w:tcPr>
          <w:p>
            <w:pPr>
              <w:ind w:left="220"/>
              <w:spacing w:after="0"/>
              <w:rPr>
                <w:sz w:val="20"/>
                <w:szCs w:val="20"/>
                <w:color w:val="auto"/>
              </w:rPr>
            </w:pPr>
            <w:r>
              <w:rPr>
                <w:rFonts w:ascii="Arial" w:cs="Arial" w:eastAsia="Arial" w:hAnsi="Arial"/>
                <w:sz w:val="16"/>
                <w:szCs w:val="16"/>
                <w:color w:val="auto"/>
              </w:rPr>
              <w:t>First tranche (33%) vested on 02/20/2021, second tranche (33%) vested on 02/20/2022 and last</w:t>
            </w:r>
          </w:p>
        </w:tc>
      </w:tr>
      <w:tr>
        <w:trPr>
          <w:trHeight w:val="262"/>
        </w:trPr>
        <w:tc>
          <w:tcPr>
            <w:tcW w:w="1160" w:type="dxa"/>
            <w:vAlign w:val="bottom"/>
            <w:tcBorders>
              <w:bottom w:val="single" w:sz="8" w:color="EBE6F0"/>
            </w:tcBorders>
            <w:shd w:val="clear" w:color="auto" w:fill="EBE6F0"/>
          </w:tcPr>
          <w:p>
            <w:pPr>
              <w:spacing w:after="0"/>
              <w:rPr>
                <w:sz w:val="22"/>
                <w:szCs w:val="22"/>
                <w:color w:val="auto"/>
              </w:rPr>
            </w:pPr>
          </w:p>
        </w:tc>
        <w:tc>
          <w:tcPr>
            <w:tcW w:w="2000" w:type="dxa"/>
            <w:vAlign w:val="bottom"/>
            <w:tcBorders>
              <w:bottom w:val="single" w:sz="8" w:color="EBE6F0"/>
            </w:tcBorders>
            <w:shd w:val="clear" w:color="auto" w:fill="EBE6F0"/>
          </w:tcPr>
          <w:p>
            <w:pPr>
              <w:spacing w:after="0"/>
              <w:rPr>
                <w:sz w:val="22"/>
                <w:szCs w:val="22"/>
                <w:color w:val="auto"/>
              </w:rPr>
            </w:pPr>
          </w:p>
        </w:tc>
        <w:tc>
          <w:tcPr>
            <w:tcW w:w="7660" w:type="dxa"/>
            <w:vAlign w:val="bottom"/>
            <w:tcBorders>
              <w:bottom w:val="single" w:sz="8" w:color="EBE6F0"/>
            </w:tcBorders>
            <w:shd w:val="clear" w:color="auto" w:fill="EBE6F0"/>
          </w:tcPr>
          <w:p>
            <w:pPr>
              <w:ind w:left="220"/>
              <w:spacing w:after="0"/>
              <w:rPr>
                <w:sz w:val="20"/>
                <w:szCs w:val="20"/>
                <w:color w:val="auto"/>
              </w:rPr>
            </w:pPr>
            <w:r>
              <w:rPr>
                <w:rFonts w:ascii="Arial" w:cs="Arial" w:eastAsia="Arial" w:hAnsi="Arial"/>
                <w:sz w:val="16"/>
                <w:szCs w:val="16"/>
                <w:color w:val="auto"/>
              </w:rPr>
              <w:t>tranche (34%) vests on 02/20/2023.</w:t>
            </w:r>
          </w:p>
        </w:tc>
      </w:tr>
      <w:tr>
        <w:trPr>
          <w:trHeight w:val="222"/>
        </w:trPr>
        <w:tc>
          <w:tcPr>
            <w:tcW w:w="116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01/11/2021</w:t>
            </w:r>
          </w:p>
        </w:tc>
        <w:tc>
          <w:tcPr>
            <w:tcW w:w="2000" w:type="dxa"/>
            <w:vAlign w:val="bottom"/>
            <w:tcBorders>
              <w:top w:val="single" w:sz="8" w:color="572C83"/>
            </w:tcBorders>
          </w:tcPr>
          <w:p>
            <w:pPr>
              <w:ind w:left="280"/>
              <w:spacing w:after="0"/>
              <w:rPr>
                <w:sz w:val="20"/>
                <w:szCs w:val="20"/>
                <w:color w:val="auto"/>
              </w:rPr>
            </w:pPr>
            <w:r>
              <w:rPr>
                <w:rFonts w:ascii="Arial" w:cs="Arial" w:eastAsia="Arial" w:hAnsi="Arial"/>
                <w:sz w:val="16"/>
                <w:szCs w:val="16"/>
                <w:color w:val="auto"/>
              </w:rPr>
              <w:t>PSUs</w:t>
            </w:r>
          </w:p>
        </w:tc>
        <w:tc>
          <w:tcPr>
            <w:tcW w:w="7660" w:type="dxa"/>
            <w:vAlign w:val="bottom"/>
            <w:tcBorders>
              <w:top w:val="single" w:sz="8" w:color="572C83"/>
            </w:tcBorders>
          </w:tcPr>
          <w:p>
            <w:pPr>
              <w:ind w:left="220"/>
              <w:spacing w:after="0"/>
              <w:rPr>
                <w:sz w:val="20"/>
                <w:szCs w:val="20"/>
                <w:color w:val="auto"/>
              </w:rPr>
            </w:pPr>
            <w:r>
              <w:rPr>
                <w:rFonts w:ascii="Arial" w:cs="Arial" w:eastAsia="Arial" w:hAnsi="Arial"/>
                <w:sz w:val="16"/>
                <w:szCs w:val="16"/>
                <w:color w:val="auto"/>
              </w:rPr>
              <w:t>100% of the grant vests upon approval of the People and Compensation Committee subject to the</w:t>
            </w:r>
          </w:p>
        </w:tc>
      </w:tr>
      <w:tr>
        <w:trPr>
          <w:trHeight w:val="189"/>
        </w:trPr>
        <w:tc>
          <w:tcPr>
            <w:tcW w:w="1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660" w:type="dxa"/>
            <w:vAlign w:val="bottom"/>
          </w:tcPr>
          <w:p>
            <w:pPr>
              <w:ind w:left="220"/>
              <w:spacing w:after="0"/>
              <w:rPr>
                <w:sz w:val="20"/>
                <w:szCs w:val="20"/>
                <w:color w:val="auto"/>
              </w:rPr>
            </w:pPr>
            <w:r>
              <w:rPr>
                <w:rFonts w:ascii="Arial" w:cs="Arial" w:eastAsia="Arial" w:hAnsi="Arial"/>
                <w:sz w:val="16"/>
                <w:szCs w:val="16"/>
                <w:color w:val="auto"/>
              </w:rPr>
              <w:t>satisfaction of the performance criteria. Distribution of any shares awarded will be no later than</w:t>
            </w:r>
          </w:p>
        </w:tc>
      </w:tr>
      <w:tr>
        <w:trPr>
          <w:trHeight w:val="215"/>
        </w:trPr>
        <w:tc>
          <w:tcPr>
            <w:tcW w:w="1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6"/>
                <w:szCs w:val="16"/>
                <w:color w:val="auto"/>
              </w:rPr>
              <w:t>03/1/2023.</w:t>
            </w:r>
          </w:p>
        </w:tc>
      </w:tr>
      <w:tr>
        <w:trPr>
          <w:trHeight w:val="42"/>
        </w:trPr>
        <w:tc>
          <w:tcPr>
            <w:tcW w:w="116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7660" w:type="dxa"/>
            <w:vAlign w:val="bottom"/>
            <w:tcBorders>
              <w:bottom w:val="single" w:sz="8" w:color="572C83"/>
            </w:tcBorders>
          </w:tcPr>
          <w:p>
            <w:pPr>
              <w:spacing w:after="0"/>
              <w:rPr>
                <w:sz w:val="3"/>
                <w:szCs w:val="3"/>
                <w:color w:val="auto"/>
              </w:rPr>
            </w:pPr>
          </w:p>
        </w:tc>
      </w:tr>
      <w:tr>
        <w:trPr>
          <w:trHeight w:val="222"/>
        </w:trPr>
        <w:tc>
          <w:tcPr>
            <w:tcW w:w="1160" w:type="dxa"/>
            <w:vAlign w:val="bottom"/>
            <w:shd w:val="clear" w:color="auto" w:fill="EBE6F0"/>
          </w:tcPr>
          <w:p>
            <w:pPr>
              <w:ind w:left="60"/>
              <w:spacing w:after="0"/>
              <w:rPr>
                <w:sz w:val="20"/>
                <w:szCs w:val="20"/>
                <w:color w:val="auto"/>
              </w:rPr>
            </w:pPr>
            <w:r>
              <w:rPr>
                <w:rFonts w:ascii="Arial" w:cs="Arial" w:eastAsia="Arial" w:hAnsi="Arial"/>
                <w:sz w:val="16"/>
                <w:szCs w:val="16"/>
                <w:color w:val="auto"/>
              </w:rPr>
              <w:t>01/11/2021</w:t>
            </w:r>
          </w:p>
        </w:tc>
        <w:tc>
          <w:tcPr>
            <w:tcW w:w="2000" w:type="dxa"/>
            <w:vAlign w:val="bottom"/>
            <w:shd w:val="clear" w:color="auto" w:fill="EBE6F0"/>
          </w:tcPr>
          <w:p>
            <w:pPr>
              <w:ind w:left="280"/>
              <w:spacing w:after="0"/>
              <w:rPr>
                <w:sz w:val="20"/>
                <w:szCs w:val="20"/>
                <w:color w:val="auto"/>
              </w:rPr>
            </w:pPr>
            <w:r>
              <w:rPr>
                <w:rFonts w:ascii="Arial" w:cs="Arial" w:eastAsia="Arial" w:hAnsi="Arial"/>
                <w:sz w:val="16"/>
                <w:szCs w:val="16"/>
                <w:color w:val="auto"/>
              </w:rPr>
              <w:t>Stock Options</w:t>
            </w:r>
          </w:p>
        </w:tc>
        <w:tc>
          <w:tcPr>
            <w:tcW w:w="7660" w:type="dxa"/>
            <w:vAlign w:val="bottom"/>
            <w:shd w:val="clear" w:color="auto" w:fill="EBE6F0"/>
          </w:tcPr>
          <w:p>
            <w:pPr>
              <w:ind w:left="220"/>
              <w:spacing w:after="0"/>
              <w:rPr>
                <w:sz w:val="20"/>
                <w:szCs w:val="20"/>
                <w:color w:val="auto"/>
              </w:rPr>
            </w:pPr>
            <w:r>
              <w:rPr>
                <w:rFonts w:ascii="Arial" w:cs="Arial" w:eastAsia="Arial" w:hAnsi="Arial"/>
                <w:sz w:val="16"/>
                <w:szCs w:val="16"/>
                <w:color w:val="auto"/>
              </w:rPr>
              <w:t>First tranche (33%) vested on 01/11/2022, second tranche (33%) vests on 01/11/2023 and last tranche</w:t>
            </w:r>
          </w:p>
        </w:tc>
      </w:tr>
      <w:tr>
        <w:trPr>
          <w:trHeight w:val="262"/>
        </w:trPr>
        <w:tc>
          <w:tcPr>
            <w:tcW w:w="1160" w:type="dxa"/>
            <w:vAlign w:val="bottom"/>
            <w:tcBorders>
              <w:bottom w:val="single" w:sz="8" w:color="EBE6F0"/>
            </w:tcBorders>
            <w:shd w:val="clear" w:color="auto" w:fill="EBE6F0"/>
          </w:tcPr>
          <w:p>
            <w:pPr>
              <w:spacing w:after="0"/>
              <w:rPr>
                <w:sz w:val="22"/>
                <w:szCs w:val="22"/>
                <w:color w:val="auto"/>
              </w:rPr>
            </w:pPr>
          </w:p>
        </w:tc>
        <w:tc>
          <w:tcPr>
            <w:tcW w:w="2000" w:type="dxa"/>
            <w:vAlign w:val="bottom"/>
            <w:tcBorders>
              <w:bottom w:val="single" w:sz="8" w:color="EBE6F0"/>
            </w:tcBorders>
            <w:shd w:val="clear" w:color="auto" w:fill="EBE6F0"/>
          </w:tcPr>
          <w:p>
            <w:pPr>
              <w:spacing w:after="0"/>
              <w:rPr>
                <w:sz w:val="22"/>
                <w:szCs w:val="22"/>
                <w:color w:val="auto"/>
              </w:rPr>
            </w:pPr>
          </w:p>
        </w:tc>
        <w:tc>
          <w:tcPr>
            <w:tcW w:w="7660" w:type="dxa"/>
            <w:vAlign w:val="bottom"/>
            <w:tcBorders>
              <w:bottom w:val="single" w:sz="8" w:color="EBE6F0"/>
            </w:tcBorders>
            <w:shd w:val="clear" w:color="auto" w:fill="EBE6F0"/>
          </w:tcPr>
          <w:p>
            <w:pPr>
              <w:ind w:left="220"/>
              <w:spacing w:after="0"/>
              <w:rPr>
                <w:sz w:val="20"/>
                <w:szCs w:val="20"/>
                <w:color w:val="auto"/>
              </w:rPr>
            </w:pPr>
            <w:r>
              <w:rPr>
                <w:rFonts w:ascii="Arial" w:cs="Arial" w:eastAsia="Arial" w:hAnsi="Arial"/>
                <w:sz w:val="16"/>
                <w:szCs w:val="16"/>
                <w:color w:val="auto"/>
              </w:rPr>
              <w:t>(34%) vests on 01/11/2024.</w:t>
            </w:r>
          </w:p>
        </w:tc>
      </w:tr>
      <w:tr>
        <w:trPr>
          <w:trHeight w:val="248"/>
        </w:trPr>
        <w:tc>
          <w:tcPr>
            <w:tcW w:w="116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01/11/2021</w:t>
            </w:r>
          </w:p>
        </w:tc>
        <w:tc>
          <w:tcPr>
            <w:tcW w:w="2000" w:type="dxa"/>
            <w:vAlign w:val="bottom"/>
            <w:tcBorders>
              <w:top w:val="single" w:sz="8" w:color="572C83"/>
            </w:tcBorders>
          </w:tcPr>
          <w:p>
            <w:pPr>
              <w:ind w:left="280"/>
              <w:spacing w:after="0"/>
              <w:rPr>
                <w:sz w:val="20"/>
                <w:szCs w:val="20"/>
                <w:color w:val="auto"/>
              </w:rPr>
            </w:pPr>
            <w:r>
              <w:rPr>
                <w:rFonts w:ascii="Arial" w:cs="Arial" w:eastAsia="Arial" w:hAnsi="Arial"/>
                <w:sz w:val="16"/>
                <w:szCs w:val="16"/>
                <w:color w:val="auto"/>
              </w:rPr>
              <w:t>Deferred Stock Units</w:t>
            </w:r>
          </w:p>
        </w:tc>
        <w:tc>
          <w:tcPr>
            <w:tcW w:w="7660" w:type="dxa"/>
            <w:vAlign w:val="bottom"/>
            <w:tcBorders>
              <w:top w:val="single" w:sz="8" w:color="572C83"/>
            </w:tcBorders>
          </w:tcPr>
          <w:p>
            <w:pPr>
              <w:ind w:left="220"/>
              <w:spacing w:after="0"/>
              <w:rPr>
                <w:sz w:val="20"/>
                <w:szCs w:val="20"/>
                <w:color w:val="auto"/>
              </w:rPr>
            </w:pPr>
            <w:r>
              <w:rPr>
                <w:rFonts w:ascii="Arial" w:cs="Arial" w:eastAsia="Arial" w:hAnsi="Arial"/>
                <w:sz w:val="16"/>
                <w:szCs w:val="16"/>
                <w:color w:val="auto"/>
              </w:rPr>
              <w:t>100% of the grant vests on 01/11/2026.</w:t>
            </w:r>
          </w:p>
        </w:tc>
      </w:tr>
      <w:tr>
        <w:trPr>
          <w:trHeight w:val="43"/>
        </w:trPr>
        <w:tc>
          <w:tcPr>
            <w:tcW w:w="116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7660" w:type="dxa"/>
            <w:vAlign w:val="bottom"/>
            <w:tcBorders>
              <w:bottom w:val="single" w:sz="8" w:color="572C83"/>
            </w:tcBorders>
          </w:tcPr>
          <w:p>
            <w:pPr>
              <w:spacing w:after="0"/>
              <w:rPr>
                <w:sz w:val="3"/>
                <w:szCs w:val="3"/>
                <w:color w:val="auto"/>
              </w:rPr>
            </w:pPr>
          </w:p>
        </w:tc>
      </w:tr>
      <w:tr>
        <w:trPr>
          <w:trHeight w:val="222"/>
        </w:trPr>
        <w:tc>
          <w:tcPr>
            <w:tcW w:w="1160" w:type="dxa"/>
            <w:vAlign w:val="bottom"/>
            <w:shd w:val="clear" w:color="auto" w:fill="EBE6F0"/>
          </w:tcPr>
          <w:p>
            <w:pPr>
              <w:ind w:left="60"/>
              <w:spacing w:after="0"/>
              <w:rPr>
                <w:sz w:val="20"/>
                <w:szCs w:val="20"/>
                <w:color w:val="auto"/>
              </w:rPr>
            </w:pPr>
            <w:r>
              <w:rPr>
                <w:rFonts w:ascii="Arial" w:cs="Arial" w:eastAsia="Arial" w:hAnsi="Arial"/>
                <w:sz w:val="16"/>
                <w:szCs w:val="16"/>
                <w:color w:val="auto"/>
              </w:rPr>
              <w:t>02/18/2021</w:t>
            </w:r>
          </w:p>
        </w:tc>
        <w:tc>
          <w:tcPr>
            <w:tcW w:w="2000" w:type="dxa"/>
            <w:vAlign w:val="bottom"/>
            <w:shd w:val="clear" w:color="auto" w:fill="EBE6F0"/>
          </w:tcPr>
          <w:p>
            <w:pPr>
              <w:ind w:left="280"/>
              <w:spacing w:after="0"/>
              <w:rPr>
                <w:sz w:val="20"/>
                <w:szCs w:val="20"/>
                <w:color w:val="auto"/>
              </w:rPr>
            </w:pPr>
            <w:r>
              <w:rPr>
                <w:rFonts w:ascii="Arial" w:cs="Arial" w:eastAsia="Arial" w:hAnsi="Arial"/>
                <w:sz w:val="16"/>
                <w:szCs w:val="16"/>
                <w:color w:val="auto"/>
              </w:rPr>
              <w:t>PSUs</w:t>
            </w:r>
          </w:p>
        </w:tc>
        <w:tc>
          <w:tcPr>
            <w:tcW w:w="7660" w:type="dxa"/>
            <w:vAlign w:val="bottom"/>
            <w:shd w:val="clear" w:color="auto" w:fill="EBE6F0"/>
          </w:tcPr>
          <w:p>
            <w:pPr>
              <w:ind w:left="220"/>
              <w:spacing w:after="0"/>
              <w:rPr>
                <w:sz w:val="20"/>
                <w:szCs w:val="20"/>
                <w:color w:val="auto"/>
              </w:rPr>
            </w:pPr>
            <w:r>
              <w:rPr>
                <w:rFonts w:ascii="Arial" w:cs="Arial" w:eastAsia="Arial" w:hAnsi="Arial"/>
                <w:sz w:val="16"/>
                <w:szCs w:val="16"/>
                <w:color w:val="auto"/>
              </w:rPr>
              <w:t>100% of the grant vests upon approval of the People and Compensation Committee subject to the</w:t>
            </w:r>
          </w:p>
        </w:tc>
      </w:tr>
      <w:tr>
        <w:trPr>
          <w:trHeight w:val="189"/>
        </w:trPr>
        <w:tc>
          <w:tcPr>
            <w:tcW w:w="1160" w:type="dxa"/>
            <w:vAlign w:val="bottom"/>
            <w:shd w:val="clear" w:color="auto" w:fill="EBE6F0"/>
          </w:tcPr>
          <w:p>
            <w:pPr>
              <w:spacing w:after="0"/>
              <w:rPr>
                <w:sz w:val="16"/>
                <w:szCs w:val="16"/>
                <w:color w:val="auto"/>
              </w:rPr>
            </w:pPr>
          </w:p>
        </w:tc>
        <w:tc>
          <w:tcPr>
            <w:tcW w:w="2000" w:type="dxa"/>
            <w:vAlign w:val="bottom"/>
            <w:shd w:val="clear" w:color="auto" w:fill="EBE6F0"/>
          </w:tcPr>
          <w:p>
            <w:pPr>
              <w:spacing w:after="0"/>
              <w:rPr>
                <w:sz w:val="16"/>
                <w:szCs w:val="16"/>
                <w:color w:val="auto"/>
              </w:rPr>
            </w:pPr>
          </w:p>
        </w:tc>
        <w:tc>
          <w:tcPr>
            <w:tcW w:w="7660" w:type="dxa"/>
            <w:vAlign w:val="bottom"/>
            <w:shd w:val="clear" w:color="auto" w:fill="EBE6F0"/>
          </w:tcPr>
          <w:p>
            <w:pPr>
              <w:ind w:left="220"/>
              <w:spacing w:after="0"/>
              <w:rPr>
                <w:sz w:val="20"/>
                <w:szCs w:val="20"/>
                <w:color w:val="auto"/>
              </w:rPr>
            </w:pPr>
            <w:r>
              <w:rPr>
                <w:rFonts w:ascii="Arial" w:cs="Arial" w:eastAsia="Arial" w:hAnsi="Arial"/>
                <w:sz w:val="16"/>
                <w:szCs w:val="16"/>
                <w:color w:val="auto"/>
              </w:rPr>
              <w:t>satisfaction of the performance criteria. Distribution of any shares awarded will be no later than</w:t>
            </w:r>
          </w:p>
        </w:tc>
      </w:tr>
      <w:tr>
        <w:trPr>
          <w:trHeight w:val="262"/>
        </w:trPr>
        <w:tc>
          <w:tcPr>
            <w:tcW w:w="1160" w:type="dxa"/>
            <w:vAlign w:val="bottom"/>
            <w:tcBorders>
              <w:bottom w:val="single" w:sz="8" w:color="EBE6F0"/>
            </w:tcBorders>
            <w:shd w:val="clear" w:color="auto" w:fill="EBE6F0"/>
          </w:tcPr>
          <w:p>
            <w:pPr>
              <w:spacing w:after="0"/>
              <w:rPr>
                <w:sz w:val="22"/>
                <w:szCs w:val="22"/>
                <w:color w:val="auto"/>
              </w:rPr>
            </w:pPr>
          </w:p>
        </w:tc>
        <w:tc>
          <w:tcPr>
            <w:tcW w:w="2000" w:type="dxa"/>
            <w:vAlign w:val="bottom"/>
            <w:tcBorders>
              <w:bottom w:val="single" w:sz="8" w:color="EBE6F0"/>
            </w:tcBorders>
            <w:shd w:val="clear" w:color="auto" w:fill="EBE6F0"/>
          </w:tcPr>
          <w:p>
            <w:pPr>
              <w:spacing w:after="0"/>
              <w:rPr>
                <w:sz w:val="22"/>
                <w:szCs w:val="22"/>
                <w:color w:val="auto"/>
              </w:rPr>
            </w:pPr>
          </w:p>
        </w:tc>
        <w:tc>
          <w:tcPr>
            <w:tcW w:w="7660" w:type="dxa"/>
            <w:vAlign w:val="bottom"/>
            <w:tcBorders>
              <w:bottom w:val="single" w:sz="8" w:color="EBE6F0"/>
            </w:tcBorders>
            <w:shd w:val="clear" w:color="auto" w:fill="EBE6F0"/>
          </w:tcPr>
          <w:p>
            <w:pPr>
              <w:ind w:left="220"/>
              <w:spacing w:after="0"/>
              <w:rPr>
                <w:sz w:val="20"/>
                <w:szCs w:val="20"/>
                <w:color w:val="auto"/>
              </w:rPr>
            </w:pPr>
            <w:r>
              <w:rPr>
                <w:rFonts w:ascii="Arial" w:cs="Arial" w:eastAsia="Arial" w:hAnsi="Arial"/>
                <w:sz w:val="16"/>
                <w:szCs w:val="16"/>
                <w:color w:val="auto"/>
              </w:rPr>
              <w:t>03/15/2024.</w:t>
            </w:r>
          </w:p>
        </w:tc>
      </w:tr>
      <w:tr>
        <w:trPr>
          <w:trHeight w:val="222"/>
        </w:trPr>
        <w:tc>
          <w:tcPr>
            <w:tcW w:w="116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02/18/2021</w:t>
            </w:r>
          </w:p>
        </w:tc>
        <w:tc>
          <w:tcPr>
            <w:tcW w:w="2000" w:type="dxa"/>
            <w:vAlign w:val="bottom"/>
            <w:tcBorders>
              <w:top w:val="single" w:sz="8" w:color="572C83"/>
            </w:tcBorders>
          </w:tcPr>
          <w:p>
            <w:pPr>
              <w:ind w:left="280"/>
              <w:spacing w:after="0"/>
              <w:rPr>
                <w:sz w:val="20"/>
                <w:szCs w:val="20"/>
                <w:color w:val="auto"/>
              </w:rPr>
            </w:pPr>
            <w:r>
              <w:rPr>
                <w:rFonts w:ascii="Arial" w:cs="Arial" w:eastAsia="Arial" w:hAnsi="Arial"/>
                <w:sz w:val="16"/>
                <w:szCs w:val="16"/>
                <w:color w:val="auto"/>
              </w:rPr>
              <w:t>Stock Options</w:t>
            </w:r>
          </w:p>
        </w:tc>
        <w:tc>
          <w:tcPr>
            <w:tcW w:w="7660" w:type="dxa"/>
            <w:vAlign w:val="bottom"/>
            <w:tcBorders>
              <w:top w:val="single" w:sz="8" w:color="572C83"/>
            </w:tcBorders>
          </w:tcPr>
          <w:p>
            <w:pPr>
              <w:ind w:left="220"/>
              <w:spacing w:after="0"/>
              <w:rPr>
                <w:sz w:val="20"/>
                <w:szCs w:val="20"/>
                <w:color w:val="auto"/>
              </w:rPr>
            </w:pPr>
            <w:r>
              <w:rPr>
                <w:rFonts w:ascii="Arial" w:cs="Arial" w:eastAsia="Arial" w:hAnsi="Arial"/>
                <w:sz w:val="16"/>
                <w:szCs w:val="16"/>
                <w:color w:val="auto"/>
              </w:rPr>
              <w:t>First tranche (33%) vested on 02/18/2022, second tranche (33%) vests on 02/18/2023 and last tranche</w:t>
            </w:r>
          </w:p>
        </w:tc>
      </w:tr>
      <w:tr>
        <w:trPr>
          <w:trHeight w:val="215"/>
        </w:trPr>
        <w:tc>
          <w:tcPr>
            <w:tcW w:w="1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6"/>
                <w:szCs w:val="16"/>
                <w:color w:val="auto"/>
              </w:rPr>
              <w:t>(34%) vests on 02/18/2024.</w:t>
            </w:r>
          </w:p>
        </w:tc>
      </w:tr>
      <w:tr>
        <w:trPr>
          <w:trHeight w:val="43"/>
        </w:trPr>
        <w:tc>
          <w:tcPr>
            <w:tcW w:w="1160" w:type="dxa"/>
            <w:vAlign w:val="bottom"/>
            <w:tcBorders>
              <w:bottom w:val="single" w:sz="8" w:color="572C83"/>
            </w:tcBorders>
          </w:tcPr>
          <w:p>
            <w:pPr>
              <w:spacing w:after="0"/>
              <w:rPr>
                <w:sz w:val="3"/>
                <w:szCs w:val="3"/>
                <w:color w:val="auto"/>
              </w:rPr>
            </w:pPr>
          </w:p>
        </w:tc>
        <w:tc>
          <w:tcPr>
            <w:tcW w:w="2000" w:type="dxa"/>
            <w:vAlign w:val="bottom"/>
            <w:tcBorders>
              <w:bottom w:val="single" w:sz="8" w:color="572C83"/>
            </w:tcBorders>
          </w:tcPr>
          <w:p>
            <w:pPr>
              <w:spacing w:after="0"/>
              <w:rPr>
                <w:sz w:val="3"/>
                <w:szCs w:val="3"/>
                <w:color w:val="auto"/>
              </w:rPr>
            </w:pPr>
          </w:p>
        </w:tc>
        <w:tc>
          <w:tcPr>
            <w:tcW w:w="7660" w:type="dxa"/>
            <w:vAlign w:val="bottom"/>
            <w:tcBorders>
              <w:bottom w:val="single" w:sz="8" w:color="572C83"/>
            </w:tcBorders>
          </w:tcPr>
          <w:p>
            <w:pPr>
              <w:spacing w:after="0"/>
              <w:rPr>
                <w:sz w:val="3"/>
                <w:szCs w:val="3"/>
                <w:color w:val="auto"/>
              </w:rPr>
            </w:pPr>
          </w:p>
        </w:tc>
      </w:tr>
    </w:tbl>
    <w:p>
      <w:pPr>
        <w:spacing w:after="0" w:line="67" w:lineRule="exact"/>
        <w:rPr>
          <w:sz w:val="20"/>
          <w:szCs w:val="20"/>
          <w:color w:val="auto"/>
        </w:rPr>
      </w:pPr>
    </w:p>
    <w:p>
      <w:pPr>
        <w:ind w:left="440" w:hanging="351"/>
        <w:spacing w:after="0"/>
        <w:tabs>
          <w:tab w:leader="none" w:pos="4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market value of unearned shares is based on the December 31, 2021 closing price of $66.31.</w:t>
      </w:r>
    </w:p>
    <w:p>
      <w:pPr>
        <w:spacing w:after="0" w:line="59" w:lineRule="exact"/>
        <w:rPr>
          <w:rFonts w:ascii="Arial" w:cs="Arial" w:eastAsia="Arial" w:hAnsi="Arial"/>
          <w:sz w:val="16"/>
          <w:szCs w:val="16"/>
          <w:color w:val="auto"/>
        </w:rPr>
      </w:pPr>
    </w:p>
    <w:p>
      <w:pPr>
        <w:ind w:left="440" w:right="760" w:hanging="351"/>
        <w:spacing w:after="0" w:line="286" w:lineRule="auto"/>
        <w:tabs>
          <w:tab w:leader="none" w:pos="4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Actual number of shares earned ranges between 0% and 200% depending on actual performance for the performance cycle. Amount reflects maximum award levels for the 2020-2022 and 2021-2023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860"/>
        <w:spacing w:after="0"/>
        <w:rPr>
          <w:sz w:val="20"/>
          <w:szCs w:val="20"/>
          <w:color w:val="auto"/>
        </w:rPr>
      </w:pPr>
      <w:r>
        <w:rPr>
          <w:rFonts w:ascii="Arial" w:cs="Arial" w:eastAsia="Arial" w:hAnsi="Arial"/>
          <w:sz w:val="16"/>
          <w:szCs w:val="16"/>
          <w:b w:val="1"/>
          <w:bCs w:val="1"/>
          <w:color w:val="58358F"/>
        </w:rPr>
        <w:t>2022 PROXY STATEMENT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300"/>
          </w:cols>
          <w:pgMar w:left="320" w:top="127" w:right="27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Options Exercised and Stock Vested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640" w:type="dxa"/>
            <w:vAlign w:val="bottom"/>
          </w:tcPr>
          <w:p>
            <w:pPr>
              <w:spacing w:after="0"/>
              <w:rPr>
                <w:sz w:val="21"/>
                <w:szCs w:val="21"/>
                <w:color w:val="auto"/>
              </w:rPr>
            </w:pPr>
          </w:p>
        </w:tc>
        <w:tc>
          <w:tcPr>
            <w:tcW w:w="24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Stock Awards</w:t>
            </w:r>
          </w:p>
        </w:tc>
        <w:tc>
          <w:tcPr>
            <w:tcW w:w="1140" w:type="dxa"/>
            <w:vAlign w:val="bottom"/>
            <w:tcBorders>
              <w:bottom w:val="single" w:sz="8" w:color="582C83"/>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640" w:type="dxa"/>
            <w:vAlign w:val="bottom"/>
          </w:tcPr>
          <w:p>
            <w:pPr>
              <w:spacing w:after="0"/>
              <w:rPr>
                <w:sz w:val="21"/>
                <w:szCs w:val="21"/>
                <w:color w:val="auto"/>
              </w:rPr>
            </w:pPr>
          </w:p>
        </w:tc>
        <w:tc>
          <w:tcPr>
            <w:tcW w:w="2460" w:type="dxa"/>
            <w:vAlign w:val="bottom"/>
          </w:tcPr>
          <w:p>
            <w:pPr>
              <w:jc w:val="right"/>
              <w:ind w:right="652"/>
              <w:spacing w:after="0"/>
              <w:rPr>
                <w:sz w:val="20"/>
                <w:szCs w:val="20"/>
                <w:color w:val="auto"/>
              </w:rPr>
            </w:pPr>
            <w:r>
              <w:rPr>
                <w:rFonts w:ascii="Arial" w:cs="Arial" w:eastAsia="Arial" w:hAnsi="Arial"/>
                <w:sz w:val="18"/>
                <w:szCs w:val="18"/>
                <w:b w:val="1"/>
                <w:bCs w:val="1"/>
                <w:color w:val="auto"/>
              </w:rPr>
              <w:t>Number of</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77"/>
        </w:trPr>
        <w:tc>
          <w:tcPr>
            <w:tcW w:w="7640" w:type="dxa"/>
            <w:vAlign w:val="bottom"/>
          </w:tcPr>
          <w:p>
            <w:pPr>
              <w:spacing w:after="0"/>
              <w:rPr>
                <w:sz w:val="15"/>
                <w:szCs w:val="15"/>
                <w:color w:val="auto"/>
              </w:rPr>
            </w:pPr>
          </w:p>
        </w:tc>
        <w:tc>
          <w:tcPr>
            <w:tcW w:w="2460" w:type="dxa"/>
            <w:vAlign w:val="bottom"/>
          </w:tcPr>
          <w:p>
            <w:pPr>
              <w:jc w:val="right"/>
              <w:ind w:right="652"/>
              <w:spacing w:after="0" w:line="177" w:lineRule="exact"/>
              <w:rPr>
                <w:sz w:val="20"/>
                <w:szCs w:val="20"/>
                <w:color w:val="auto"/>
              </w:rPr>
            </w:pPr>
            <w:r>
              <w:rPr>
                <w:rFonts w:ascii="Arial" w:cs="Arial" w:eastAsia="Arial" w:hAnsi="Arial"/>
                <w:sz w:val="18"/>
                <w:szCs w:val="18"/>
                <w:b w:val="1"/>
                <w:bCs w:val="1"/>
                <w:color w:val="auto"/>
              </w:rPr>
              <w:t>Shares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2460" w:type="dxa"/>
            <w:vAlign w:val="bottom"/>
          </w:tcPr>
          <w:p>
            <w:pPr>
              <w:jc w:val="right"/>
              <w:ind w:right="652"/>
              <w:spacing w:after="0" w:line="202" w:lineRule="exact"/>
              <w:rPr>
                <w:sz w:val="20"/>
                <w:szCs w:val="20"/>
                <w:color w:val="auto"/>
              </w:rPr>
            </w:pPr>
            <w:r>
              <w:rPr>
                <w:rFonts w:ascii="Arial" w:cs="Arial" w:eastAsia="Arial" w:hAnsi="Arial"/>
                <w:sz w:val="18"/>
                <w:szCs w:val="18"/>
                <w:b w:val="1"/>
                <w:bCs w:val="1"/>
                <w:color w:val="auto"/>
              </w:rPr>
              <w:t>Acquired on</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Realized on</w:t>
            </w:r>
          </w:p>
        </w:tc>
        <w:tc>
          <w:tcPr>
            <w:tcW w:w="0" w:type="dxa"/>
            <w:vAlign w:val="bottom"/>
          </w:tcPr>
          <w:p>
            <w:pPr>
              <w:spacing w:after="0"/>
              <w:rPr>
                <w:sz w:val="1"/>
                <w:szCs w:val="1"/>
                <w:color w:val="auto"/>
              </w:rPr>
            </w:pPr>
          </w:p>
        </w:tc>
      </w:tr>
      <w:tr>
        <w:trPr>
          <w:trHeight w:val="228"/>
        </w:trPr>
        <w:tc>
          <w:tcPr>
            <w:tcW w:w="7640" w:type="dxa"/>
            <w:vAlign w:val="bottom"/>
          </w:tcPr>
          <w:p>
            <w:pPr>
              <w:spacing w:after="0"/>
              <w:rPr>
                <w:sz w:val="19"/>
                <w:szCs w:val="19"/>
                <w:color w:val="auto"/>
              </w:rPr>
            </w:pPr>
          </w:p>
        </w:tc>
        <w:tc>
          <w:tcPr>
            <w:tcW w:w="2460" w:type="dxa"/>
            <w:vAlign w:val="bottom"/>
          </w:tcPr>
          <w:p>
            <w:pPr>
              <w:jc w:val="right"/>
              <w:ind w:right="652"/>
              <w:spacing w:after="0"/>
              <w:rPr>
                <w:sz w:val="20"/>
                <w:szCs w:val="20"/>
                <w:color w:val="auto"/>
              </w:rPr>
            </w:pPr>
            <w:r>
              <w:rPr>
                <w:rFonts w:ascii="Arial" w:cs="Arial" w:eastAsia="Arial" w:hAnsi="Arial"/>
                <w:sz w:val="18"/>
                <w:szCs w:val="18"/>
                <w:b w:val="1"/>
                <w:bCs w:val="1"/>
                <w:color w:val="auto"/>
              </w:rPr>
              <w:t>Vesting</w:t>
            </w:r>
          </w:p>
        </w:tc>
        <w:tc>
          <w:tcPr>
            <w:tcW w:w="1140" w:type="dxa"/>
            <w:vAlign w:val="bottom"/>
          </w:tcPr>
          <w:p>
            <w:pPr>
              <w:jc w:val="right"/>
              <w:spacing w:after="0" w:line="228" w:lineRule="exact"/>
              <w:rPr>
                <w:sz w:val="20"/>
                <w:szCs w:val="20"/>
                <w:color w:val="auto"/>
              </w:rPr>
            </w:pPr>
            <w:r>
              <w:rPr>
                <w:rFonts w:ascii="Arial" w:cs="Arial" w:eastAsia="Arial" w:hAnsi="Arial"/>
                <w:sz w:val="16"/>
                <w:szCs w:val="16"/>
                <w:b w:val="1"/>
                <w:bCs w:val="1"/>
                <w:color w:val="auto"/>
              </w:rPr>
              <w:t>Vesting</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265"/>
        </w:trPr>
        <w:tc>
          <w:tcPr>
            <w:tcW w:w="764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2460" w:type="dxa"/>
            <w:vAlign w:val="bottom"/>
            <w:tcBorders>
              <w:bottom w:val="single" w:sz="8" w:color="582C83"/>
            </w:tcBorders>
          </w:tcPr>
          <w:p>
            <w:pPr>
              <w:jc w:val="right"/>
              <w:ind w:right="6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5"/>
        </w:trPr>
        <w:tc>
          <w:tcPr>
            <w:tcW w:w="76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 de Put, Dirk</w:t>
            </w:r>
          </w:p>
        </w:tc>
        <w:tc>
          <w:tcPr>
            <w:tcW w:w="2460" w:type="dxa"/>
            <w:vAlign w:val="bottom"/>
            <w:tcBorders>
              <w:bottom w:val="single" w:sz="8" w:color="EBE6F0"/>
            </w:tcBorders>
            <w:shd w:val="clear" w:color="auto" w:fill="EBE6F0"/>
          </w:tcPr>
          <w:p>
            <w:pPr>
              <w:jc w:val="right"/>
              <w:ind w:right="652"/>
              <w:spacing w:after="0"/>
              <w:rPr>
                <w:sz w:val="20"/>
                <w:szCs w:val="20"/>
                <w:color w:val="auto"/>
              </w:rPr>
            </w:pPr>
            <w:r>
              <w:rPr>
                <w:rFonts w:ascii="Arial" w:cs="Arial" w:eastAsia="Arial" w:hAnsi="Arial"/>
                <w:sz w:val="18"/>
                <w:szCs w:val="18"/>
                <w:color w:val="auto"/>
              </w:rPr>
              <w:t>262,784</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18,376,485</w:t>
            </w:r>
          </w:p>
        </w:tc>
        <w:tc>
          <w:tcPr>
            <w:tcW w:w="0" w:type="dxa"/>
            <w:vAlign w:val="bottom"/>
          </w:tcPr>
          <w:p>
            <w:pPr>
              <w:spacing w:after="0"/>
              <w:rPr>
                <w:sz w:val="1"/>
                <w:szCs w:val="1"/>
                <w:color w:val="auto"/>
              </w:rPr>
            </w:pPr>
          </w:p>
        </w:tc>
      </w:tr>
      <w:tr>
        <w:trPr>
          <w:trHeight w:val="266"/>
        </w:trPr>
        <w:tc>
          <w:tcPr>
            <w:tcW w:w="764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Zaramella, Luca</w:t>
            </w:r>
          </w:p>
        </w:tc>
        <w:tc>
          <w:tcPr>
            <w:tcW w:w="2460" w:type="dxa"/>
            <w:vAlign w:val="bottom"/>
            <w:tcBorders>
              <w:top w:val="single" w:sz="8" w:color="572C83"/>
            </w:tcBorders>
          </w:tcPr>
          <w:p>
            <w:pPr>
              <w:jc w:val="right"/>
              <w:ind w:right="652"/>
              <w:spacing w:after="0"/>
              <w:rPr>
                <w:sz w:val="20"/>
                <w:szCs w:val="20"/>
                <w:color w:val="auto"/>
              </w:rPr>
            </w:pPr>
            <w:r>
              <w:rPr>
                <w:rFonts w:ascii="Arial" w:cs="Arial" w:eastAsia="Arial" w:hAnsi="Arial"/>
                <w:sz w:val="18"/>
                <w:szCs w:val="18"/>
                <w:color w:val="auto"/>
              </w:rPr>
              <w:t>56,592</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3,957,479</w:t>
            </w:r>
          </w:p>
        </w:tc>
        <w:tc>
          <w:tcPr>
            <w:tcW w:w="0" w:type="dxa"/>
            <w:vAlign w:val="bottom"/>
          </w:tcPr>
          <w:p>
            <w:pPr>
              <w:spacing w:after="0"/>
              <w:rPr>
                <w:sz w:val="1"/>
                <w:szCs w:val="1"/>
                <w:color w:val="auto"/>
              </w:rPr>
            </w:pPr>
          </w:p>
        </w:tc>
      </w:tr>
      <w:tr>
        <w:trPr>
          <w:trHeight w:val="38"/>
        </w:trPr>
        <w:tc>
          <w:tcPr>
            <w:tcW w:w="7640" w:type="dxa"/>
            <w:vAlign w:val="bottom"/>
            <w:tcBorders>
              <w:bottom w:val="single" w:sz="8" w:color="572C83"/>
            </w:tcBorders>
          </w:tcPr>
          <w:p>
            <w:pPr>
              <w:spacing w:after="0"/>
              <w:rPr>
                <w:sz w:val="3"/>
                <w:szCs w:val="3"/>
                <w:color w:val="auto"/>
              </w:rPr>
            </w:pPr>
          </w:p>
        </w:tc>
        <w:tc>
          <w:tcPr>
            <w:tcW w:w="246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76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Brusadelli, Maurizio</w:t>
            </w:r>
          </w:p>
        </w:tc>
        <w:tc>
          <w:tcPr>
            <w:tcW w:w="2460" w:type="dxa"/>
            <w:vAlign w:val="bottom"/>
            <w:tcBorders>
              <w:bottom w:val="single" w:sz="8" w:color="EBE6F0"/>
            </w:tcBorders>
            <w:shd w:val="clear" w:color="auto" w:fill="EBE6F0"/>
          </w:tcPr>
          <w:p>
            <w:pPr>
              <w:jc w:val="right"/>
              <w:ind w:right="652"/>
              <w:spacing w:after="0"/>
              <w:rPr>
                <w:sz w:val="20"/>
                <w:szCs w:val="20"/>
                <w:color w:val="auto"/>
              </w:rPr>
            </w:pPr>
            <w:r>
              <w:rPr>
                <w:rFonts w:ascii="Arial" w:cs="Arial" w:eastAsia="Arial" w:hAnsi="Arial"/>
                <w:sz w:val="18"/>
                <w:szCs w:val="18"/>
                <w:color w:val="auto"/>
              </w:rPr>
              <w:t>56,592</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3,957,479</w:t>
            </w:r>
          </w:p>
        </w:tc>
        <w:tc>
          <w:tcPr>
            <w:tcW w:w="0" w:type="dxa"/>
            <w:vAlign w:val="bottom"/>
          </w:tcPr>
          <w:p>
            <w:pPr>
              <w:spacing w:after="0"/>
              <w:rPr>
                <w:sz w:val="1"/>
                <w:szCs w:val="1"/>
                <w:color w:val="auto"/>
              </w:rPr>
            </w:pPr>
          </w:p>
        </w:tc>
      </w:tr>
      <w:tr>
        <w:trPr>
          <w:trHeight w:val="265"/>
        </w:trPr>
        <w:tc>
          <w:tcPr>
            <w:tcW w:w="764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Gruber, Vinzenz</w:t>
            </w:r>
          </w:p>
        </w:tc>
        <w:tc>
          <w:tcPr>
            <w:tcW w:w="2460" w:type="dxa"/>
            <w:vAlign w:val="bottom"/>
            <w:tcBorders>
              <w:top w:val="single" w:sz="8" w:color="572C83"/>
            </w:tcBorders>
          </w:tcPr>
          <w:p>
            <w:pPr>
              <w:jc w:val="right"/>
              <w:ind w:right="652"/>
              <w:spacing w:after="0"/>
              <w:rPr>
                <w:sz w:val="20"/>
                <w:szCs w:val="20"/>
                <w:color w:val="auto"/>
              </w:rPr>
            </w:pPr>
            <w:r>
              <w:rPr>
                <w:rFonts w:ascii="Arial" w:cs="Arial" w:eastAsia="Arial" w:hAnsi="Arial"/>
                <w:sz w:val="18"/>
                <w:szCs w:val="18"/>
                <w:color w:val="auto"/>
              </w:rPr>
              <w:t>42,752</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2,989,647</w:t>
            </w:r>
          </w:p>
        </w:tc>
        <w:tc>
          <w:tcPr>
            <w:tcW w:w="0" w:type="dxa"/>
            <w:vAlign w:val="bottom"/>
          </w:tcPr>
          <w:p>
            <w:pPr>
              <w:spacing w:after="0"/>
              <w:rPr>
                <w:sz w:val="1"/>
                <w:szCs w:val="1"/>
                <w:color w:val="auto"/>
              </w:rPr>
            </w:pPr>
          </w:p>
        </w:tc>
      </w:tr>
      <w:tr>
        <w:trPr>
          <w:trHeight w:val="39"/>
        </w:trPr>
        <w:tc>
          <w:tcPr>
            <w:tcW w:w="7640" w:type="dxa"/>
            <w:vAlign w:val="bottom"/>
            <w:tcBorders>
              <w:bottom w:val="single" w:sz="8" w:color="572C83"/>
            </w:tcBorders>
          </w:tcPr>
          <w:p>
            <w:pPr>
              <w:spacing w:after="0"/>
              <w:rPr>
                <w:sz w:val="3"/>
                <w:szCs w:val="3"/>
                <w:color w:val="auto"/>
              </w:rPr>
            </w:pPr>
          </w:p>
        </w:tc>
        <w:tc>
          <w:tcPr>
            <w:tcW w:w="246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76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Stein, Laura</w:t>
            </w:r>
          </w:p>
        </w:tc>
        <w:tc>
          <w:tcPr>
            <w:tcW w:w="2460" w:type="dxa"/>
            <w:vAlign w:val="bottom"/>
            <w:tcBorders>
              <w:bottom w:val="single" w:sz="8" w:color="EBE6F0"/>
            </w:tcBorders>
            <w:shd w:val="clear" w:color="auto" w:fill="EBE6F0"/>
          </w:tcPr>
          <w:p>
            <w:pPr>
              <w:jc w:val="right"/>
              <w:ind w:right="652"/>
              <w:spacing w:after="0"/>
              <w:rPr>
                <w:sz w:val="20"/>
                <w:szCs w:val="20"/>
                <w:color w:val="auto"/>
              </w:rPr>
            </w:pPr>
            <w:r>
              <w:rPr>
                <w:rFonts w:ascii="Arial" w:cs="Arial" w:eastAsia="Arial" w:hAnsi="Arial"/>
                <w:sz w:val="18"/>
                <w:szCs w:val="18"/>
                <w:color w:val="auto"/>
              </w:rPr>
              <w:t>21,024</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1,422,063</w:t>
            </w:r>
          </w:p>
        </w:tc>
        <w:tc>
          <w:tcPr>
            <w:tcW w:w="0" w:type="dxa"/>
            <w:vAlign w:val="bottom"/>
          </w:tcPr>
          <w:p>
            <w:pPr>
              <w:spacing w:after="0"/>
              <w:rPr>
                <w:sz w:val="1"/>
                <w:szCs w:val="1"/>
                <w:color w:val="auto"/>
              </w:rPr>
            </w:pPr>
          </w:p>
        </w:tc>
      </w:tr>
      <w:tr>
        <w:trPr>
          <w:trHeight w:val="20"/>
        </w:trPr>
        <w:tc>
          <w:tcPr>
            <w:tcW w:w="7640" w:type="dxa"/>
            <w:vAlign w:val="bottom"/>
            <w:shd w:val="clear" w:color="auto" w:fill="572C83"/>
          </w:tcPr>
          <w:p>
            <w:pPr>
              <w:spacing w:after="0" w:line="20" w:lineRule="exact"/>
              <w:rPr>
                <w:sz w:val="1"/>
                <w:szCs w:val="1"/>
                <w:color w:val="auto"/>
              </w:rPr>
            </w:pPr>
          </w:p>
        </w:tc>
        <w:tc>
          <w:tcPr>
            <w:tcW w:w="2460" w:type="dxa"/>
            <w:vAlign w:val="bottom"/>
            <w:shd w:val="clear" w:color="auto" w:fill="572C83"/>
          </w:tcPr>
          <w:p>
            <w:pPr>
              <w:spacing w:after="0" w:line="20" w:lineRule="exact"/>
              <w:rPr>
                <w:sz w:val="1"/>
                <w:szCs w:val="1"/>
                <w:color w:val="auto"/>
              </w:rPr>
            </w:pPr>
          </w:p>
        </w:tc>
        <w:tc>
          <w:tcPr>
            <w:tcW w:w="1140" w:type="dxa"/>
            <w:vAlign w:val="bottom"/>
            <w:shd w:val="clear" w:color="auto" w:fill="572C8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40" w:right="220" w:hanging="351"/>
        <w:spacing w:after="0" w:line="259" w:lineRule="auto"/>
        <w:tabs>
          <w:tab w:leader="none" w:pos="4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shown are calculated based on the fair market value of the Common Stock on the date of vesting and include the value of shares awarded for the 2019-2021 performance cycle based on actual performance for the cycle, which ended on December 31, 2021, and the December 31, 2021 closing price of $66.31. The amounts also include accrued dividend equivalents for PSUs based on the actual share award for the 2019-2021 performance cycle as follows:</w:t>
      </w:r>
    </w:p>
    <w:p>
      <w:pPr>
        <w:spacing w:after="0" w:line="2" w:lineRule="exact"/>
        <w:rPr>
          <w:rFonts w:ascii="Arial" w:cs="Arial" w:eastAsia="Arial" w:hAnsi="Arial"/>
          <w:sz w:val="16"/>
          <w:szCs w:val="16"/>
          <w:color w:val="auto"/>
        </w:rPr>
      </w:pPr>
    </w:p>
    <w:p>
      <w:pPr>
        <w:ind w:left="620" w:hanging="180"/>
        <w:spacing w:after="0"/>
        <w:tabs>
          <w:tab w:leader="none" w:pos="620" w:val="left"/>
        </w:tabs>
        <w:numPr>
          <w:ilvl w:val="1"/>
          <w:numId w:val="79"/>
        </w:numPr>
        <w:rPr>
          <w:rFonts w:ascii="Arial" w:cs="Arial" w:eastAsia="Arial" w:hAnsi="Arial"/>
          <w:sz w:val="16"/>
          <w:szCs w:val="16"/>
          <w:color w:val="582C83"/>
        </w:rPr>
      </w:pPr>
      <w:r>
        <w:rPr>
          <w:rFonts w:ascii="Arial" w:cs="Arial" w:eastAsia="Arial" w:hAnsi="Arial"/>
          <w:sz w:val="16"/>
          <w:szCs w:val="16"/>
          <w:color w:val="auto"/>
        </w:rPr>
        <w:t>Mr. Van de Put: $951,278</w:t>
      </w:r>
    </w:p>
    <w:p>
      <w:pPr>
        <w:spacing w:after="0" w:line="45" w:lineRule="exact"/>
        <w:rPr>
          <w:rFonts w:ascii="Arial" w:cs="Arial" w:eastAsia="Arial" w:hAnsi="Arial"/>
          <w:sz w:val="16"/>
          <w:szCs w:val="16"/>
          <w:color w:val="582C83"/>
        </w:rPr>
      </w:pPr>
    </w:p>
    <w:p>
      <w:pPr>
        <w:ind w:left="620" w:hanging="180"/>
        <w:spacing w:after="0"/>
        <w:tabs>
          <w:tab w:leader="none" w:pos="620" w:val="left"/>
        </w:tabs>
        <w:numPr>
          <w:ilvl w:val="1"/>
          <w:numId w:val="79"/>
        </w:numPr>
        <w:rPr>
          <w:rFonts w:ascii="Arial" w:cs="Arial" w:eastAsia="Arial" w:hAnsi="Arial"/>
          <w:sz w:val="16"/>
          <w:szCs w:val="16"/>
          <w:color w:val="582C83"/>
        </w:rPr>
      </w:pPr>
      <w:r>
        <w:rPr>
          <w:rFonts w:ascii="Arial" w:cs="Arial" w:eastAsia="Arial" w:hAnsi="Arial"/>
          <w:sz w:val="16"/>
          <w:szCs w:val="16"/>
          <w:color w:val="auto"/>
        </w:rPr>
        <w:t>Messrs. Zaramella and Brusadelli: $204,863</w:t>
      </w:r>
    </w:p>
    <w:p>
      <w:pPr>
        <w:spacing w:after="0" w:line="45" w:lineRule="exact"/>
        <w:rPr>
          <w:rFonts w:ascii="Arial" w:cs="Arial" w:eastAsia="Arial" w:hAnsi="Arial"/>
          <w:sz w:val="16"/>
          <w:szCs w:val="16"/>
          <w:color w:val="582C83"/>
        </w:rPr>
      </w:pPr>
    </w:p>
    <w:p>
      <w:pPr>
        <w:ind w:left="620" w:hanging="180"/>
        <w:spacing w:after="0"/>
        <w:tabs>
          <w:tab w:leader="none" w:pos="620" w:val="left"/>
        </w:tabs>
        <w:numPr>
          <w:ilvl w:val="1"/>
          <w:numId w:val="79"/>
        </w:numPr>
        <w:rPr>
          <w:rFonts w:ascii="Arial" w:cs="Arial" w:eastAsia="Arial" w:hAnsi="Arial"/>
          <w:sz w:val="16"/>
          <w:szCs w:val="16"/>
          <w:color w:val="582C83"/>
        </w:rPr>
      </w:pPr>
      <w:r>
        <w:rPr>
          <w:rFonts w:ascii="Arial" w:cs="Arial" w:eastAsia="Arial" w:hAnsi="Arial"/>
          <w:sz w:val="16"/>
          <w:szCs w:val="16"/>
          <w:color w:val="auto"/>
        </w:rPr>
        <w:t>Mr. Gruber: $154,762</w:t>
      </w:r>
    </w:p>
    <w:p>
      <w:pPr>
        <w:spacing w:after="0" w:line="45" w:lineRule="exact"/>
        <w:rPr>
          <w:rFonts w:ascii="Arial" w:cs="Arial" w:eastAsia="Arial" w:hAnsi="Arial"/>
          <w:sz w:val="16"/>
          <w:szCs w:val="16"/>
          <w:color w:val="582C83"/>
        </w:rPr>
      </w:pPr>
    </w:p>
    <w:p>
      <w:pPr>
        <w:ind w:left="620" w:hanging="180"/>
        <w:spacing w:after="0"/>
        <w:tabs>
          <w:tab w:leader="none" w:pos="620" w:val="left"/>
        </w:tabs>
        <w:numPr>
          <w:ilvl w:val="1"/>
          <w:numId w:val="79"/>
        </w:numPr>
        <w:rPr>
          <w:rFonts w:ascii="Arial" w:cs="Arial" w:eastAsia="Arial" w:hAnsi="Arial"/>
          <w:sz w:val="16"/>
          <w:szCs w:val="16"/>
          <w:color w:val="582C83"/>
        </w:rPr>
      </w:pPr>
      <w:r>
        <w:rPr>
          <w:rFonts w:ascii="Arial" w:cs="Arial" w:eastAsia="Arial" w:hAnsi="Arial"/>
          <w:sz w:val="16"/>
          <w:szCs w:val="16"/>
          <w:color w:val="auto"/>
        </w:rPr>
        <w:t>Ms. Stein: $27,962</w:t>
      </w:r>
    </w:p>
    <w:p>
      <w:pPr>
        <w:spacing w:after="0" w:line="26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Pension Benefits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b w:val="1"/>
                <w:bCs w:val="1"/>
                <w:color w:val="auto"/>
              </w:rPr>
              <w:t>Present Value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480" w:type="dxa"/>
            <w:vAlign w:val="bottom"/>
          </w:tcPr>
          <w:p>
            <w:pPr>
              <w:jc w:val="right"/>
              <w:ind w:right="132"/>
              <w:spacing w:after="0"/>
              <w:rPr>
                <w:sz w:val="20"/>
                <w:szCs w:val="20"/>
                <w:color w:val="auto"/>
              </w:rPr>
            </w:pPr>
            <w:r>
              <w:rPr>
                <w:rFonts w:ascii="Arial" w:cs="Arial" w:eastAsia="Arial" w:hAnsi="Arial"/>
                <w:sz w:val="18"/>
                <w:szCs w:val="18"/>
                <w:b w:val="1"/>
                <w:bCs w:val="1"/>
                <w:color w:val="auto"/>
              </w:rPr>
              <w:t>Number of Years of</w:t>
            </w:r>
          </w:p>
        </w:tc>
        <w:tc>
          <w:tcPr>
            <w:tcW w:w="1760" w:type="dxa"/>
            <w:vAlign w:val="bottom"/>
          </w:tcPr>
          <w:p>
            <w:pPr>
              <w:jc w:val="right"/>
              <w:ind w:right="92"/>
              <w:spacing w:after="0"/>
              <w:rPr>
                <w:sz w:val="20"/>
                <w:szCs w:val="20"/>
                <w:color w:val="auto"/>
              </w:rPr>
            </w:pPr>
            <w:r>
              <w:rPr>
                <w:rFonts w:ascii="Arial" w:cs="Arial" w:eastAsia="Arial" w:hAnsi="Arial"/>
                <w:sz w:val="18"/>
                <w:szCs w:val="18"/>
                <w:b w:val="1"/>
                <w:bCs w:val="1"/>
                <w:color w:val="auto"/>
              </w:rPr>
              <w:t>Accumulated</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Payments During</w:t>
            </w:r>
          </w:p>
        </w:tc>
        <w:tc>
          <w:tcPr>
            <w:tcW w:w="0" w:type="dxa"/>
            <w:vAlign w:val="bottom"/>
          </w:tcPr>
          <w:p>
            <w:pPr>
              <w:spacing w:after="0"/>
              <w:rPr>
                <w:sz w:val="1"/>
                <w:szCs w:val="1"/>
                <w:color w:val="auto"/>
              </w:rPr>
            </w:pPr>
          </w:p>
        </w:tc>
      </w:tr>
      <w:tr>
        <w:trPr>
          <w:trHeight w:val="269"/>
        </w:trPr>
        <w:tc>
          <w:tcPr>
            <w:tcW w:w="15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29"/>
                <w:szCs w:val="29"/>
                <w:b w:val="1"/>
                <w:bCs w:val="1"/>
                <w:color w:val="auto"/>
                <w:vertAlign w:val="superscript"/>
              </w:rPr>
              <w:t>(1)</w:t>
            </w:r>
          </w:p>
        </w:tc>
        <w:tc>
          <w:tcPr>
            <w:tcW w:w="3740" w:type="dxa"/>
            <w:vAlign w:val="bottom"/>
          </w:tcPr>
          <w:p>
            <w:pPr>
              <w:spacing w:after="0"/>
              <w:rPr>
                <w:sz w:val="23"/>
                <w:szCs w:val="23"/>
                <w:color w:val="auto"/>
              </w:rPr>
            </w:pPr>
          </w:p>
        </w:tc>
        <w:tc>
          <w:tcPr>
            <w:tcW w:w="2480" w:type="dxa"/>
            <w:vAlign w:val="bottom"/>
          </w:tcPr>
          <w:p>
            <w:pPr>
              <w:jc w:val="right"/>
              <w:ind w:right="132"/>
              <w:spacing w:after="0" w:line="269" w:lineRule="exact"/>
              <w:rPr>
                <w:sz w:val="20"/>
                <w:szCs w:val="20"/>
                <w:color w:val="auto"/>
              </w:rPr>
            </w:pPr>
            <w:r>
              <w:rPr>
                <w:rFonts w:ascii="Arial" w:cs="Arial" w:eastAsia="Arial" w:hAnsi="Arial"/>
                <w:sz w:val="18"/>
                <w:szCs w:val="18"/>
                <w:b w:val="1"/>
                <w:bCs w:val="1"/>
                <w:color w:val="auto"/>
              </w:rPr>
              <w:t>Credited Service</w:t>
            </w:r>
            <w:r>
              <w:rPr>
                <w:rFonts w:ascii="Arial" w:cs="Arial" w:eastAsia="Arial" w:hAnsi="Arial"/>
                <w:sz w:val="29"/>
                <w:szCs w:val="29"/>
                <w:b w:val="1"/>
                <w:bCs w:val="1"/>
                <w:color w:val="auto"/>
                <w:vertAlign w:val="superscript"/>
              </w:rPr>
              <w:t>(2)</w:t>
            </w:r>
          </w:p>
        </w:tc>
        <w:tc>
          <w:tcPr>
            <w:tcW w:w="1760" w:type="dxa"/>
            <w:vAlign w:val="bottom"/>
          </w:tcPr>
          <w:p>
            <w:pPr>
              <w:jc w:val="right"/>
              <w:ind w:right="92"/>
              <w:spacing w:after="0" w:line="269" w:lineRule="exact"/>
              <w:rPr>
                <w:sz w:val="20"/>
                <w:szCs w:val="20"/>
                <w:color w:val="auto"/>
              </w:rPr>
            </w:pPr>
            <w:r>
              <w:rPr>
                <w:rFonts w:ascii="Arial" w:cs="Arial" w:eastAsia="Arial" w:hAnsi="Arial"/>
                <w:sz w:val="18"/>
                <w:szCs w:val="18"/>
                <w:b w:val="1"/>
                <w:bCs w:val="1"/>
                <w:color w:val="auto"/>
              </w:rPr>
              <w:t>Benefit</w:t>
            </w:r>
            <w:r>
              <w:rPr>
                <w:rFonts w:ascii="Arial" w:cs="Arial" w:eastAsia="Arial" w:hAnsi="Arial"/>
                <w:sz w:val="29"/>
                <w:szCs w:val="29"/>
                <w:b w:val="1"/>
                <w:bCs w:val="1"/>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Last Fiscal Year</w:t>
            </w:r>
          </w:p>
        </w:tc>
        <w:tc>
          <w:tcPr>
            <w:tcW w:w="0" w:type="dxa"/>
            <w:vAlign w:val="bottom"/>
          </w:tcPr>
          <w:p>
            <w:pPr>
              <w:spacing w:after="0"/>
              <w:rPr>
                <w:sz w:val="1"/>
                <w:szCs w:val="1"/>
                <w:color w:val="auto"/>
              </w:rPr>
            </w:pPr>
          </w:p>
        </w:tc>
      </w:tr>
      <w:tr>
        <w:trPr>
          <w:trHeight w:val="265"/>
        </w:trPr>
        <w:tc>
          <w:tcPr>
            <w:tcW w:w="1560" w:type="dxa"/>
            <w:vAlign w:val="bottom"/>
            <w:tcBorders>
              <w:bottom w:val="single" w:sz="8" w:color="582C83"/>
            </w:tcBorders>
            <w:vMerge w:val="continue"/>
          </w:tcPr>
          <w:p>
            <w:pPr>
              <w:spacing w:after="0"/>
              <w:rPr>
                <w:sz w:val="23"/>
                <w:szCs w:val="23"/>
                <w:color w:val="auto"/>
              </w:rPr>
            </w:pPr>
          </w:p>
        </w:tc>
        <w:tc>
          <w:tcPr>
            <w:tcW w:w="3740" w:type="dxa"/>
            <w:vAlign w:val="bottom"/>
            <w:tcBorders>
              <w:bottom w:val="single" w:sz="8" w:color="582C83"/>
            </w:tcBorders>
          </w:tcPr>
          <w:p>
            <w:pPr>
              <w:ind w:left="220"/>
              <w:spacing w:after="0"/>
              <w:rPr>
                <w:sz w:val="20"/>
                <w:szCs w:val="20"/>
                <w:color w:val="auto"/>
              </w:rPr>
            </w:pPr>
            <w:r>
              <w:rPr>
                <w:rFonts w:ascii="Arial" w:cs="Arial" w:eastAsia="Arial" w:hAnsi="Arial"/>
                <w:sz w:val="18"/>
                <w:szCs w:val="18"/>
                <w:b w:val="1"/>
                <w:bCs w:val="1"/>
                <w:color w:val="auto"/>
              </w:rPr>
              <w:t>Plan Name</w:t>
            </w:r>
          </w:p>
        </w:tc>
        <w:tc>
          <w:tcPr>
            <w:tcW w:w="2480" w:type="dxa"/>
            <w:vAlign w:val="bottom"/>
            <w:tcBorders>
              <w:bottom w:val="single" w:sz="8" w:color="582C83"/>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582C83"/>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0"/>
        </w:trPr>
        <w:tc>
          <w:tcPr>
            <w:tcW w:w="15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Gruber, Vinzenz</w:t>
            </w:r>
          </w:p>
        </w:tc>
        <w:tc>
          <w:tcPr>
            <w:tcW w:w="3740" w:type="dxa"/>
            <w:vAlign w:val="bottom"/>
            <w:tcBorders>
              <w:bottom w:val="single" w:sz="8" w:color="EBE6F0"/>
            </w:tcBorders>
            <w:shd w:val="clear" w:color="auto" w:fill="EBE6F0"/>
          </w:tcPr>
          <w:p>
            <w:pPr>
              <w:ind w:left="220"/>
              <w:spacing w:after="0"/>
              <w:rPr>
                <w:sz w:val="20"/>
                <w:szCs w:val="20"/>
                <w:color w:val="auto"/>
              </w:rPr>
            </w:pPr>
            <w:r>
              <w:rPr>
                <w:rFonts w:ascii="Arial" w:cs="Arial" w:eastAsia="Arial" w:hAnsi="Arial"/>
                <w:sz w:val="18"/>
                <w:szCs w:val="18"/>
                <w:color w:val="auto"/>
              </w:rPr>
              <w:t>Pension Fund Mondelēz Switzerland</w:t>
            </w:r>
          </w:p>
        </w:tc>
        <w:tc>
          <w:tcPr>
            <w:tcW w:w="2480" w:type="dxa"/>
            <w:vAlign w:val="bottom"/>
            <w:tcBorders>
              <w:bottom w:val="single" w:sz="8" w:color="EBE6F0"/>
            </w:tcBorders>
            <w:shd w:val="clear" w:color="auto" w:fill="EBE6F0"/>
          </w:tcPr>
          <w:p>
            <w:pPr>
              <w:jc w:val="right"/>
              <w:ind w:right="132"/>
              <w:spacing w:after="0"/>
              <w:rPr>
                <w:sz w:val="20"/>
                <w:szCs w:val="20"/>
                <w:color w:val="auto"/>
              </w:rPr>
            </w:pPr>
            <w:r>
              <w:rPr>
                <w:rFonts w:ascii="Arial" w:cs="Arial" w:eastAsia="Arial" w:hAnsi="Arial"/>
                <w:sz w:val="18"/>
                <w:szCs w:val="18"/>
                <w:color w:val="auto"/>
              </w:rPr>
              <w:t>32.0</w:t>
            </w:r>
          </w:p>
        </w:tc>
        <w:tc>
          <w:tcPr>
            <w:tcW w:w="176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9,050,599</w:t>
            </w:r>
          </w:p>
        </w:tc>
        <w:tc>
          <w:tcPr>
            <w:tcW w:w="17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60" w:type="dxa"/>
            <w:vAlign w:val="bottom"/>
            <w:shd w:val="clear" w:color="auto" w:fill="582C83"/>
          </w:tcPr>
          <w:p>
            <w:pPr>
              <w:spacing w:after="0"/>
              <w:rPr>
                <w:sz w:val="2"/>
                <w:szCs w:val="2"/>
                <w:color w:val="auto"/>
              </w:rPr>
            </w:pPr>
          </w:p>
        </w:tc>
        <w:tc>
          <w:tcPr>
            <w:tcW w:w="3740" w:type="dxa"/>
            <w:vAlign w:val="bottom"/>
            <w:shd w:val="clear" w:color="auto" w:fill="582C83"/>
          </w:tcPr>
          <w:p>
            <w:pPr>
              <w:spacing w:after="0"/>
              <w:rPr>
                <w:sz w:val="2"/>
                <w:szCs w:val="2"/>
                <w:color w:val="auto"/>
              </w:rPr>
            </w:pPr>
          </w:p>
        </w:tc>
        <w:tc>
          <w:tcPr>
            <w:tcW w:w="2480" w:type="dxa"/>
            <w:vAlign w:val="bottom"/>
            <w:shd w:val="clear" w:color="auto" w:fill="582C83"/>
          </w:tcPr>
          <w:p>
            <w:pPr>
              <w:spacing w:after="0"/>
              <w:rPr>
                <w:sz w:val="2"/>
                <w:szCs w:val="2"/>
                <w:color w:val="auto"/>
              </w:rPr>
            </w:pPr>
          </w:p>
        </w:tc>
        <w:tc>
          <w:tcPr>
            <w:tcW w:w="1760" w:type="dxa"/>
            <w:vAlign w:val="bottom"/>
            <w:shd w:val="clear" w:color="auto" w:fill="582C83"/>
          </w:tcPr>
          <w:p>
            <w:pPr>
              <w:spacing w:after="0"/>
              <w:rPr>
                <w:sz w:val="2"/>
                <w:szCs w:val="2"/>
                <w:color w:val="auto"/>
              </w:rPr>
            </w:pPr>
          </w:p>
        </w:tc>
        <w:tc>
          <w:tcPr>
            <w:tcW w:w="1700" w:type="dxa"/>
            <w:vAlign w:val="bottom"/>
            <w:shd w:val="clear" w:color="auto" w:fill="582C8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40" w:right="220" w:hanging="351"/>
        <w:spacing w:after="0" w:line="264"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U.S.-based salaried employee hired after 2008 or localized to the United States after 2015 is eligible to participate in the Mondelēz Global LLC Retirement Plan. Therefore, no amounts are shown for Mr. Van de Put, Mr. Zaramella and Ms. Stein. Mr. Brusadelli’s compensation and benefits are Italy-based and is not eligible for a defined benefit pension.</w:t>
      </w:r>
    </w:p>
    <w:p>
      <w:pPr>
        <w:ind w:left="440" w:hanging="351"/>
        <w:spacing w:after="0"/>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years of credited service under the plan are equivalent to the years of total service.</w:t>
      </w:r>
    </w:p>
    <w:p>
      <w:pPr>
        <w:spacing w:after="0" w:line="45" w:lineRule="exact"/>
        <w:rPr>
          <w:rFonts w:ascii="Arial" w:cs="Arial" w:eastAsia="Arial" w:hAnsi="Arial"/>
          <w:sz w:val="16"/>
          <w:szCs w:val="16"/>
          <w:color w:val="auto"/>
        </w:rPr>
      </w:pPr>
    </w:p>
    <w:p>
      <w:pPr>
        <w:ind w:left="440" w:right="300" w:hanging="351"/>
        <w:spacing w:after="0" w:line="264" w:lineRule="auto"/>
        <w:tabs>
          <w:tab w:leader="none" w:pos="4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 reflects the actuarial present value of benefits accumulated under the retirement plan, in accordance with the same assumptions and measurement dates disclosed in Note 11 to the consolidated financial statements in our 2021 Form 10-K. Plan assumptions specific to the Pension Fund Mondelēz Switzerland include:</w:t>
      </w:r>
    </w:p>
    <w:p>
      <w:pPr>
        <w:ind w:left="620" w:right="840" w:hanging="180"/>
        <w:spacing w:after="0" w:line="272" w:lineRule="auto"/>
        <w:tabs>
          <w:tab w:leader="none" w:pos="620" w:val="left"/>
        </w:tabs>
        <w:numPr>
          <w:ilvl w:val="1"/>
          <w:numId w:val="80"/>
        </w:numPr>
        <w:rPr>
          <w:rFonts w:ascii="Arial" w:cs="Arial" w:eastAsia="Arial" w:hAnsi="Arial"/>
          <w:sz w:val="16"/>
          <w:szCs w:val="16"/>
          <w:color w:val="582C83"/>
        </w:rPr>
      </w:pPr>
      <w:r>
        <w:rPr>
          <w:rFonts w:ascii="Arial" w:cs="Arial" w:eastAsia="Arial" w:hAnsi="Arial"/>
          <w:sz w:val="16"/>
          <w:szCs w:val="16"/>
          <w:color w:val="auto"/>
        </w:rPr>
        <w:t>Assumes commencement at the earliest age that participants would be eligible for an unreduced pension benefit, which is age 65, and is discounted for current age;</w:t>
      </w:r>
    </w:p>
    <w:p>
      <w:pPr>
        <w:spacing w:after="0" w:line="1" w:lineRule="exact"/>
        <w:rPr>
          <w:rFonts w:ascii="Arial" w:cs="Arial" w:eastAsia="Arial" w:hAnsi="Arial"/>
          <w:sz w:val="16"/>
          <w:szCs w:val="16"/>
          <w:color w:val="582C83"/>
        </w:rPr>
      </w:pPr>
    </w:p>
    <w:p>
      <w:pPr>
        <w:ind w:left="620" w:hanging="180"/>
        <w:spacing w:after="0"/>
        <w:tabs>
          <w:tab w:leader="none" w:pos="620" w:val="left"/>
        </w:tabs>
        <w:numPr>
          <w:ilvl w:val="1"/>
          <w:numId w:val="80"/>
        </w:numPr>
        <w:rPr>
          <w:rFonts w:ascii="Arial" w:cs="Arial" w:eastAsia="Arial" w:hAnsi="Arial"/>
          <w:sz w:val="16"/>
          <w:szCs w:val="16"/>
          <w:color w:val="582C83"/>
        </w:rPr>
      </w:pPr>
      <w:r>
        <w:rPr>
          <w:rFonts w:ascii="Arial" w:cs="Arial" w:eastAsia="Arial" w:hAnsi="Arial"/>
          <w:sz w:val="16"/>
          <w:szCs w:val="16"/>
          <w:color w:val="auto"/>
        </w:rPr>
        <w:t>Measurement date of December 31, 2021;</w:t>
      </w:r>
    </w:p>
    <w:p>
      <w:pPr>
        <w:spacing w:after="0" w:line="45" w:lineRule="exact"/>
        <w:rPr>
          <w:rFonts w:ascii="Arial" w:cs="Arial" w:eastAsia="Arial" w:hAnsi="Arial"/>
          <w:sz w:val="16"/>
          <w:szCs w:val="16"/>
          <w:color w:val="582C83"/>
        </w:rPr>
      </w:pPr>
    </w:p>
    <w:p>
      <w:pPr>
        <w:ind w:left="620" w:hanging="180"/>
        <w:spacing w:after="0"/>
        <w:tabs>
          <w:tab w:leader="none" w:pos="620" w:val="left"/>
        </w:tabs>
        <w:numPr>
          <w:ilvl w:val="1"/>
          <w:numId w:val="80"/>
        </w:numPr>
        <w:rPr>
          <w:rFonts w:ascii="Arial" w:cs="Arial" w:eastAsia="Arial" w:hAnsi="Arial"/>
          <w:sz w:val="16"/>
          <w:szCs w:val="16"/>
          <w:color w:val="582C83"/>
        </w:rPr>
      </w:pPr>
      <w:r>
        <w:rPr>
          <w:rFonts w:ascii="Arial" w:cs="Arial" w:eastAsia="Arial" w:hAnsi="Arial"/>
          <w:sz w:val="16"/>
          <w:szCs w:val="16"/>
          <w:color w:val="auto"/>
        </w:rPr>
        <w:t>Discount rate of 0.24%; and</w:t>
      </w:r>
    </w:p>
    <w:p>
      <w:pPr>
        <w:spacing w:after="0" w:line="45" w:lineRule="exact"/>
        <w:rPr>
          <w:rFonts w:ascii="Arial" w:cs="Arial" w:eastAsia="Arial" w:hAnsi="Arial"/>
          <w:sz w:val="16"/>
          <w:szCs w:val="16"/>
          <w:color w:val="582C83"/>
        </w:rPr>
      </w:pPr>
    </w:p>
    <w:p>
      <w:pPr>
        <w:ind w:left="620" w:hanging="180"/>
        <w:spacing w:after="0"/>
        <w:tabs>
          <w:tab w:leader="none" w:pos="620" w:val="left"/>
        </w:tabs>
        <w:numPr>
          <w:ilvl w:val="1"/>
          <w:numId w:val="80"/>
        </w:numPr>
        <w:rPr>
          <w:rFonts w:ascii="Arial" w:cs="Arial" w:eastAsia="Arial" w:hAnsi="Arial"/>
          <w:sz w:val="16"/>
          <w:szCs w:val="16"/>
          <w:color w:val="582C83"/>
        </w:rPr>
      </w:pPr>
      <w:r>
        <w:rPr>
          <w:rFonts w:ascii="Arial" w:cs="Arial" w:eastAsia="Arial" w:hAnsi="Arial"/>
          <w:sz w:val="16"/>
          <w:szCs w:val="16"/>
          <w:color w:val="auto"/>
        </w:rPr>
        <w:t>Statutory Mortality Table BVG2015.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Retirement Benefit Plan Description</w:t>
      </w:r>
    </w:p>
    <w:p>
      <w:pPr>
        <w:spacing w:after="0" w:line="199"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PENSION FUND MONDELĒZ SWITZERLAND – MR. GRUBER</w:t>
      </w:r>
    </w:p>
    <w:p>
      <w:pPr>
        <w:spacing w:after="0" w:line="103"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Eligibility for this funded contributory, tax-qualified defined benefit plan is limited to full-time and part-time employees with a Swiss employment contract signed before January 1, 2011. Benefits are payable upon normal retirement (defined as age 65) in the form of an annuity or lump sum. If a participant elects to receive a distribution prior to normal retirement, benefits are subject to reduction.</w:t>
      </w:r>
    </w:p>
    <w:p>
      <w:pPr>
        <w:spacing w:after="0" w:line="14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Benefits generally accrue based on 1.85% of pensionable salary (defined as annual base salary minus a coordination deduction) up to 37 years. The coordination deduction is limited to 40% of salary, up to 100% of the maximum full Federal Old Age and Survivors’ Insurance pension (for 2021: CHF28,680). The maximum pensionable salary corresponds to ten times the upper limit under Article 8 Paragraph 1 of the Swiss Federal Act on Occupational Retirement, Survivors’ and Disability Pension Plans (for 2021: CHF860,400).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Participating employees contribute 10% of pensionable salary to the plan.</w:t>
      </w:r>
    </w:p>
    <w:p>
      <w:pPr>
        <w:spacing w:after="0" w:line="190"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2021 Non-Qualified Deferred Compensation Benefits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Executive</w:t>
            </w:r>
          </w:p>
        </w:tc>
        <w:tc>
          <w:tcPr>
            <w:tcW w:w="1280" w:type="dxa"/>
            <w:vAlign w:val="bottom"/>
          </w:tcPr>
          <w:p>
            <w:pPr>
              <w:jc w:val="right"/>
              <w:ind w:right="56"/>
              <w:spacing w:after="0"/>
              <w:rPr>
                <w:sz w:val="20"/>
                <w:szCs w:val="20"/>
                <w:color w:val="auto"/>
              </w:rPr>
            </w:pPr>
            <w:r>
              <w:rPr>
                <w:rFonts w:ascii="Arial" w:cs="Arial" w:eastAsia="Arial" w:hAnsi="Arial"/>
                <w:sz w:val="16"/>
                <w:szCs w:val="16"/>
                <w:b w:val="1"/>
                <w:bCs w:val="1"/>
                <w:color w:val="auto"/>
              </w:rPr>
              <w:t>Registrant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Aggregate</w:t>
            </w:r>
          </w:p>
        </w:tc>
        <w:tc>
          <w:tcPr>
            <w:tcW w:w="2020" w:type="dxa"/>
            <w:vAlign w:val="bottom"/>
          </w:tcPr>
          <w:p>
            <w:pPr>
              <w:spacing w:after="0"/>
              <w:rPr>
                <w:sz w:val="17"/>
                <w:szCs w:val="17"/>
                <w:color w:val="auto"/>
              </w:rPr>
            </w:pPr>
          </w:p>
        </w:tc>
      </w:tr>
      <w:tr>
        <w:trPr>
          <w:trHeight w:val="189"/>
        </w:trPr>
        <w:tc>
          <w:tcPr>
            <w:tcW w:w="2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Contributions</w:t>
            </w:r>
          </w:p>
        </w:tc>
        <w:tc>
          <w:tcPr>
            <w:tcW w:w="1280" w:type="dxa"/>
            <w:vAlign w:val="bottom"/>
          </w:tcPr>
          <w:p>
            <w:pPr>
              <w:jc w:val="right"/>
              <w:ind w:right="56"/>
              <w:spacing w:after="0"/>
              <w:rPr>
                <w:sz w:val="20"/>
                <w:szCs w:val="20"/>
                <w:color w:val="auto"/>
              </w:rPr>
            </w:pPr>
            <w:r>
              <w:rPr>
                <w:rFonts w:ascii="Arial" w:cs="Arial" w:eastAsia="Arial" w:hAnsi="Arial"/>
                <w:sz w:val="16"/>
                <w:szCs w:val="16"/>
                <w:b w:val="1"/>
                <w:bCs w:val="1"/>
                <w:color w:val="auto"/>
              </w:rPr>
              <w:t>Contributions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Withdrawals/</w:t>
            </w:r>
          </w:p>
        </w:tc>
        <w:tc>
          <w:tcPr>
            <w:tcW w:w="2020" w:type="dxa"/>
            <w:vAlign w:val="bottom"/>
          </w:tcPr>
          <w:p>
            <w:pPr>
              <w:jc w:val="right"/>
              <w:spacing w:after="0"/>
              <w:rPr>
                <w:sz w:val="20"/>
                <w:szCs w:val="20"/>
                <w:color w:val="auto"/>
              </w:rPr>
            </w:pPr>
            <w:r>
              <w:rPr>
                <w:rFonts w:ascii="Arial" w:cs="Arial" w:eastAsia="Arial" w:hAnsi="Arial"/>
                <w:sz w:val="16"/>
                <w:szCs w:val="16"/>
                <w:b w:val="1"/>
                <w:bCs w:val="1"/>
                <w:color w:val="auto"/>
              </w:rPr>
              <w:t>Aggregate Balance as of</w:t>
            </w:r>
          </w:p>
        </w:tc>
      </w:tr>
      <w:tr>
        <w:trPr>
          <w:trHeight w:val="215"/>
        </w:trPr>
        <w:tc>
          <w:tcPr>
            <w:tcW w:w="2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in 2021</w:t>
            </w:r>
            <w:r>
              <w:rPr>
                <w:rFonts w:ascii="Arial" w:cs="Arial" w:eastAsia="Arial" w:hAnsi="Arial"/>
                <w:sz w:val="24"/>
                <w:szCs w:val="24"/>
                <w:b w:val="1"/>
                <w:bCs w:val="1"/>
                <w:color w:val="auto"/>
                <w:vertAlign w:val="superscript"/>
              </w:rPr>
              <w:t>(1)</w:t>
            </w:r>
          </w:p>
        </w:tc>
        <w:tc>
          <w:tcPr>
            <w:tcW w:w="1280" w:type="dxa"/>
            <w:vAlign w:val="bottom"/>
          </w:tcPr>
          <w:p>
            <w:pPr>
              <w:jc w:val="right"/>
              <w:ind w:right="56"/>
              <w:spacing w:after="0" w:line="216" w:lineRule="exact"/>
              <w:rPr>
                <w:sz w:val="20"/>
                <w:szCs w:val="20"/>
                <w:color w:val="auto"/>
              </w:rPr>
            </w:pPr>
            <w:r>
              <w:rPr>
                <w:rFonts w:ascii="Arial" w:cs="Arial" w:eastAsia="Arial" w:hAnsi="Arial"/>
                <w:sz w:val="15"/>
                <w:szCs w:val="15"/>
                <w:b w:val="1"/>
                <w:bCs w:val="1"/>
                <w:color w:val="auto"/>
              </w:rPr>
              <w:t>in 2021</w:t>
            </w:r>
            <w:r>
              <w:rPr>
                <w:rFonts w:ascii="Arial" w:cs="Arial" w:eastAsia="Arial" w:hAnsi="Arial"/>
                <w:sz w:val="24"/>
                <w:szCs w:val="24"/>
                <w:b w:val="1"/>
                <w:bCs w:val="1"/>
                <w:color w:val="auto"/>
                <w:vertAlign w:val="superscript"/>
              </w:rPr>
              <w:t>(2)</w:t>
            </w:r>
          </w:p>
        </w:tc>
        <w:tc>
          <w:tcPr>
            <w:tcW w:w="98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in 2021</w:t>
            </w:r>
            <w:r>
              <w:rPr>
                <w:rFonts w:ascii="Arial" w:cs="Arial" w:eastAsia="Arial" w:hAnsi="Arial"/>
                <w:sz w:val="24"/>
                <w:szCs w:val="24"/>
                <w:b w:val="1"/>
                <w:bCs w:val="1"/>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Distributions in 2021</w:t>
            </w:r>
          </w:p>
        </w:tc>
        <w:tc>
          <w:tcPr>
            <w:tcW w:w="202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December 31, 2021</w:t>
            </w:r>
            <w:r>
              <w:rPr>
                <w:rFonts w:ascii="Arial" w:cs="Arial" w:eastAsia="Arial" w:hAnsi="Arial"/>
                <w:sz w:val="24"/>
                <w:szCs w:val="24"/>
                <w:b w:val="1"/>
                <w:bCs w:val="1"/>
                <w:color w:val="auto"/>
                <w:vertAlign w:val="superscript"/>
              </w:rPr>
              <w:t>(4)</w:t>
            </w:r>
          </w:p>
        </w:tc>
      </w:tr>
      <w:tr>
        <w:trPr>
          <w:trHeight w:val="251"/>
        </w:trPr>
        <w:tc>
          <w:tcPr>
            <w:tcW w:w="200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Name</w:t>
            </w:r>
          </w:p>
        </w:tc>
        <w:tc>
          <w:tcPr>
            <w:tcW w:w="2060" w:type="dxa"/>
            <w:vAlign w:val="bottom"/>
            <w:tcBorders>
              <w:bottom w:val="single" w:sz="8" w:color="582C83"/>
            </w:tcBorders>
          </w:tcPr>
          <w:p>
            <w:pPr>
              <w:ind w:left="80"/>
              <w:spacing w:after="0"/>
              <w:rPr>
                <w:sz w:val="20"/>
                <w:szCs w:val="20"/>
                <w:color w:val="auto"/>
              </w:rPr>
            </w:pPr>
            <w:r>
              <w:rPr>
                <w:rFonts w:ascii="Arial" w:cs="Arial" w:eastAsia="Arial" w:hAnsi="Arial"/>
                <w:sz w:val="16"/>
                <w:szCs w:val="16"/>
                <w:b w:val="1"/>
                <w:bCs w:val="1"/>
                <w:color w:val="auto"/>
              </w:rPr>
              <w:t>Plan</w:t>
            </w:r>
          </w:p>
        </w:tc>
        <w:tc>
          <w:tcPr>
            <w:tcW w:w="12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582C83"/>
            </w:tcBorders>
          </w:tcPr>
          <w:p>
            <w:pPr>
              <w:jc w:val="right"/>
              <w:ind w:right="56"/>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316"/>
        </w:trPr>
        <w:tc>
          <w:tcPr>
            <w:tcW w:w="20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Van de Put, Dirk</w:t>
            </w:r>
          </w:p>
        </w:tc>
        <w:tc>
          <w:tcPr>
            <w:tcW w:w="20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Supplemental Plan</w:t>
            </w:r>
          </w:p>
        </w:tc>
        <w:tc>
          <w:tcPr>
            <w:tcW w:w="12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75,888</w:t>
            </w:r>
          </w:p>
        </w:tc>
        <w:tc>
          <w:tcPr>
            <w:tcW w:w="1280" w:type="dxa"/>
            <w:vAlign w:val="bottom"/>
            <w:tcBorders>
              <w:bottom w:val="single" w:sz="8" w:color="EBE6F0"/>
            </w:tcBorders>
            <w:shd w:val="clear" w:color="auto" w:fill="EBE6F0"/>
          </w:tcPr>
          <w:p>
            <w:pPr>
              <w:jc w:val="right"/>
              <w:ind w:right="56"/>
              <w:spacing w:after="0"/>
              <w:rPr>
                <w:sz w:val="20"/>
                <w:szCs w:val="20"/>
                <w:color w:val="auto"/>
              </w:rPr>
            </w:pPr>
            <w:r>
              <w:rPr>
                <w:rFonts w:ascii="Arial" w:cs="Arial" w:eastAsia="Arial" w:hAnsi="Arial"/>
                <w:sz w:val="18"/>
                <w:szCs w:val="18"/>
                <w:color w:val="auto"/>
              </w:rPr>
              <w:t>421,682</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31,884</w:t>
            </w:r>
          </w:p>
        </w:tc>
        <w:tc>
          <w:tcPr>
            <w:tcW w:w="17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1,953,823</w:t>
            </w:r>
          </w:p>
        </w:tc>
      </w:tr>
      <w:tr>
        <w:trPr>
          <w:trHeight w:val="309"/>
        </w:trPr>
        <w:tc>
          <w:tcPr>
            <w:tcW w:w="2000" w:type="dxa"/>
            <w:vAlign w:val="bottom"/>
            <w:tcBorders>
              <w:top w:val="single" w:sz="8" w:color="EBE6F0"/>
              <w:bottom w:val="single" w:sz="8" w:color="EBE6F0"/>
            </w:tcBorders>
            <w:shd w:val="clear" w:color="auto" w:fill="EBE6F0"/>
          </w:tcPr>
          <w:p>
            <w:pPr>
              <w:spacing w:after="0"/>
              <w:rPr>
                <w:sz w:val="24"/>
                <w:szCs w:val="24"/>
                <w:color w:val="auto"/>
              </w:rPr>
            </w:pPr>
          </w:p>
        </w:tc>
        <w:tc>
          <w:tcPr>
            <w:tcW w:w="2060" w:type="dxa"/>
            <w:vAlign w:val="bottom"/>
            <w:tcBorders>
              <w:top w:val="single" w:sz="8" w:color="572C83"/>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MEDCP</w:t>
            </w:r>
          </w:p>
        </w:tc>
        <w:tc>
          <w:tcPr>
            <w:tcW w:w="12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3,280,994</w:t>
            </w:r>
          </w:p>
        </w:tc>
        <w:tc>
          <w:tcPr>
            <w:tcW w:w="1280" w:type="dxa"/>
            <w:vAlign w:val="bottom"/>
            <w:tcBorders>
              <w:top w:val="single" w:sz="8" w:color="572C83"/>
              <w:bottom w:val="single" w:sz="8" w:color="EBE6F0"/>
            </w:tcBorders>
            <w:shd w:val="clear" w:color="auto" w:fill="EBE6F0"/>
          </w:tcPr>
          <w:p>
            <w:pPr>
              <w:jc w:val="right"/>
              <w:ind w:right="5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497,240</w:t>
            </w:r>
          </w:p>
        </w:tc>
        <w:tc>
          <w:tcPr>
            <w:tcW w:w="170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11,390,735</w:t>
            </w:r>
          </w:p>
        </w:tc>
      </w:tr>
      <w:tr>
        <w:trPr>
          <w:trHeight w:val="273"/>
        </w:trPr>
        <w:tc>
          <w:tcPr>
            <w:tcW w:w="200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Zaramella, Luca</w:t>
            </w:r>
          </w:p>
        </w:tc>
        <w:tc>
          <w:tcPr>
            <w:tcW w:w="206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Supplemental Plan</w:t>
            </w:r>
          </w:p>
        </w:tc>
        <w:tc>
          <w:tcPr>
            <w:tcW w:w="120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99,963</w:t>
            </w:r>
          </w:p>
        </w:tc>
        <w:tc>
          <w:tcPr>
            <w:tcW w:w="1280" w:type="dxa"/>
            <w:vAlign w:val="bottom"/>
            <w:tcBorders>
              <w:top w:val="single" w:sz="8" w:color="572C83"/>
            </w:tcBorders>
          </w:tcPr>
          <w:p>
            <w:pPr>
              <w:jc w:val="right"/>
              <w:ind w:right="56"/>
              <w:spacing w:after="0"/>
              <w:rPr>
                <w:sz w:val="20"/>
                <w:szCs w:val="20"/>
                <w:color w:val="auto"/>
              </w:rPr>
            </w:pPr>
            <w:r>
              <w:rPr>
                <w:rFonts w:ascii="Arial" w:cs="Arial" w:eastAsia="Arial" w:hAnsi="Arial"/>
                <w:sz w:val="18"/>
                <w:szCs w:val="18"/>
                <w:color w:val="auto"/>
              </w:rPr>
              <w:t>149,944</w:t>
            </w:r>
          </w:p>
        </w:tc>
        <w:tc>
          <w:tcPr>
            <w:tcW w:w="9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9,145</w:t>
            </w:r>
          </w:p>
        </w:tc>
        <w:tc>
          <w:tcPr>
            <w:tcW w:w="170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604,024</w:t>
            </w:r>
          </w:p>
        </w:tc>
      </w:tr>
      <w:tr>
        <w:trPr>
          <w:trHeight w:val="30"/>
        </w:trPr>
        <w:tc>
          <w:tcPr>
            <w:tcW w:w="2000" w:type="dxa"/>
            <w:vAlign w:val="bottom"/>
            <w:tcBorders>
              <w:bottom w:val="single" w:sz="8" w:color="572C83"/>
            </w:tcBorders>
          </w:tcPr>
          <w:p>
            <w:pPr>
              <w:spacing w:after="0"/>
              <w:rPr>
                <w:sz w:val="2"/>
                <w:szCs w:val="2"/>
                <w:color w:val="auto"/>
              </w:rPr>
            </w:pPr>
          </w:p>
        </w:tc>
        <w:tc>
          <w:tcPr>
            <w:tcW w:w="2060" w:type="dxa"/>
            <w:vAlign w:val="bottom"/>
            <w:tcBorders>
              <w:bottom w:val="single" w:sz="8" w:color="572C83"/>
            </w:tcBorders>
          </w:tcPr>
          <w:p>
            <w:pPr>
              <w:spacing w:after="0"/>
              <w:rPr>
                <w:sz w:val="2"/>
                <w:szCs w:val="2"/>
                <w:color w:val="auto"/>
              </w:rPr>
            </w:pPr>
          </w:p>
        </w:tc>
        <w:tc>
          <w:tcPr>
            <w:tcW w:w="1200" w:type="dxa"/>
            <w:vAlign w:val="bottom"/>
            <w:tcBorders>
              <w:bottom w:val="single" w:sz="8" w:color="572C83"/>
            </w:tcBorders>
          </w:tcPr>
          <w:p>
            <w:pPr>
              <w:spacing w:after="0"/>
              <w:rPr>
                <w:sz w:val="2"/>
                <w:szCs w:val="2"/>
                <w:color w:val="auto"/>
              </w:rPr>
            </w:pPr>
          </w:p>
        </w:tc>
        <w:tc>
          <w:tcPr>
            <w:tcW w:w="1280" w:type="dxa"/>
            <w:vAlign w:val="bottom"/>
            <w:tcBorders>
              <w:bottom w:val="single" w:sz="8" w:color="572C83"/>
            </w:tcBorders>
          </w:tcPr>
          <w:p>
            <w:pPr>
              <w:spacing w:after="0"/>
              <w:rPr>
                <w:sz w:val="2"/>
                <w:szCs w:val="2"/>
                <w:color w:val="auto"/>
              </w:rPr>
            </w:pPr>
          </w:p>
        </w:tc>
        <w:tc>
          <w:tcPr>
            <w:tcW w:w="980" w:type="dxa"/>
            <w:vAlign w:val="bottom"/>
            <w:tcBorders>
              <w:bottom w:val="single" w:sz="8" w:color="572C83"/>
            </w:tcBorders>
          </w:tcPr>
          <w:p>
            <w:pPr>
              <w:spacing w:after="0"/>
              <w:rPr>
                <w:sz w:val="2"/>
                <w:szCs w:val="2"/>
                <w:color w:val="auto"/>
              </w:rPr>
            </w:pPr>
          </w:p>
        </w:tc>
        <w:tc>
          <w:tcPr>
            <w:tcW w:w="1700" w:type="dxa"/>
            <w:vAlign w:val="bottom"/>
            <w:tcBorders>
              <w:bottom w:val="single" w:sz="8" w:color="572C83"/>
            </w:tcBorders>
          </w:tcPr>
          <w:p>
            <w:pPr>
              <w:spacing w:after="0"/>
              <w:rPr>
                <w:sz w:val="2"/>
                <w:szCs w:val="2"/>
                <w:color w:val="auto"/>
              </w:rPr>
            </w:pPr>
          </w:p>
        </w:tc>
        <w:tc>
          <w:tcPr>
            <w:tcW w:w="2020" w:type="dxa"/>
            <w:vAlign w:val="bottom"/>
            <w:tcBorders>
              <w:bottom w:val="single" w:sz="8" w:color="572C83"/>
            </w:tcBorders>
          </w:tcPr>
          <w:p>
            <w:pPr>
              <w:spacing w:after="0"/>
              <w:rPr>
                <w:sz w:val="2"/>
                <w:szCs w:val="2"/>
                <w:color w:val="auto"/>
              </w:rPr>
            </w:pPr>
          </w:p>
        </w:tc>
      </w:tr>
      <w:tr>
        <w:trPr>
          <w:trHeight w:val="284"/>
        </w:trPr>
        <w:tc>
          <w:tcPr>
            <w:tcW w:w="20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Stein, Laura</w:t>
            </w:r>
          </w:p>
        </w:tc>
        <w:tc>
          <w:tcPr>
            <w:tcW w:w="20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Supplemental Plan</w:t>
            </w:r>
          </w:p>
        </w:tc>
        <w:tc>
          <w:tcPr>
            <w:tcW w:w="12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25,264</w:t>
            </w:r>
          </w:p>
        </w:tc>
        <w:tc>
          <w:tcPr>
            <w:tcW w:w="1280" w:type="dxa"/>
            <w:vAlign w:val="bottom"/>
            <w:tcBorders>
              <w:bottom w:val="single" w:sz="8" w:color="EBE6F0"/>
            </w:tcBorders>
            <w:shd w:val="clear" w:color="auto" w:fill="EBE6F0"/>
          </w:tcPr>
          <w:p>
            <w:pPr>
              <w:jc w:val="right"/>
              <w:ind w:right="56"/>
              <w:spacing w:after="0"/>
              <w:rPr>
                <w:sz w:val="20"/>
                <w:szCs w:val="20"/>
                <w:color w:val="auto"/>
              </w:rPr>
            </w:pPr>
            <w:r>
              <w:rPr>
                <w:rFonts w:ascii="Arial" w:cs="Arial" w:eastAsia="Arial" w:hAnsi="Arial"/>
                <w:sz w:val="18"/>
                <w:szCs w:val="18"/>
                <w:color w:val="auto"/>
              </w:rPr>
              <w:t>37,895</w:t>
            </w:r>
          </w:p>
        </w:tc>
        <w:tc>
          <w:tcPr>
            <w:tcW w:w="9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295</w:t>
            </w:r>
          </w:p>
        </w:tc>
        <w:tc>
          <w:tcPr>
            <w:tcW w:w="17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63,454</w:t>
            </w:r>
          </w:p>
        </w:tc>
      </w:tr>
      <w:tr>
        <w:trPr>
          <w:trHeight w:val="20"/>
        </w:trPr>
        <w:tc>
          <w:tcPr>
            <w:tcW w:w="2000" w:type="dxa"/>
            <w:vAlign w:val="bottom"/>
            <w:shd w:val="clear" w:color="auto" w:fill="572C83"/>
          </w:tcPr>
          <w:p>
            <w:pPr>
              <w:spacing w:after="0" w:line="20" w:lineRule="exact"/>
              <w:rPr>
                <w:sz w:val="1"/>
                <w:szCs w:val="1"/>
                <w:color w:val="auto"/>
              </w:rPr>
            </w:pPr>
          </w:p>
        </w:tc>
        <w:tc>
          <w:tcPr>
            <w:tcW w:w="2060" w:type="dxa"/>
            <w:vAlign w:val="bottom"/>
            <w:shd w:val="clear" w:color="auto" w:fill="572C83"/>
          </w:tcPr>
          <w:p>
            <w:pPr>
              <w:spacing w:after="0" w:line="20" w:lineRule="exact"/>
              <w:rPr>
                <w:sz w:val="1"/>
                <w:szCs w:val="1"/>
                <w:color w:val="auto"/>
              </w:rPr>
            </w:pPr>
          </w:p>
        </w:tc>
        <w:tc>
          <w:tcPr>
            <w:tcW w:w="1200" w:type="dxa"/>
            <w:vAlign w:val="bottom"/>
            <w:shd w:val="clear" w:color="auto" w:fill="572C83"/>
          </w:tcPr>
          <w:p>
            <w:pPr>
              <w:spacing w:after="0" w:line="20" w:lineRule="exact"/>
              <w:rPr>
                <w:sz w:val="1"/>
                <w:szCs w:val="1"/>
                <w:color w:val="auto"/>
              </w:rPr>
            </w:pPr>
          </w:p>
        </w:tc>
        <w:tc>
          <w:tcPr>
            <w:tcW w:w="1280" w:type="dxa"/>
            <w:vAlign w:val="bottom"/>
            <w:shd w:val="clear" w:color="auto" w:fill="572C83"/>
          </w:tcPr>
          <w:p>
            <w:pPr>
              <w:spacing w:after="0" w:line="20" w:lineRule="exact"/>
              <w:rPr>
                <w:sz w:val="1"/>
                <w:szCs w:val="1"/>
                <w:color w:val="auto"/>
              </w:rPr>
            </w:pPr>
          </w:p>
        </w:tc>
        <w:tc>
          <w:tcPr>
            <w:tcW w:w="980" w:type="dxa"/>
            <w:vAlign w:val="bottom"/>
            <w:shd w:val="clear" w:color="auto" w:fill="572C83"/>
          </w:tcPr>
          <w:p>
            <w:pPr>
              <w:spacing w:after="0" w:line="20" w:lineRule="exact"/>
              <w:rPr>
                <w:sz w:val="1"/>
                <w:szCs w:val="1"/>
                <w:color w:val="auto"/>
              </w:rPr>
            </w:pPr>
          </w:p>
        </w:tc>
        <w:tc>
          <w:tcPr>
            <w:tcW w:w="1700" w:type="dxa"/>
            <w:vAlign w:val="bottom"/>
            <w:shd w:val="clear" w:color="auto" w:fill="572C83"/>
          </w:tcPr>
          <w:p>
            <w:pPr>
              <w:spacing w:after="0" w:line="20" w:lineRule="exact"/>
              <w:rPr>
                <w:sz w:val="1"/>
                <w:szCs w:val="1"/>
                <w:color w:val="auto"/>
              </w:rPr>
            </w:pPr>
          </w:p>
        </w:tc>
        <w:tc>
          <w:tcPr>
            <w:tcW w:w="2020" w:type="dxa"/>
            <w:vAlign w:val="bottom"/>
            <w:shd w:val="clear" w:color="auto" w:fill="572C83"/>
          </w:tcPr>
          <w:p>
            <w:pPr>
              <w:spacing w:after="0" w:line="20" w:lineRule="exact"/>
              <w:rPr>
                <w:sz w:val="1"/>
                <w:szCs w:val="1"/>
                <w:color w:val="auto"/>
              </w:rPr>
            </w:pPr>
          </w:p>
        </w:tc>
      </w:tr>
    </w:tbl>
    <w:p>
      <w:pPr>
        <w:spacing w:after="0" w:line="40" w:lineRule="exact"/>
        <w:rPr>
          <w:sz w:val="20"/>
          <w:szCs w:val="20"/>
          <w:color w:val="auto"/>
        </w:rPr>
      </w:pPr>
    </w:p>
    <w:p>
      <w:pPr>
        <w:ind w:left="440" w:right="300" w:hanging="351"/>
        <w:spacing w:after="0" w:line="286" w:lineRule="auto"/>
        <w:tabs>
          <w:tab w:leader="none" w:pos="4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 salary and 2021 AIP award are included in the 2021 Summary Compensation Table. The 2021 deferred compensation amounts attributable to base salary and 2021 AIP awards for participating NEOs are as follows:</w:t>
      </w:r>
    </w:p>
    <w:p>
      <w:pPr>
        <w:spacing w:after="0" w:line="75" w:lineRule="exact"/>
        <w:rPr>
          <w:sz w:val="20"/>
          <w:szCs w:val="20"/>
          <w:color w:val="auto"/>
        </w:rPr>
      </w:pPr>
    </w:p>
    <w:tbl>
      <w:tblPr>
        <w:tblLayout w:type="fixed"/>
        <w:tblInd w:w="480" w:type="dxa"/>
        <w:tblCellMar>
          <w:top w:w="0" w:type="dxa"/>
          <w:left w:w="0" w:type="dxa"/>
          <w:bottom w:w="0" w:type="dxa"/>
          <w:right w:w="0" w:type="dxa"/>
        </w:tblCellMar>
      </w:tblPr>
      <w:tr>
        <w:trPr>
          <w:trHeight w:val="251"/>
        </w:trPr>
        <w:tc>
          <w:tcPr>
            <w:tcW w:w="3760" w:type="dxa"/>
            <w:vAlign w:val="bottom"/>
            <w:tcBorders>
              <w:bottom w:val="single" w:sz="8" w:color="582C83"/>
            </w:tcBorders>
          </w:tcPr>
          <w:p>
            <w:pPr>
              <w:ind w:left="60"/>
              <w:spacing w:after="0"/>
              <w:rPr>
                <w:sz w:val="20"/>
                <w:szCs w:val="20"/>
                <w:color w:val="auto"/>
              </w:rPr>
            </w:pPr>
            <w:r>
              <w:rPr>
                <w:rFonts w:ascii="Arial" w:cs="Arial" w:eastAsia="Arial" w:hAnsi="Arial"/>
                <w:sz w:val="16"/>
                <w:szCs w:val="16"/>
                <w:b w:val="1"/>
                <w:bCs w:val="1"/>
                <w:color w:val="auto"/>
              </w:rPr>
              <w:t>Name</w:t>
            </w:r>
          </w:p>
        </w:tc>
        <w:tc>
          <w:tcPr>
            <w:tcW w:w="3780" w:type="dxa"/>
            <w:vAlign w:val="bottom"/>
            <w:tcBorders>
              <w:bottom w:val="single" w:sz="8" w:color="582C83"/>
            </w:tcBorders>
          </w:tcPr>
          <w:p>
            <w:pPr>
              <w:ind w:left="20"/>
              <w:spacing w:after="0"/>
              <w:rPr>
                <w:sz w:val="20"/>
                <w:szCs w:val="20"/>
                <w:color w:val="auto"/>
              </w:rPr>
            </w:pPr>
            <w:r>
              <w:rPr>
                <w:rFonts w:ascii="Arial" w:cs="Arial" w:eastAsia="Arial" w:hAnsi="Arial"/>
                <w:sz w:val="16"/>
                <w:szCs w:val="16"/>
                <w:b w:val="1"/>
                <w:bCs w:val="1"/>
                <w:color w:val="auto"/>
              </w:rPr>
              <w:t>Plan</w:t>
            </w:r>
          </w:p>
        </w:tc>
        <w:tc>
          <w:tcPr>
            <w:tcW w:w="1700" w:type="dxa"/>
            <w:vAlign w:val="bottom"/>
            <w:tcBorders>
              <w:bottom w:val="single" w:sz="8" w:color="582C83"/>
            </w:tcBorders>
          </w:tcPr>
          <w:p>
            <w:pPr>
              <w:jc w:val="right"/>
              <w:ind w:right="359"/>
              <w:spacing w:after="0"/>
              <w:rPr>
                <w:sz w:val="20"/>
                <w:szCs w:val="20"/>
                <w:color w:val="auto"/>
              </w:rPr>
            </w:pPr>
            <w:r>
              <w:rPr>
                <w:rFonts w:ascii="Arial" w:cs="Arial" w:eastAsia="Arial" w:hAnsi="Arial"/>
                <w:sz w:val="16"/>
                <w:szCs w:val="16"/>
                <w:b w:val="1"/>
                <w:bCs w:val="1"/>
                <w:color w:val="auto"/>
              </w:rPr>
              <w:t>Base Salary ($)</w:t>
            </w:r>
          </w:p>
        </w:tc>
        <w:tc>
          <w:tcPr>
            <w:tcW w:w="1580" w:type="dxa"/>
            <w:vAlign w:val="bottom"/>
            <w:tcBorders>
              <w:bottom w:val="single" w:sz="8" w:color="582C83"/>
            </w:tcBorders>
          </w:tcPr>
          <w:p>
            <w:pPr>
              <w:jc w:val="right"/>
              <w:spacing w:after="0"/>
              <w:rPr>
                <w:sz w:val="20"/>
                <w:szCs w:val="20"/>
                <w:color w:val="auto"/>
              </w:rPr>
            </w:pPr>
            <w:r>
              <w:rPr>
                <w:rFonts w:ascii="Arial" w:cs="Arial" w:eastAsia="Arial" w:hAnsi="Arial"/>
                <w:sz w:val="16"/>
                <w:szCs w:val="16"/>
                <w:b w:val="1"/>
                <w:bCs w:val="1"/>
                <w:color w:val="auto"/>
              </w:rPr>
              <w:t>AIP Award ($)</w:t>
            </w:r>
          </w:p>
        </w:tc>
      </w:tr>
      <w:tr>
        <w:trPr>
          <w:trHeight w:val="302"/>
        </w:trPr>
        <w:tc>
          <w:tcPr>
            <w:tcW w:w="37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Mr. Van de Put</w:t>
            </w:r>
          </w:p>
        </w:tc>
        <w:tc>
          <w:tcPr>
            <w:tcW w:w="3780" w:type="dxa"/>
            <w:vAlign w:val="bottom"/>
            <w:tcBorders>
              <w:bottom w:val="single" w:sz="8" w:color="EBE6F0"/>
            </w:tcBorders>
            <w:shd w:val="clear" w:color="auto" w:fill="EBE6F0"/>
          </w:tcPr>
          <w:p>
            <w:pPr>
              <w:ind w:left="20"/>
              <w:spacing w:after="0"/>
              <w:rPr>
                <w:sz w:val="20"/>
                <w:szCs w:val="20"/>
                <w:color w:val="auto"/>
              </w:rPr>
            </w:pPr>
            <w:r>
              <w:rPr>
                <w:rFonts w:ascii="Arial" w:cs="Arial" w:eastAsia="Arial" w:hAnsi="Arial"/>
                <w:sz w:val="16"/>
                <w:szCs w:val="16"/>
                <w:color w:val="auto"/>
              </w:rPr>
              <w:t>Supplemental Benefits Plan I</w:t>
            </w:r>
          </w:p>
        </w:tc>
        <w:tc>
          <w:tcPr>
            <w:tcW w:w="1700" w:type="dxa"/>
            <w:vAlign w:val="bottom"/>
            <w:tcBorders>
              <w:bottom w:val="single" w:sz="8" w:color="EBE6F0"/>
            </w:tcBorders>
            <w:shd w:val="clear" w:color="auto" w:fill="EBE6F0"/>
          </w:tcPr>
          <w:p>
            <w:pPr>
              <w:jc w:val="right"/>
              <w:ind w:right="359"/>
              <w:spacing w:after="0"/>
              <w:rPr>
                <w:sz w:val="20"/>
                <w:szCs w:val="20"/>
                <w:color w:val="auto"/>
              </w:rPr>
            </w:pPr>
            <w:r>
              <w:rPr>
                <w:rFonts w:ascii="Arial" w:cs="Arial" w:eastAsia="Arial" w:hAnsi="Arial"/>
                <w:sz w:val="16"/>
                <w:szCs w:val="16"/>
                <w:color w:val="auto"/>
              </w:rPr>
              <w:t>75,888</w:t>
            </w:r>
          </w:p>
        </w:tc>
        <w:tc>
          <w:tcPr>
            <w:tcW w:w="15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w:t>
            </w:r>
          </w:p>
        </w:tc>
      </w:tr>
      <w:tr>
        <w:trPr>
          <w:trHeight w:val="295"/>
        </w:trPr>
        <w:tc>
          <w:tcPr>
            <w:tcW w:w="3760" w:type="dxa"/>
            <w:vAlign w:val="bottom"/>
            <w:tcBorders>
              <w:top w:val="single" w:sz="8" w:color="EBE6F0"/>
              <w:bottom w:val="single" w:sz="8" w:color="EBE6F0"/>
            </w:tcBorders>
            <w:shd w:val="clear" w:color="auto" w:fill="EBE6F0"/>
          </w:tcPr>
          <w:p>
            <w:pPr>
              <w:spacing w:after="0"/>
              <w:rPr>
                <w:sz w:val="24"/>
                <w:szCs w:val="24"/>
                <w:color w:val="auto"/>
              </w:rPr>
            </w:pPr>
          </w:p>
        </w:tc>
        <w:tc>
          <w:tcPr>
            <w:tcW w:w="3780" w:type="dxa"/>
            <w:vAlign w:val="bottom"/>
            <w:tcBorders>
              <w:top w:val="single" w:sz="8" w:color="572C83"/>
              <w:bottom w:val="single" w:sz="8" w:color="EBE6F0"/>
            </w:tcBorders>
            <w:shd w:val="clear" w:color="auto" w:fill="EBE6F0"/>
          </w:tcPr>
          <w:p>
            <w:pPr>
              <w:ind w:left="20"/>
              <w:spacing w:after="0"/>
              <w:rPr>
                <w:sz w:val="20"/>
                <w:szCs w:val="20"/>
                <w:color w:val="auto"/>
              </w:rPr>
            </w:pPr>
            <w:r>
              <w:rPr>
                <w:rFonts w:ascii="Arial" w:cs="Arial" w:eastAsia="Arial" w:hAnsi="Arial"/>
                <w:sz w:val="16"/>
                <w:szCs w:val="16"/>
                <w:color w:val="auto"/>
              </w:rPr>
              <w:t>MEDCP</w:t>
            </w:r>
          </w:p>
        </w:tc>
        <w:tc>
          <w:tcPr>
            <w:tcW w:w="1700" w:type="dxa"/>
            <w:vAlign w:val="bottom"/>
            <w:tcBorders>
              <w:top w:val="single" w:sz="8" w:color="572C83"/>
              <w:bottom w:val="single" w:sz="8" w:color="EBE6F0"/>
            </w:tcBorders>
            <w:shd w:val="clear" w:color="auto" w:fill="EBE6F0"/>
          </w:tcPr>
          <w:p>
            <w:pPr>
              <w:jc w:val="right"/>
              <w:ind w:right="3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572C83"/>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3,280,994</w:t>
            </w:r>
          </w:p>
        </w:tc>
      </w:tr>
      <w:tr>
        <w:trPr>
          <w:trHeight w:val="248"/>
        </w:trPr>
        <w:tc>
          <w:tcPr>
            <w:tcW w:w="3760" w:type="dxa"/>
            <w:vAlign w:val="bottom"/>
            <w:tcBorders>
              <w:top w:val="single" w:sz="8" w:color="572C83"/>
            </w:tcBorders>
          </w:tcPr>
          <w:p>
            <w:pPr>
              <w:ind w:left="60"/>
              <w:spacing w:after="0"/>
              <w:rPr>
                <w:sz w:val="20"/>
                <w:szCs w:val="20"/>
                <w:color w:val="auto"/>
              </w:rPr>
            </w:pPr>
            <w:r>
              <w:rPr>
                <w:rFonts w:ascii="Arial" w:cs="Arial" w:eastAsia="Arial" w:hAnsi="Arial"/>
                <w:sz w:val="16"/>
                <w:szCs w:val="16"/>
                <w:color w:val="auto"/>
              </w:rPr>
              <w:t>Mr. Zaramella</w:t>
            </w:r>
          </w:p>
        </w:tc>
        <w:tc>
          <w:tcPr>
            <w:tcW w:w="3780" w:type="dxa"/>
            <w:vAlign w:val="bottom"/>
            <w:tcBorders>
              <w:top w:val="single" w:sz="8" w:color="572C83"/>
            </w:tcBorders>
          </w:tcPr>
          <w:p>
            <w:pPr>
              <w:ind w:left="20"/>
              <w:spacing w:after="0"/>
              <w:rPr>
                <w:sz w:val="20"/>
                <w:szCs w:val="20"/>
                <w:color w:val="auto"/>
              </w:rPr>
            </w:pPr>
            <w:r>
              <w:rPr>
                <w:rFonts w:ascii="Arial" w:cs="Arial" w:eastAsia="Arial" w:hAnsi="Arial"/>
                <w:sz w:val="16"/>
                <w:szCs w:val="16"/>
                <w:color w:val="auto"/>
              </w:rPr>
              <w:t>Supplemental Benefits Plan I</w:t>
            </w:r>
          </w:p>
        </w:tc>
        <w:tc>
          <w:tcPr>
            <w:tcW w:w="1700" w:type="dxa"/>
            <w:vAlign w:val="bottom"/>
            <w:tcBorders>
              <w:top w:val="single" w:sz="8" w:color="572C83"/>
            </w:tcBorders>
          </w:tcPr>
          <w:p>
            <w:pPr>
              <w:jc w:val="right"/>
              <w:ind w:right="359"/>
              <w:spacing w:after="0"/>
              <w:rPr>
                <w:sz w:val="20"/>
                <w:szCs w:val="20"/>
                <w:color w:val="auto"/>
              </w:rPr>
            </w:pPr>
            <w:r>
              <w:rPr>
                <w:rFonts w:ascii="Arial" w:cs="Arial" w:eastAsia="Arial" w:hAnsi="Arial"/>
                <w:sz w:val="16"/>
                <w:szCs w:val="16"/>
                <w:color w:val="auto"/>
              </w:rPr>
              <w:t>43,021</w:t>
            </w:r>
          </w:p>
        </w:tc>
        <w:tc>
          <w:tcPr>
            <w:tcW w:w="1580" w:type="dxa"/>
            <w:vAlign w:val="bottom"/>
            <w:tcBorders>
              <w:top w:val="single" w:sz="8" w:color="572C83"/>
            </w:tcBorders>
          </w:tcPr>
          <w:p>
            <w:pPr>
              <w:jc w:val="right"/>
              <w:spacing w:after="0"/>
              <w:rPr>
                <w:sz w:val="20"/>
                <w:szCs w:val="20"/>
                <w:color w:val="auto"/>
              </w:rPr>
            </w:pPr>
            <w:r>
              <w:rPr>
                <w:rFonts w:ascii="Arial" w:cs="Arial" w:eastAsia="Arial" w:hAnsi="Arial"/>
                <w:sz w:val="16"/>
                <w:szCs w:val="16"/>
                <w:color w:val="auto"/>
              </w:rPr>
              <w:t>56,942</w:t>
            </w:r>
          </w:p>
        </w:tc>
      </w:tr>
      <w:tr>
        <w:trPr>
          <w:trHeight w:val="42"/>
        </w:trPr>
        <w:tc>
          <w:tcPr>
            <w:tcW w:w="3760" w:type="dxa"/>
            <w:vAlign w:val="bottom"/>
            <w:tcBorders>
              <w:bottom w:val="single" w:sz="8" w:color="572C83"/>
            </w:tcBorders>
          </w:tcPr>
          <w:p>
            <w:pPr>
              <w:spacing w:after="0"/>
              <w:rPr>
                <w:sz w:val="3"/>
                <w:szCs w:val="3"/>
                <w:color w:val="auto"/>
              </w:rPr>
            </w:pPr>
          </w:p>
        </w:tc>
        <w:tc>
          <w:tcPr>
            <w:tcW w:w="3780" w:type="dxa"/>
            <w:vAlign w:val="bottom"/>
            <w:tcBorders>
              <w:bottom w:val="single" w:sz="8" w:color="572C83"/>
            </w:tcBorders>
          </w:tcPr>
          <w:p>
            <w:pPr>
              <w:spacing w:after="0"/>
              <w:rPr>
                <w:sz w:val="3"/>
                <w:szCs w:val="3"/>
                <w:color w:val="auto"/>
              </w:rPr>
            </w:pPr>
          </w:p>
        </w:tc>
        <w:tc>
          <w:tcPr>
            <w:tcW w:w="1700" w:type="dxa"/>
            <w:vAlign w:val="bottom"/>
            <w:tcBorders>
              <w:bottom w:val="single" w:sz="8" w:color="572C83"/>
            </w:tcBorders>
          </w:tcPr>
          <w:p>
            <w:pPr>
              <w:spacing w:after="0"/>
              <w:rPr>
                <w:sz w:val="3"/>
                <w:szCs w:val="3"/>
                <w:color w:val="auto"/>
              </w:rPr>
            </w:pPr>
          </w:p>
        </w:tc>
        <w:tc>
          <w:tcPr>
            <w:tcW w:w="1580" w:type="dxa"/>
            <w:vAlign w:val="bottom"/>
            <w:tcBorders>
              <w:bottom w:val="single" w:sz="8" w:color="572C83"/>
            </w:tcBorders>
          </w:tcPr>
          <w:p>
            <w:pPr>
              <w:spacing w:after="0"/>
              <w:rPr>
                <w:sz w:val="3"/>
                <w:szCs w:val="3"/>
                <w:color w:val="auto"/>
              </w:rPr>
            </w:pPr>
          </w:p>
        </w:tc>
      </w:tr>
      <w:tr>
        <w:trPr>
          <w:trHeight w:val="271"/>
        </w:trPr>
        <w:tc>
          <w:tcPr>
            <w:tcW w:w="376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6"/>
                <w:szCs w:val="16"/>
                <w:color w:val="auto"/>
              </w:rPr>
              <w:t>Ms. Stein</w:t>
            </w:r>
          </w:p>
        </w:tc>
        <w:tc>
          <w:tcPr>
            <w:tcW w:w="3780" w:type="dxa"/>
            <w:vAlign w:val="bottom"/>
            <w:tcBorders>
              <w:bottom w:val="single" w:sz="8" w:color="EBE6F0"/>
            </w:tcBorders>
            <w:shd w:val="clear" w:color="auto" w:fill="EBE6F0"/>
          </w:tcPr>
          <w:p>
            <w:pPr>
              <w:ind w:left="20"/>
              <w:spacing w:after="0"/>
              <w:rPr>
                <w:sz w:val="20"/>
                <w:szCs w:val="20"/>
                <w:color w:val="auto"/>
              </w:rPr>
            </w:pPr>
            <w:r>
              <w:rPr>
                <w:rFonts w:ascii="Arial" w:cs="Arial" w:eastAsia="Arial" w:hAnsi="Arial"/>
                <w:sz w:val="16"/>
                <w:szCs w:val="16"/>
                <w:color w:val="auto"/>
              </w:rPr>
              <w:t>Supplemental Benefits Plan I</w:t>
            </w:r>
          </w:p>
        </w:tc>
        <w:tc>
          <w:tcPr>
            <w:tcW w:w="1700" w:type="dxa"/>
            <w:vAlign w:val="bottom"/>
            <w:tcBorders>
              <w:bottom w:val="single" w:sz="8" w:color="EBE6F0"/>
            </w:tcBorders>
            <w:shd w:val="clear" w:color="auto" w:fill="EBE6F0"/>
          </w:tcPr>
          <w:p>
            <w:pPr>
              <w:jc w:val="right"/>
              <w:ind w:right="3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6"/>
                <w:szCs w:val="16"/>
                <w:color w:val="auto"/>
              </w:rPr>
              <w:t>25,264</w:t>
            </w:r>
          </w:p>
        </w:tc>
      </w:tr>
      <w:tr>
        <w:trPr>
          <w:trHeight w:val="20"/>
        </w:trPr>
        <w:tc>
          <w:tcPr>
            <w:tcW w:w="3760" w:type="dxa"/>
            <w:vAlign w:val="bottom"/>
            <w:shd w:val="clear" w:color="auto" w:fill="572C83"/>
          </w:tcPr>
          <w:p>
            <w:pPr>
              <w:spacing w:after="0" w:line="20" w:lineRule="exact"/>
              <w:rPr>
                <w:sz w:val="1"/>
                <w:szCs w:val="1"/>
                <w:color w:val="auto"/>
              </w:rPr>
            </w:pPr>
          </w:p>
        </w:tc>
        <w:tc>
          <w:tcPr>
            <w:tcW w:w="3780" w:type="dxa"/>
            <w:vAlign w:val="bottom"/>
            <w:shd w:val="clear" w:color="auto" w:fill="572C83"/>
          </w:tcPr>
          <w:p>
            <w:pPr>
              <w:spacing w:after="0" w:line="20" w:lineRule="exact"/>
              <w:rPr>
                <w:sz w:val="1"/>
                <w:szCs w:val="1"/>
                <w:color w:val="auto"/>
              </w:rPr>
            </w:pPr>
          </w:p>
        </w:tc>
        <w:tc>
          <w:tcPr>
            <w:tcW w:w="1700" w:type="dxa"/>
            <w:vAlign w:val="bottom"/>
            <w:shd w:val="clear" w:color="auto" w:fill="572C83"/>
          </w:tcPr>
          <w:p>
            <w:pPr>
              <w:spacing w:after="0" w:line="20" w:lineRule="exact"/>
              <w:rPr>
                <w:sz w:val="1"/>
                <w:szCs w:val="1"/>
                <w:color w:val="auto"/>
              </w:rPr>
            </w:pPr>
          </w:p>
        </w:tc>
        <w:tc>
          <w:tcPr>
            <w:tcW w:w="1580" w:type="dxa"/>
            <w:vAlign w:val="bottom"/>
            <w:shd w:val="clear" w:color="auto" w:fill="572C83"/>
          </w:tcPr>
          <w:p>
            <w:pPr>
              <w:spacing w:after="0" w:line="20" w:lineRule="exact"/>
              <w:rPr>
                <w:sz w:val="1"/>
                <w:szCs w:val="1"/>
                <w:color w:val="auto"/>
              </w:rPr>
            </w:pPr>
          </w:p>
        </w:tc>
      </w:tr>
    </w:tbl>
    <w:p>
      <w:pPr>
        <w:spacing w:after="0" w:line="94" w:lineRule="exact"/>
        <w:rPr>
          <w:sz w:val="20"/>
          <w:szCs w:val="20"/>
          <w:color w:val="auto"/>
        </w:rPr>
      </w:pPr>
    </w:p>
    <w:p>
      <w:pPr>
        <w:ind w:left="500" w:hanging="425"/>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in this column are also included in the “All Other Compensation” column in the 2021 Summary Compensation Table.</w:t>
      </w:r>
    </w:p>
    <w:p>
      <w:pPr>
        <w:spacing w:after="0" w:line="45" w:lineRule="exact"/>
        <w:rPr>
          <w:rFonts w:ascii="Arial" w:cs="Arial" w:eastAsia="Arial" w:hAnsi="Arial"/>
          <w:sz w:val="16"/>
          <w:szCs w:val="16"/>
          <w:color w:val="auto"/>
        </w:rPr>
      </w:pPr>
    </w:p>
    <w:p>
      <w:pPr>
        <w:ind w:left="500" w:hanging="425"/>
        <w:spacing w:after="0"/>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Amounts in this column are at market rates and are not reflected in the 2021 Summary Compensation Table.</w:t>
      </w:r>
    </w:p>
    <w:p>
      <w:pPr>
        <w:spacing w:after="0" w:line="45" w:lineRule="exact"/>
        <w:rPr>
          <w:rFonts w:ascii="Arial" w:cs="Arial" w:eastAsia="Arial" w:hAnsi="Arial"/>
          <w:sz w:val="16"/>
          <w:szCs w:val="16"/>
          <w:color w:val="auto"/>
        </w:rPr>
      </w:pPr>
    </w:p>
    <w:p>
      <w:pPr>
        <w:jc w:val="both"/>
        <w:ind w:left="500" w:right="320" w:hanging="425"/>
        <w:spacing w:after="0" w:line="266"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aggregate balance includes amounts reported as compensation for our NEOs in prior years. Amounts reported attributable to base salary, AIP awards or all other compensation that were reported in the Summary Compensation Table of previously filed proxy statements for the participating NEOs are as follows: Mr. Van de Put – $4,198,656; Mr. Zaramella – $338,403 and Ms. Stein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58358F"/>
        </w:rPr>
        <w:t>2022 PROXY STATEMENT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300"/>
          </w:cols>
          <w:pgMar w:left="320" w:top="130" w:right="27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MONDELĒZ GLOBAL LLC SUPPLEMENTAL BENEFITS PLAN I</w:t>
      </w:r>
    </w:p>
    <w:p>
      <w:pPr>
        <w:spacing w:after="0" w:line="103"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Because IRS Code Sections 401(a)(17) and 415 limits the amount that may be contributed to our U.S. tax-qualified defined contribution plan on behalf of an employee, we offer our U.S.-based NEOs a supplemental defined contribution program under the Supplemental Plan. This is an unfunded non-qualified plan that allows eligible employees to defer a portion of their annual compensation (base salary and AIP awards) and receive corresponding matching amounts to the extent that their contributions to the tax-qualified defined contribution plan (and the corresponding matching contributions) are limited by Code Sections 401(a)(17) or 415. In addition, employees hired after 2008 or localized to the United States after 2015, who are not otherwise eligible to participate in the Retirement Plan, receive an additional non-elective Company contribution to the Supplemental Plan equal to 4.5% of eligible compensation.</w:t>
      </w:r>
    </w:p>
    <w:p>
      <w:pPr>
        <w:spacing w:after="0" w:line="156"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The timing of distributions depends on whether the amount distributed is subject to Code Section 409A. For distributions not subject to Code Section 409A, the distribution will be made in accordance with the employee’s distribution election. For distributions subject to Code Section 409A, employees will receive their account balances in a lump sum within 90 days after separation from service. An employee who is a “specified employee” for purposes of Code Section 409A will have the lump sum delayed for six months. Amounts deferred and notional employer matching contributions earn the same notional rate of return as the Income Fund, which is a market rate investment option available to participants in the U.S. tax-qualified defined contribution plan. The rate of return under this investment option in 2021 was 1.83%.</w:t>
      </w:r>
    </w:p>
    <w:p>
      <w:pPr>
        <w:spacing w:after="0" w:line="151"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auto"/>
        </w:rPr>
        <w:t>Beginning January 1, 2020, all eligible U.S.-based employees receive a non-elective Company contribution because the Retirement Plan is frozen as of January 1, 2020.</w:t>
      </w:r>
    </w:p>
    <w:p>
      <w:pPr>
        <w:spacing w:after="0" w:line="263"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MONDELĒZ GLOBAL LLC EXECUTIVE DEFERRED COMPENSATION PLAN</w:t>
      </w:r>
    </w:p>
    <w:p>
      <w:pPr>
        <w:spacing w:after="0" w:line="10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The MEDCP is a non-qualified plan that allows U.S.-based participants to defer, on a pre-tax basis, up to 50% of salary and up to 100% of their AIP award. The notional investment options are similar to those offered to participants in our U.S. tax-qualified defined contribution plan. A participant who elects to defer compensation must decide whether to defer receipt of the compensation until separation from service, as determined under Code Section 409A, or to receive a distribution while still employed with the Company. Distributions may be made in a lump sum or annual installments of between two and ten years. Any participant who is a specified employee for purposes of Code Section 409A will have the distribution delayed for six months following a separation from service.</w:t>
      </w:r>
    </w:p>
    <w:p>
      <w:pPr>
        <w:spacing w:after="0" w:line="143"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notional investment options available to participants in the MEDCP are selected by the Company and may be changed from time to time. Participants are permitted to change their investment elections at any time on a prospective basis. The table below shows the available notional investment options under the MEDCP and their annual rate of return for the calendar year ended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20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 of Fund</w:t>
            </w:r>
          </w:p>
        </w:tc>
        <w:tc>
          <w:tcPr>
            <w:tcW w:w="40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Annual Return</w:t>
            </w:r>
          </w:p>
        </w:tc>
      </w:tr>
      <w:tr>
        <w:trPr>
          <w:trHeight w:val="316"/>
        </w:trPr>
        <w:tc>
          <w:tcPr>
            <w:tcW w:w="7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SSgA S&amp;P 500 Index (SVSPX)</w:t>
            </w:r>
          </w:p>
        </w:tc>
        <w:tc>
          <w:tcPr>
            <w:tcW w:w="4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28.54%</w:t>
            </w:r>
          </w:p>
        </w:tc>
      </w:tr>
      <w:tr>
        <w:trPr>
          <w:trHeight w:val="265"/>
        </w:trPr>
        <w:tc>
          <w:tcPr>
            <w:tcW w:w="7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Vanguard Developed Markets Index Admiral (VTMGX)</w:t>
            </w:r>
          </w:p>
        </w:tc>
        <w:tc>
          <w:tcPr>
            <w:tcW w:w="4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11.43%</w:t>
            </w:r>
          </w:p>
        </w:tc>
      </w:tr>
      <w:tr>
        <w:trPr>
          <w:trHeight w:val="39"/>
        </w:trPr>
        <w:tc>
          <w:tcPr>
            <w:tcW w:w="7200" w:type="dxa"/>
            <w:vAlign w:val="bottom"/>
            <w:tcBorders>
              <w:bottom w:val="single" w:sz="8" w:color="572C83"/>
            </w:tcBorders>
          </w:tcPr>
          <w:p>
            <w:pPr>
              <w:spacing w:after="0"/>
              <w:rPr>
                <w:sz w:val="3"/>
                <w:szCs w:val="3"/>
                <w:color w:val="auto"/>
              </w:rPr>
            </w:pPr>
          </w:p>
        </w:tc>
        <w:tc>
          <w:tcPr>
            <w:tcW w:w="4040" w:type="dxa"/>
            <w:vAlign w:val="bottom"/>
            <w:tcBorders>
              <w:bottom w:val="single" w:sz="8" w:color="572C83"/>
            </w:tcBorders>
          </w:tcPr>
          <w:p>
            <w:pPr>
              <w:spacing w:after="0"/>
              <w:rPr>
                <w:sz w:val="3"/>
                <w:szCs w:val="3"/>
                <w:color w:val="auto"/>
              </w:rPr>
            </w:pPr>
          </w:p>
        </w:tc>
      </w:tr>
      <w:tr>
        <w:trPr>
          <w:trHeight w:val="309"/>
        </w:trPr>
        <w:tc>
          <w:tcPr>
            <w:tcW w:w="7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Vanguard Emerging Mkts Stock Index Admiral (VEMAX)</w:t>
            </w:r>
          </w:p>
        </w:tc>
        <w:tc>
          <w:tcPr>
            <w:tcW w:w="4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0.86%</w:t>
            </w:r>
          </w:p>
        </w:tc>
      </w:tr>
      <w:tr>
        <w:trPr>
          <w:trHeight w:val="265"/>
        </w:trPr>
        <w:tc>
          <w:tcPr>
            <w:tcW w:w="7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Vanguard Extended Market Index Admiral (VEXAX)</w:t>
            </w:r>
          </w:p>
        </w:tc>
        <w:tc>
          <w:tcPr>
            <w:tcW w:w="4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12.45%</w:t>
            </w:r>
          </w:p>
        </w:tc>
      </w:tr>
      <w:tr>
        <w:trPr>
          <w:trHeight w:val="39"/>
        </w:trPr>
        <w:tc>
          <w:tcPr>
            <w:tcW w:w="7200" w:type="dxa"/>
            <w:vAlign w:val="bottom"/>
            <w:tcBorders>
              <w:bottom w:val="single" w:sz="8" w:color="572C83"/>
            </w:tcBorders>
          </w:tcPr>
          <w:p>
            <w:pPr>
              <w:spacing w:after="0"/>
              <w:rPr>
                <w:sz w:val="3"/>
                <w:szCs w:val="3"/>
                <w:color w:val="auto"/>
              </w:rPr>
            </w:pPr>
          </w:p>
        </w:tc>
        <w:tc>
          <w:tcPr>
            <w:tcW w:w="4040" w:type="dxa"/>
            <w:vAlign w:val="bottom"/>
            <w:tcBorders>
              <w:bottom w:val="single" w:sz="8" w:color="572C83"/>
            </w:tcBorders>
          </w:tcPr>
          <w:p>
            <w:pPr>
              <w:spacing w:after="0"/>
              <w:rPr>
                <w:sz w:val="3"/>
                <w:szCs w:val="3"/>
                <w:color w:val="auto"/>
              </w:rPr>
            </w:pPr>
          </w:p>
        </w:tc>
      </w:tr>
      <w:tr>
        <w:trPr>
          <w:trHeight w:val="309"/>
        </w:trPr>
        <w:tc>
          <w:tcPr>
            <w:tcW w:w="7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Vanguard Federal Money Market Fund (VMFXX)</w:t>
            </w:r>
          </w:p>
        </w:tc>
        <w:tc>
          <w:tcPr>
            <w:tcW w:w="4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0.01%</w:t>
            </w:r>
          </w:p>
        </w:tc>
      </w:tr>
      <w:tr>
        <w:trPr>
          <w:trHeight w:val="265"/>
        </w:trPr>
        <w:tc>
          <w:tcPr>
            <w:tcW w:w="7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Vanguard Inflation Protected Sec Admiral (VAIPX)</w:t>
            </w:r>
          </w:p>
        </w:tc>
        <w:tc>
          <w:tcPr>
            <w:tcW w:w="4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5.68%</w:t>
            </w:r>
          </w:p>
        </w:tc>
      </w:tr>
      <w:tr>
        <w:trPr>
          <w:trHeight w:val="39"/>
        </w:trPr>
        <w:tc>
          <w:tcPr>
            <w:tcW w:w="7200" w:type="dxa"/>
            <w:vAlign w:val="bottom"/>
            <w:tcBorders>
              <w:bottom w:val="single" w:sz="8" w:color="572C83"/>
            </w:tcBorders>
          </w:tcPr>
          <w:p>
            <w:pPr>
              <w:spacing w:after="0"/>
              <w:rPr>
                <w:sz w:val="3"/>
                <w:szCs w:val="3"/>
                <w:color w:val="auto"/>
              </w:rPr>
            </w:pPr>
          </w:p>
        </w:tc>
        <w:tc>
          <w:tcPr>
            <w:tcW w:w="4040" w:type="dxa"/>
            <w:vAlign w:val="bottom"/>
            <w:tcBorders>
              <w:bottom w:val="single" w:sz="8" w:color="572C83"/>
            </w:tcBorders>
          </w:tcPr>
          <w:p>
            <w:pPr>
              <w:spacing w:after="0"/>
              <w:rPr>
                <w:sz w:val="3"/>
                <w:szCs w:val="3"/>
                <w:color w:val="auto"/>
              </w:rPr>
            </w:pPr>
          </w:p>
        </w:tc>
      </w:tr>
      <w:tr>
        <w:trPr>
          <w:trHeight w:val="309"/>
        </w:trPr>
        <w:tc>
          <w:tcPr>
            <w:tcW w:w="7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Vanguard LifeStrategy Moderate Growth Inv (VSMGX)</w:t>
            </w:r>
          </w:p>
        </w:tc>
        <w:tc>
          <w:tcPr>
            <w:tcW w:w="4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10.08%</w:t>
            </w:r>
          </w:p>
        </w:tc>
      </w:tr>
      <w:tr>
        <w:trPr>
          <w:trHeight w:val="265"/>
        </w:trPr>
        <w:tc>
          <w:tcPr>
            <w:tcW w:w="7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Vanguard Short Term Treasury Admiral (VFIRX)</w:t>
            </w:r>
          </w:p>
        </w:tc>
        <w:tc>
          <w:tcPr>
            <w:tcW w:w="4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-0.77%</w:t>
            </w:r>
          </w:p>
        </w:tc>
      </w:tr>
      <w:tr>
        <w:trPr>
          <w:trHeight w:val="39"/>
        </w:trPr>
        <w:tc>
          <w:tcPr>
            <w:tcW w:w="7200" w:type="dxa"/>
            <w:vAlign w:val="bottom"/>
            <w:tcBorders>
              <w:bottom w:val="single" w:sz="8" w:color="572C83"/>
            </w:tcBorders>
          </w:tcPr>
          <w:p>
            <w:pPr>
              <w:spacing w:after="0"/>
              <w:rPr>
                <w:sz w:val="3"/>
                <w:szCs w:val="3"/>
                <w:color w:val="auto"/>
              </w:rPr>
            </w:pPr>
          </w:p>
        </w:tc>
        <w:tc>
          <w:tcPr>
            <w:tcW w:w="4040" w:type="dxa"/>
            <w:vAlign w:val="bottom"/>
            <w:tcBorders>
              <w:bottom w:val="single" w:sz="8" w:color="572C8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Potential Payments Upon Termination or Change in Control</w:t>
      </w:r>
    </w:p>
    <w:p>
      <w:pPr>
        <w:spacing w:after="0" w:line="241" w:lineRule="exact"/>
        <w:rPr>
          <w:sz w:val="20"/>
          <w:szCs w:val="20"/>
          <w:color w:val="auto"/>
        </w:rPr>
      </w:pPr>
    </w:p>
    <w:p>
      <w:pPr>
        <w:ind w:right="420"/>
        <w:spacing w:after="0" w:line="245" w:lineRule="auto"/>
        <w:rPr>
          <w:sz w:val="20"/>
          <w:szCs w:val="20"/>
          <w:color w:val="auto"/>
        </w:rPr>
      </w:pPr>
      <w:r>
        <w:rPr>
          <w:rFonts w:ascii="Arial" w:cs="Arial" w:eastAsia="Arial" w:hAnsi="Arial"/>
          <w:sz w:val="22"/>
          <w:szCs w:val="22"/>
          <w:color w:val="auto"/>
        </w:rPr>
        <w:t>The narrative and tables below describe the potential payments to each NEO upon certain terminations, including following a CIC. In accordance with SEC rules, all information described in this section is presented as if the triggering events occurred on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INVOLUNTARY TERMINATION WITHOUT CAUSE (NON-CHANGE IN CONTROL EVENT)</w:t>
      </w:r>
    </w:p>
    <w:p>
      <w:pPr>
        <w:spacing w:after="0" w:line="10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Generally, we do not enter into ongoing agreements that provide for separation benefits on the NEO’s departure from the Company. However, if we involuntarily terminate an NEO without cause outside of a CIC event, we expect that in most cases, the People and Compensation Committee would offer separation benefits as consideration for protections we would likely seek, such as a release of claims and entering into non-compete, non-solicitation and confidentiality agreements. More specifically, we expect to treat our U.S. salaried NEOs (other than Mr. Van de Put) at least comparably to other U.S. salaried employees whom we involuntarily terminate without cause. For U.S. salaried employees such as our NEOs, our severance plan provides an employee whose job is eliminated with severance pay of up to 12 months based on length of service. Because Mr. Brusadelli is an employee of Mondelēz Italia Services, his separation benefits are comparable to those offered to our other Italian employees whom we involuntarily terminate without cause. Because Mr. Gruber is an employee of Mondelēz Europe GmbH, his separation benefits are comparable to those offered to our other Swiss employees whom we involuntarily terminate without cause.</w:t>
      </w:r>
    </w:p>
    <w:p>
      <w:pPr>
        <w:spacing w:after="0" w:line="150"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The following chart reflects the typical separation benefits that may be offered to a U.S. NEO whom we involuntarily terminate without cause. The People and Compensation Committee would determine actual terms and conditions based on the particular facts in each specific case.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2260" w:type="dxa"/>
            <w:vAlign w:val="bottom"/>
            <w:tcBorders>
              <w:top w:val="single" w:sz="8" w:color="572C83"/>
            </w:tcBorders>
            <w:shd w:val="clear" w:color="auto" w:fill="EBE6F0"/>
          </w:tcPr>
          <w:p>
            <w:pPr>
              <w:ind w:left="80"/>
              <w:spacing w:after="0"/>
              <w:rPr>
                <w:sz w:val="20"/>
                <w:szCs w:val="20"/>
                <w:color w:val="auto"/>
              </w:rPr>
            </w:pPr>
            <w:r>
              <w:rPr>
                <w:rFonts w:ascii="Arial" w:cs="Arial" w:eastAsia="Arial" w:hAnsi="Arial"/>
                <w:sz w:val="22"/>
                <w:szCs w:val="22"/>
                <w:b w:val="1"/>
                <w:bCs w:val="1"/>
                <w:color w:val="auto"/>
              </w:rPr>
              <w:t>Severance Benefits</w:t>
            </w:r>
          </w:p>
        </w:tc>
        <w:tc>
          <w:tcPr>
            <w:tcW w:w="220" w:type="dxa"/>
            <w:vAlign w:val="bottom"/>
            <w:tcBorders>
              <w:top w:val="single" w:sz="8" w:color="572C83"/>
            </w:tcBorders>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760" w:type="dxa"/>
            <w:vAlign w:val="bottom"/>
            <w:tcBorders>
              <w:top w:val="single" w:sz="8" w:color="572C83"/>
            </w:tcBorders>
            <w:shd w:val="clear" w:color="auto" w:fill="EBE6F0"/>
          </w:tcPr>
          <w:p>
            <w:pPr>
              <w:ind w:left="80"/>
              <w:spacing w:after="0"/>
              <w:rPr>
                <w:sz w:val="20"/>
                <w:szCs w:val="20"/>
                <w:color w:val="auto"/>
              </w:rPr>
            </w:pPr>
            <w:r>
              <w:rPr>
                <w:rFonts w:ascii="Arial" w:cs="Arial" w:eastAsia="Arial" w:hAnsi="Arial"/>
                <w:sz w:val="22"/>
                <w:szCs w:val="22"/>
                <w:color w:val="auto"/>
              </w:rPr>
              <w:t>CEO: 24 months of base salary.</w:t>
            </w:r>
          </w:p>
        </w:tc>
      </w:tr>
      <w:tr>
        <w:trPr>
          <w:trHeight w:val="283"/>
        </w:trPr>
        <w:tc>
          <w:tcPr>
            <w:tcW w:w="2260" w:type="dxa"/>
            <w:vAlign w:val="bottom"/>
            <w:shd w:val="clear" w:color="auto" w:fill="EBE6F0"/>
          </w:tcPr>
          <w:p>
            <w:pPr>
              <w:spacing w:after="0"/>
              <w:rPr>
                <w:sz w:val="24"/>
                <w:szCs w:val="24"/>
                <w:color w:val="auto"/>
              </w:rPr>
            </w:pP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760" w:type="dxa"/>
            <w:vAlign w:val="bottom"/>
            <w:shd w:val="clear" w:color="auto" w:fill="EBE6F0"/>
          </w:tcPr>
          <w:p>
            <w:pPr>
              <w:ind w:left="80"/>
              <w:spacing w:after="0"/>
              <w:rPr>
                <w:sz w:val="20"/>
                <w:szCs w:val="20"/>
                <w:color w:val="auto"/>
              </w:rPr>
            </w:pPr>
            <w:r>
              <w:rPr>
                <w:rFonts w:ascii="Arial" w:cs="Arial" w:eastAsia="Arial" w:hAnsi="Arial"/>
                <w:sz w:val="22"/>
                <w:szCs w:val="22"/>
                <w:color w:val="auto"/>
              </w:rPr>
              <w:t>All other NEOs: 12 months of base salary.</w:t>
            </w:r>
          </w:p>
        </w:tc>
      </w:tr>
      <w:tr>
        <w:trPr>
          <w:trHeight w:val="329"/>
        </w:trPr>
        <w:tc>
          <w:tcPr>
            <w:tcW w:w="226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7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Payment in a lump sum.</w:t>
            </w:r>
          </w:p>
        </w:tc>
      </w:tr>
      <w:tr>
        <w:trPr>
          <w:trHeight w:val="262"/>
        </w:trPr>
        <w:tc>
          <w:tcPr>
            <w:tcW w:w="2260" w:type="dxa"/>
            <w:vAlign w:val="bottom"/>
            <w:tcBorders>
              <w:top w:val="single" w:sz="8" w:color="572C83"/>
            </w:tcBorders>
          </w:tcPr>
          <w:p>
            <w:pPr>
              <w:ind w:left="80"/>
              <w:spacing w:after="0"/>
              <w:rPr>
                <w:sz w:val="20"/>
                <w:szCs w:val="20"/>
                <w:color w:val="auto"/>
              </w:rPr>
            </w:pPr>
            <w:r>
              <w:rPr>
                <w:rFonts w:ascii="Arial" w:cs="Arial" w:eastAsia="Arial" w:hAnsi="Arial"/>
                <w:sz w:val="22"/>
                <w:szCs w:val="22"/>
                <w:b w:val="1"/>
                <w:bCs w:val="1"/>
                <w:color w:val="auto"/>
              </w:rPr>
              <w:t>Health and</w:t>
            </w:r>
          </w:p>
        </w:tc>
        <w:tc>
          <w:tcPr>
            <w:tcW w:w="220" w:type="dxa"/>
            <w:vAlign w:val="bottom"/>
            <w:tcBorders>
              <w:top w:val="single" w:sz="8" w:color="572C83"/>
            </w:tcBorders>
          </w:tcPr>
          <w:p>
            <w:pPr>
              <w:ind w:left="80"/>
              <w:spacing w:after="0"/>
              <w:rPr>
                <w:sz w:val="20"/>
                <w:szCs w:val="20"/>
                <w:color w:val="auto"/>
              </w:rPr>
            </w:pPr>
            <w:r>
              <w:rPr>
                <w:rFonts w:ascii="Arial" w:cs="Arial" w:eastAsia="Arial" w:hAnsi="Arial"/>
                <w:sz w:val="22"/>
                <w:szCs w:val="22"/>
                <w:color w:val="582C83"/>
              </w:rPr>
              <w:t>•</w:t>
            </w:r>
          </w:p>
        </w:tc>
        <w:tc>
          <w:tcPr>
            <w:tcW w:w="8760" w:type="dxa"/>
            <w:vAlign w:val="bottom"/>
            <w:tcBorders>
              <w:top w:val="single" w:sz="8" w:color="572C83"/>
            </w:tcBorders>
          </w:tcPr>
          <w:p>
            <w:pPr>
              <w:ind w:left="80"/>
              <w:spacing w:after="0"/>
              <w:rPr>
                <w:sz w:val="20"/>
                <w:szCs w:val="20"/>
                <w:color w:val="auto"/>
              </w:rPr>
            </w:pPr>
            <w:r>
              <w:rPr>
                <w:rFonts w:ascii="Arial" w:cs="Arial" w:eastAsia="Arial" w:hAnsi="Arial"/>
                <w:sz w:val="22"/>
                <w:szCs w:val="22"/>
                <w:color w:val="auto"/>
              </w:rPr>
              <w:t>No continuation of health and welfare benefits coverage.</w:t>
            </w:r>
          </w:p>
        </w:tc>
      </w:tr>
      <w:tr>
        <w:trPr>
          <w:trHeight w:val="297"/>
        </w:trPr>
        <w:tc>
          <w:tcPr>
            <w:tcW w:w="2260" w:type="dxa"/>
            <w:vAlign w:val="bottom"/>
          </w:tcPr>
          <w:p>
            <w:pPr>
              <w:ind w:left="80"/>
              <w:spacing w:after="0"/>
              <w:rPr>
                <w:sz w:val="20"/>
                <w:szCs w:val="20"/>
                <w:color w:val="auto"/>
              </w:rPr>
            </w:pPr>
            <w:r>
              <w:rPr>
                <w:rFonts w:ascii="Arial" w:cs="Arial" w:eastAsia="Arial" w:hAnsi="Arial"/>
                <w:sz w:val="22"/>
                <w:szCs w:val="22"/>
                <w:b w:val="1"/>
                <w:bCs w:val="1"/>
                <w:color w:val="auto"/>
              </w:rPr>
              <w:t>Welfare Benefits</w:t>
            </w:r>
          </w:p>
        </w:tc>
        <w:tc>
          <w:tcPr>
            <w:tcW w:w="220" w:type="dxa"/>
            <w:vAlign w:val="bottom"/>
          </w:tcPr>
          <w:p>
            <w:pPr>
              <w:spacing w:after="0"/>
              <w:rPr>
                <w:sz w:val="24"/>
                <w:szCs w:val="24"/>
                <w:color w:val="auto"/>
              </w:rPr>
            </w:pPr>
          </w:p>
        </w:tc>
        <w:tc>
          <w:tcPr>
            <w:tcW w:w="8760" w:type="dxa"/>
            <w:vAlign w:val="bottom"/>
          </w:tcPr>
          <w:p>
            <w:pPr>
              <w:spacing w:after="0"/>
              <w:rPr>
                <w:sz w:val="24"/>
                <w:szCs w:val="24"/>
                <w:color w:val="auto"/>
              </w:rPr>
            </w:pPr>
          </w:p>
        </w:tc>
      </w:tr>
      <w:tr>
        <w:trPr>
          <w:trHeight w:val="28"/>
        </w:trPr>
        <w:tc>
          <w:tcPr>
            <w:tcW w:w="2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760" w:type="dxa"/>
            <w:vAlign w:val="bottom"/>
          </w:tcPr>
          <w:p>
            <w:pPr>
              <w:spacing w:after="0"/>
              <w:rPr>
                <w:sz w:val="2"/>
                <w:szCs w:val="2"/>
                <w:color w:val="auto"/>
              </w:rPr>
            </w:pPr>
          </w:p>
        </w:tc>
      </w:tr>
      <w:tr>
        <w:trPr>
          <w:trHeight w:val="282"/>
        </w:trPr>
        <w:tc>
          <w:tcPr>
            <w:tcW w:w="226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Outplacement</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8760" w:type="dxa"/>
            <w:vAlign w:val="bottom"/>
            <w:shd w:val="clear" w:color="auto" w:fill="EBE6F0"/>
          </w:tcPr>
          <w:p>
            <w:pPr>
              <w:ind w:left="80"/>
              <w:spacing w:after="0"/>
              <w:rPr>
                <w:sz w:val="20"/>
                <w:szCs w:val="20"/>
                <w:color w:val="auto"/>
              </w:rPr>
            </w:pPr>
            <w:r>
              <w:rPr>
                <w:rFonts w:ascii="Arial" w:cs="Arial" w:eastAsia="Arial" w:hAnsi="Arial"/>
                <w:sz w:val="22"/>
                <w:szCs w:val="22"/>
                <w:color w:val="auto"/>
              </w:rPr>
              <w:t>Outplacement services for up to 12 months.</w:t>
            </w:r>
          </w:p>
        </w:tc>
      </w:tr>
      <w:tr>
        <w:trPr>
          <w:trHeight w:val="319"/>
        </w:trPr>
        <w:tc>
          <w:tcPr>
            <w:tcW w:w="22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b w:val="1"/>
                <w:bCs w:val="1"/>
                <w:color w:val="auto"/>
              </w:rPr>
              <w:t>Services</w:t>
            </w:r>
          </w:p>
        </w:tc>
        <w:tc>
          <w:tcPr>
            <w:tcW w:w="220" w:type="dxa"/>
            <w:vAlign w:val="bottom"/>
            <w:tcBorders>
              <w:bottom w:val="single" w:sz="8" w:color="EBE6F0"/>
            </w:tcBorders>
            <w:shd w:val="clear" w:color="auto" w:fill="EBE6F0"/>
          </w:tcPr>
          <w:p>
            <w:pPr>
              <w:spacing w:after="0"/>
              <w:rPr>
                <w:sz w:val="24"/>
                <w:szCs w:val="24"/>
                <w:color w:val="auto"/>
              </w:rPr>
            </w:pPr>
          </w:p>
        </w:tc>
        <w:tc>
          <w:tcPr>
            <w:tcW w:w="8760" w:type="dxa"/>
            <w:vAlign w:val="bottom"/>
            <w:tcBorders>
              <w:bottom w:val="single" w:sz="8" w:color="EBE6F0"/>
            </w:tcBorders>
            <w:shd w:val="clear" w:color="auto" w:fill="EBE6F0"/>
          </w:tcPr>
          <w:p>
            <w:pPr>
              <w:spacing w:after="0"/>
              <w:rPr>
                <w:sz w:val="24"/>
                <w:szCs w:val="24"/>
                <w:color w:val="auto"/>
              </w:rPr>
            </w:pPr>
          </w:p>
        </w:tc>
      </w:tr>
      <w:tr>
        <w:trPr>
          <w:trHeight w:val="269"/>
        </w:trPr>
        <w:tc>
          <w:tcPr>
            <w:tcW w:w="2260" w:type="dxa"/>
            <w:vAlign w:val="bottom"/>
          </w:tcPr>
          <w:p>
            <w:pPr>
              <w:ind w:left="80"/>
              <w:spacing w:after="0"/>
              <w:rPr>
                <w:sz w:val="20"/>
                <w:szCs w:val="20"/>
                <w:color w:val="auto"/>
              </w:rPr>
            </w:pPr>
            <w:r>
              <w:rPr>
                <w:rFonts w:ascii="Arial" w:cs="Arial" w:eastAsia="Arial" w:hAnsi="Arial"/>
                <w:sz w:val="22"/>
                <w:szCs w:val="22"/>
                <w:b w:val="1"/>
                <w:bCs w:val="1"/>
                <w:color w:val="auto"/>
              </w:rPr>
              <w:t>Treatment of AIP</w:t>
            </w:r>
          </w:p>
        </w:tc>
        <w:tc>
          <w:tcPr>
            <w:tcW w:w="220" w:type="dxa"/>
            <w:vAlign w:val="bottom"/>
          </w:tcPr>
          <w:p>
            <w:pPr>
              <w:ind w:left="80"/>
              <w:spacing w:after="0"/>
              <w:rPr>
                <w:sz w:val="20"/>
                <w:szCs w:val="20"/>
                <w:color w:val="auto"/>
              </w:rPr>
            </w:pPr>
            <w:r>
              <w:rPr>
                <w:rFonts w:ascii="Arial" w:cs="Arial" w:eastAsia="Arial" w:hAnsi="Arial"/>
                <w:sz w:val="22"/>
                <w:szCs w:val="22"/>
                <w:color w:val="582C83"/>
              </w:rPr>
              <w:t>•</w:t>
            </w:r>
          </w:p>
        </w:tc>
        <w:tc>
          <w:tcPr>
            <w:tcW w:w="8760" w:type="dxa"/>
            <w:vAlign w:val="bottom"/>
          </w:tcPr>
          <w:p>
            <w:pPr>
              <w:ind w:left="80"/>
              <w:spacing w:after="0"/>
              <w:rPr>
                <w:sz w:val="20"/>
                <w:szCs w:val="20"/>
                <w:color w:val="auto"/>
              </w:rPr>
            </w:pPr>
            <w:r>
              <w:rPr>
                <w:rFonts w:ascii="Arial" w:cs="Arial" w:eastAsia="Arial" w:hAnsi="Arial"/>
                <w:sz w:val="22"/>
                <w:szCs w:val="22"/>
                <w:color w:val="auto"/>
              </w:rPr>
              <w:t>AIP award based on actual business performance results and prorated based on the</w:t>
            </w:r>
          </w:p>
        </w:tc>
      </w:tr>
      <w:tr>
        <w:trPr>
          <w:trHeight w:val="297"/>
        </w:trPr>
        <w:tc>
          <w:tcPr>
            <w:tcW w:w="2260" w:type="dxa"/>
            <w:vAlign w:val="bottom"/>
          </w:tcPr>
          <w:p>
            <w:pPr>
              <w:ind w:left="80"/>
              <w:spacing w:after="0"/>
              <w:rPr>
                <w:sz w:val="20"/>
                <w:szCs w:val="20"/>
                <w:color w:val="auto"/>
              </w:rPr>
            </w:pPr>
            <w:r>
              <w:rPr>
                <w:rFonts w:ascii="Arial" w:cs="Arial" w:eastAsia="Arial" w:hAnsi="Arial"/>
                <w:sz w:val="22"/>
                <w:szCs w:val="22"/>
                <w:b w:val="1"/>
                <w:bCs w:val="1"/>
                <w:color w:val="auto"/>
              </w:rPr>
              <w:t>Award</w:t>
            </w:r>
          </w:p>
        </w:tc>
        <w:tc>
          <w:tcPr>
            <w:tcW w:w="220" w:type="dxa"/>
            <w:vAlign w:val="bottom"/>
          </w:tcPr>
          <w:p>
            <w:pPr>
              <w:spacing w:after="0"/>
              <w:rPr>
                <w:sz w:val="24"/>
                <w:szCs w:val="24"/>
                <w:color w:val="auto"/>
              </w:rPr>
            </w:pPr>
          </w:p>
        </w:tc>
        <w:tc>
          <w:tcPr>
            <w:tcW w:w="8760" w:type="dxa"/>
            <w:vAlign w:val="bottom"/>
          </w:tcPr>
          <w:p>
            <w:pPr>
              <w:ind w:left="80"/>
              <w:spacing w:after="0"/>
              <w:rPr>
                <w:sz w:val="20"/>
                <w:szCs w:val="20"/>
                <w:color w:val="auto"/>
              </w:rPr>
            </w:pPr>
            <w:r>
              <w:rPr>
                <w:rFonts w:ascii="Arial" w:cs="Arial" w:eastAsia="Arial" w:hAnsi="Arial"/>
                <w:sz w:val="22"/>
                <w:szCs w:val="22"/>
                <w:color w:val="auto"/>
              </w:rPr>
              <w:t>number of days of active employment during the performance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462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47" w:lineRule="exact"/>
        <w:rPr>
          <w:sz w:val="20"/>
          <w:szCs w:val="20"/>
          <w:color w:val="auto"/>
        </w:rPr>
      </w:pPr>
    </w:p>
    <w:p>
      <w:pPr>
        <w:ind w:left="80"/>
        <w:spacing w:after="0"/>
        <w:tabs>
          <w:tab w:leader="none" w:pos="2320" w:val="left"/>
        </w:tabs>
        <w:rPr>
          <w:sz w:val="20"/>
          <w:szCs w:val="20"/>
          <w:color w:val="auto"/>
        </w:rPr>
      </w:pPr>
      <w:r>
        <w:rPr>
          <w:rFonts w:ascii="Arial" w:cs="Arial" w:eastAsia="Arial" w:hAnsi="Arial"/>
          <w:sz w:val="22"/>
          <w:szCs w:val="22"/>
          <w:b w:val="1"/>
          <w:bCs w:val="1"/>
          <w:color w:val="auto"/>
        </w:rPr>
        <w:t>Treatment of PSU</w:t>
      </w:r>
      <w:r>
        <w:rPr>
          <w:sz w:val="20"/>
          <w:szCs w:val="20"/>
          <w:color w:val="auto"/>
        </w:rPr>
        <w:tab/>
      </w:r>
      <w:r>
        <w:rPr>
          <w:rFonts w:ascii="Arial" w:cs="Arial" w:eastAsia="Arial" w:hAnsi="Arial"/>
          <w:sz w:val="21"/>
          <w:szCs w:val="21"/>
          <w:color w:val="582C83"/>
        </w:rPr>
        <w:t xml:space="preserve">• </w:t>
      </w:r>
      <w:r>
        <w:rPr>
          <w:rFonts w:ascii="Arial" w:cs="Arial" w:eastAsia="Arial" w:hAnsi="Arial"/>
          <w:sz w:val="21"/>
          <w:szCs w:val="21"/>
          <w:color w:val="000000"/>
        </w:rPr>
        <w:t>Outstanding PSU grants are generally forfeited; however, the People and Compensation</w:t>
      </w:r>
    </w:p>
    <w:p>
      <w:pPr>
        <w:spacing w:after="0" w:line="12" w:lineRule="exact"/>
        <w:rPr>
          <w:sz w:val="20"/>
          <w:szCs w:val="20"/>
          <w:color w:val="auto"/>
        </w:rPr>
      </w:pPr>
    </w:p>
    <w:p>
      <w:pPr>
        <w:ind w:left="2560" w:right="340" w:hanging="2479"/>
        <w:spacing w:after="0" w:line="237" w:lineRule="auto"/>
        <w:tabs>
          <w:tab w:leader="none" w:pos="2540" w:val="left"/>
        </w:tabs>
        <w:rPr>
          <w:sz w:val="20"/>
          <w:szCs w:val="20"/>
          <w:color w:val="auto"/>
        </w:rPr>
      </w:pPr>
      <w:r>
        <w:rPr>
          <w:rFonts w:ascii="Arial" w:cs="Arial" w:eastAsia="Arial" w:hAnsi="Arial"/>
          <w:sz w:val="22"/>
          <w:szCs w:val="22"/>
          <w:b w:val="1"/>
          <w:bCs w:val="1"/>
          <w:color w:val="auto"/>
        </w:rPr>
        <w:t>Grants</w:t>
      </w:r>
      <w:r>
        <w:rPr>
          <w:sz w:val="20"/>
          <w:szCs w:val="20"/>
          <w:color w:val="auto"/>
        </w:rPr>
        <w:tab/>
      </w:r>
      <w:r>
        <w:rPr>
          <w:rFonts w:ascii="Arial" w:cs="Arial" w:eastAsia="Arial" w:hAnsi="Arial"/>
          <w:sz w:val="22"/>
          <w:szCs w:val="22"/>
          <w:color w:val="auto"/>
        </w:rPr>
        <w:t>Committee may exercise discretion, and has typically done so in company restructuring events, to pro rata vest grants subject to actual Company performance, based on the number of months of active employment during the performance cycle.</w:t>
      </w:r>
    </w:p>
    <w:p>
      <w:pPr>
        <w:ind w:left="2560" w:right="100" w:hanging="217"/>
        <w:spacing w:after="0"/>
        <w:tabs>
          <w:tab w:leader="none" w:pos="2560" w:val="left"/>
        </w:tabs>
        <w:numPr>
          <w:ilvl w:val="0"/>
          <w:numId w:val="83"/>
        </w:numPr>
        <w:rPr>
          <w:rFonts w:ascii="Arial" w:cs="Arial" w:eastAsia="Arial" w:hAnsi="Arial"/>
          <w:sz w:val="22"/>
          <w:szCs w:val="22"/>
          <w:color w:val="582C83"/>
        </w:rPr>
      </w:pPr>
      <w:r>
        <w:rPr>
          <w:rFonts w:ascii="Arial" w:cs="Arial" w:eastAsia="Arial" w:hAnsi="Arial"/>
          <w:sz w:val="22"/>
          <w:szCs w:val="22"/>
          <w:color w:val="auto"/>
        </w:rPr>
        <w:t>Generally, for employees, including NEOs, eligible for retirement, grants pro rata vest, subject to actual Company performance, based on the number of months of active employment during the performance cycle provided the employee is actively employed for at least 90 days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ind w:left="80"/>
              <w:spacing w:after="0"/>
              <w:rPr>
                <w:sz w:val="20"/>
                <w:szCs w:val="20"/>
                <w:color w:val="auto"/>
              </w:rPr>
            </w:pPr>
            <w:r>
              <w:rPr>
                <w:rFonts w:ascii="Arial" w:cs="Arial" w:eastAsia="Arial" w:hAnsi="Arial"/>
                <w:sz w:val="22"/>
                <w:szCs w:val="22"/>
                <w:b w:val="1"/>
                <w:bCs w:val="1"/>
                <w:color w:val="auto"/>
              </w:rPr>
              <w:t>Treatment of Stock</w:t>
            </w:r>
          </w:p>
        </w:tc>
        <w:tc>
          <w:tcPr>
            <w:tcW w:w="9060" w:type="dxa"/>
            <w:vAlign w:val="bottom"/>
          </w:tcPr>
          <w:p>
            <w:pPr>
              <w:ind w:left="1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Unvested stock option grants are generally forfeited; however, the People and</w:t>
            </w:r>
          </w:p>
        </w:tc>
      </w:tr>
      <w:tr>
        <w:trPr>
          <w:trHeight w:val="245"/>
        </w:trPr>
        <w:tc>
          <w:tcPr>
            <w:tcW w:w="2180" w:type="dxa"/>
            <w:vAlign w:val="bottom"/>
          </w:tcPr>
          <w:p>
            <w:pPr>
              <w:ind w:left="80"/>
              <w:spacing w:after="0" w:line="245" w:lineRule="exact"/>
              <w:rPr>
                <w:sz w:val="20"/>
                <w:szCs w:val="20"/>
                <w:color w:val="auto"/>
              </w:rPr>
            </w:pPr>
            <w:r>
              <w:rPr>
                <w:rFonts w:ascii="Arial" w:cs="Arial" w:eastAsia="Arial" w:hAnsi="Arial"/>
                <w:sz w:val="22"/>
                <w:szCs w:val="22"/>
                <w:b w:val="1"/>
                <w:bCs w:val="1"/>
                <w:color w:val="auto"/>
              </w:rPr>
              <w:t>Options</w:t>
            </w:r>
          </w:p>
        </w:tc>
        <w:tc>
          <w:tcPr>
            <w:tcW w:w="9060" w:type="dxa"/>
            <w:vAlign w:val="bottom"/>
          </w:tcPr>
          <w:p>
            <w:pPr>
              <w:ind w:left="380"/>
              <w:spacing w:after="0" w:line="245" w:lineRule="exact"/>
              <w:rPr>
                <w:sz w:val="20"/>
                <w:szCs w:val="20"/>
                <w:color w:val="auto"/>
              </w:rPr>
            </w:pPr>
            <w:r>
              <w:rPr>
                <w:rFonts w:ascii="Arial" w:cs="Arial" w:eastAsia="Arial" w:hAnsi="Arial"/>
                <w:sz w:val="22"/>
                <w:szCs w:val="22"/>
                <w:color w:val="auto"/>
                <w:w w:val="99"/>
              </w:rPr>
              <w:t>Compensation Committee may exercise discretion, and has typically done so in company</w:t>
            </w:r>
          </w:p>
        </w:tc>
      </w:tr>
      <w:tr>
        <w:trPr>
          <w:trHeight w:val="243"/>
        </w:trPr>
        <w:tc>
          <w:tcPr>
            <w:tcW w:w="2180" w:type="dxa"/>
            <w:vAlign w:val="bottom"/>
          </w:tcPr>
          <w:p>
            <w:pPr>
              <w:spacing w:after="0"/>
              <w:rPr>
                <w:sz w:val="21"/>
                <w:szCs w:val="21"/>
                <w:color w:val="auto"/>
              </w:rPr>
            </w:pPr>
          </w:p>
        </w:tc>
        <w:tc>
          <w:tcPr>
            <w:tcW w:w="9060" w:type="dxa"/>
            <w:vAlign w:val="bottom"/>
          </w:tcPr>
          <w:p>
            <w:pPr>
              <w:ind w:left="380"/>
              <w:spacing w:after="0" w:line="243" w:lineRule="exact"/>
              <w:rPr>
                <w:sz w:val="20"/>
                <w:szCs w:val="20"/>
                <w:color w:val="auto"/>
              </w:rPr>
            </w:pPr>
            <w:r>
              <w:rPr>
                <w:rFonts w:ascii="Arial" w:cs="Arial" w:eastAsia="Arial" w:hAnsi="Arial"/>
                <w:sz w:val="22"/>
                <w:szCs w:val="22"/>
                <w:color w:val="auto"/>
              </w:rPr>
              <w:t>restructuring events, to prorate and accelerate the vesting of stock option grants based</w:t>
            </w:r>
          </w:p>
        </w:tc>
      </w:tr>
      <w:tr>
        <w:trPr>
          <w:trHeight w:val="283"/>
        </w:trPr>
        <w:tc>
          <w:tcPr>
            <w:tcW w:w="2180" w:type="dxa"/>
            <w:vAlign w:val="bottom"/>
          </w:tcPr>
          <w:p>
            <w:pPr>
              <w:spacing w:after="0"/>
              <w:rPr>
                <w:sz w:val="24"/>
                <w:szCs w:val="24"/>
                <w:color w:val="auto"/>
              </w:rPr>
            </w:pPr>
          </w:p>
        </w:tc>
        <w:tc>
          <w:tcPr>
            <w:tcW w:w="9060" w:type="dxa"/>
            <w:vAlign w:val="bottom"/>
          </w:tcPr>
          <w:p>
            <w:pPr>
              <w:ind w:left="380"/>
              <w:spacing w:after="0"/>
              <w:rPr>
                <w:sz w:val="20"/>
                <w:szCs w:val="20"/>
                <w:color w:val="auto"/>
              </w:rPr>
            </w:pPr>
            <w:r>
              <w:rPr>
                <w:rFonts w:ascii="Arial" w:cs="Arial" w:eastAsia="Arial" w:hAnsi="Arial"/>
                <w:sz w:val="22"/>
                <w:szCs w:val="22"/>
                <w:color w:val="auto"/>
              </w:rPr>
              <w:t>on the number of months of active employment during the vesting period.</w:t>
            </w:r>
          </w:p>
        </w:tc>
      </w:tr>
      <w:tr>
        <w:trPr>
          <w:trHeight w:val="243"/>
        </w:trPr>
        <w:tc>
          <w:tcPr>
            <w:tcW w:w="2180" w:type="dxa"/>
            <w:vAlign w:val="bottom"/>
          </w:tcPr>
          <w:p>
            <w:pPr>
              <w:spacing w:after="0"/>
              <w:rPr>
                <w:sz w:val="21"/>
                <w:szCs w:val="21"/>
                <w:color w:val="auto"/>
              </w:rPr>
            </w:pPr>
          </w:p>
        </w:tc>
        <w:tc>
          <w:tcPr>
            <w:tcW w:w="9060" w:type="dxa"/>
            <w:vAlign w:val="bottom"/>
          </w:tcPr>
          <w:p>
            <w:pPr>
              <w:ind w:left="16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Generally, for employees, including NEOs, eligible for retirement, stock option grants</w:t>
            </w:r>
          </w:p>
        </w:tc>
      </w:tr>
      <w:tr>
        <w:trPr>
          <w:trHeight w:val="243"/>
        </w:trPr>
        <w:tc>
          <w:tcPr>
            <w:tcW w:w="2180" w:type="dxa"/>
            <w:vAlign w:val="bottom"/>
          </w:tcPr>
          <w:p>
            <w:pPr>
              <w:spacing w:after="0"/>
              <w:rPr>
                <w:sz w:val="21"/>
                <w:szCs w:val="21"/>
                <w:color w:val="auto"/>
              </w:rPr>
            </w:pPr>
          </w:p>
        </w:tc>
        <w:tc>
          <w:tcPr>
            <w:tcW w:w="9060" w:type="dxa"/>
            <w:vAlign w:val="bottom"/>
          </w:tcPr>
          <w:p>
            <w:pPr>
              <w:ind w:left="380"/>
              <w:spacing w:after="0" w:line="243" w:lineRule="exact"/>
              <w:rPr>
                <w:sz w:val="20"/>
                <w:szCs w:val="20"/>
                <w:color w:val="auto"/>
              </w:rPr>
            </w:pPr>
            <w:r>
              <w:rPr>
                <w:rFonts w:ascii="Arial" w:cs="Arial" w:eastAsia="Arial" w:hAnsi="Arial"/>
                <w:sz w:val="22"/>
                <w:szCs w:val="22"/>
                <w:color w:val="auto"/>
              </w:rPr>
              <w:t>continue to vest under the original vesting schedule provided the employee is actively</w:t>
            </w:r>
          </w:p>
        </w:tc>
      </w:tr>
      <w:tr>
        <w:trPr>
          <w:trHeight w:val="283"/>
        </w:trPr>
        <w:tc>
          <w:tcPr>
            <w:tcW w:w="2180" w:type="dxa"/>
            <w:vAlign w:val="bottom"/>
          </w:tcPr>
          <w:p>
            <w:pPr>
              <w:spacing w:after="0"/>
              <w:rPr>
                <w:sz w:val="24"/>
                <w:szCs w:val="24"/>
                <w:color w:val="auto"/>
              </w:rPr>
            </w:pPr>
          </w:p>
        </w:tc>
        <w:tc>
          <w:tcPr>
            <w:tcW w:w="9060" w:type="dxa"/>
            <w:vAlign w:val="bottom"/>
          </w:tcPr>
          <w:p>
            <w:pPr>
              <w:ind w:left="380"/>
              <w:spacing w:after="0"/>
              <w:rPr>
                <w:sz w:val="20"/>
                <w:szCs w:val="20"/>
                <w:color w:val="auto"/>
              </w:rPr>
            </w:pPr>
            <w:r>
              <w:rPr>
                <w:rFonts w:ascii="Arial" w:cs="Arial" w:eastAsia="Arial" w:hAnsi="Arial"/>
                <w:sz w:val="22"/>
                <w:szCs w:val="22"/>
                <w:color w:val="auto"/>
              </w:rPr>
              <w:t>employed for at least 90 days following the grant date.</w:t>
            </w:r>
          </w:p>
        </w:tc>
      </w:tr>
      <w:tr>
        <w:trPr>
          <w:trHeight w:val="243"/>
        </w:trPr>
        <w:tc>
          <w:tcPr>
            <w:tcW w:w="2180" w:type="dxa"/>
            <w:vAlign w:val="bottom"/>
          </w:tcPr>
          <w:p>
            <w:pPr>
              <w:spacing w:after="0"/>
              <w:rPr>
                <w:sz w:val="21"/>
                <w:szCs w:val="21"/>
                <w:color w:val="auto"/>
              </w:rPr>
            </w:pPr>
          </w:p>
        </w:tc>
        <w:tc>
          <w:tcPr>
            <w:tcW w:w="9060" w:type="dxa"/>
            <w:vAlign w:val="bottom"/>
          </w:tcPr>
          <w:p>
            <w:pPr>
              <w:ind w:left="16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An individual who is eligible for retirement has the remaining full term to exercise vested</w:t>
            </w:r>
          </w:p>
        </w:tc>
      </w:tr>
      <w:tr>
        <w:trPr>
          <w:trHeight w:val="243"/>
        </w:trPr>
        <w:tc>
          <w:tcPr>
            <w:tcW w:w="2180" w:type="dxa"/>
            <w:vAlign w:val="bottom"/>
          </w:tcPr>
          <w:p>
            <w:pPr>
              <w:spacing w:after="0"/>
              <w:rPr>
                <w:sz w:val="21"/>
                <w:szCs w:val="21"/>
                <w:color w:val="auto"/>
              </w:rPr>
            </w:pPr>
          </w:p>
        </w:tc>
        <w:tc>
          <w:tcPr>
            <w:tcW w:w="9060" w:type="dxa"/>
            <w:vAlign w:val="bottom"/>
          </w:tcPr>
          <w:p>
            <w:pPr>
              <w:ind w:left="380"/>
              <w:spacing w:after="0" w:line="243" w:lineRule="exact"/>
              <w:rPr>
                <w:sz w:val="20"/>
                <w:szCs w:val="20"/>
                <w:color w:val="auto"/>
              </w:rPr>
            </w:pPr>
            <w:r>
              <w:rPr>
                <w:rFonts w:ascii="Arial" w:cs="Arial" w:eastAsia="Arial" w:hAnsi="Arial"/>
                <w:sz w:val="22"/>
                <w:szCs w:val="22"/>
                <w:color w:val="auto"/>
              </w:rPr>
              <w:t>options. An individual who is involuntarily terminated without cause, who is not retirement</w:t>
            </w:r>
          </w:p>
        </w:tc>
      </w:tr>
      <w:tr>
        <w:trPr>
          <w:trHeight w:val="243"/>
        </w:trPr>
        <w:tc>
          <w:tcPr>
            <w:tcW w:w="2180" w:type="dxa"/>
            <w:vAlign w:val="bottom"/>
          </w:tcPr>
          <w:p>
            <w:pPr>
              <w:spacing w:after="0"/>
              <w:rPr>
                <w:sz w:val="21"/>
                <w:szCs w:val="21"/>
                <w:color w:val="auto"/>
              </w:rPr>
            </w:pPr>
          </w:p>
        </w:tc>
        <w:tc>
          <w:tcPr>
            <w:tcW w:w="9060" w:type="dxa"/>
            <w:vAlign w:val="bottom"/>
          </w:tcPr>
          <w:p>
            <w:pPr>
              <w:ind w:left="380"/>
              <w:spacing w:after="0" w:line="243" w:lineRule="exact"/>
              <w:rPr>
                <w:sz w:val="20"/>
                <w:szCs w:val="20"/>
                <w:color w:val="auto"/>
              </w:rPr>
            </w:pPr>
            <w:r>
              <w:rPr>
                <w:rFonts w:ascii="Arial" w:cs="Arial" w:eastAsia="Arial" w:hAnsi="Arial"/>
                <w:sz w:val="22"/>
                <w:szCs w:val="22"/>
                <w:color w:val="auto"/>
              </w:rPr>
              <w:t>eligible, has until the earlier of 12 months from termination or the end of the term to</w:t>
            </w:r>
          </w:p>
        </w:tc>
      </w:tr>
      <w:tr>
        <w:trPr>
          <w:trHeight w:val="283"/>
        </w:trPr>
        <w:tc>
          <w:tcPr>
            <w:tcW w:w="2180" w:type="dxa"/>
            <w:vAlign w:val="bottom"/>
          </w:tcPr>
          <w:p>
            <w:pPr>
              <w:spacing w:after="0"/>
              <w:rPr>
                <w:sz w:val="24"/>
                <w:szCs w:val="24"/>
                <w:color w:val="auto"/>
              </w:rPr>
            </w:pPr>
          </w:p>
        </w:tc>
        <w:tc>
          <w:tcPr>
            <w:tcW w:w="9060" w:type="dxa"/>
            <w:vAlign w:val="bottom"/>
          </w:tcPr>
          <w:p>
            <w:pPr>
              <w:ind w:left="380"/>
              <w:spacing w:after="0"/>
              <w:rPr>
                <w:sz w:val="20"/>
                <w:szCs w:val="20"/>
                <w:color w:val="auto"/>
              </w:rPr>
            </w:pPr>
            <w:r>
              <w:rPr>
                <w:rFonts w:ascii="Arial" w:cs="Arial" w:eastAsia="Arial" w:hAnsi="Arial"/>
                <w:sz w:val="22"/>
                <w:szCs w:val="22"/>
                <w:color w:val="auto"/>
              </w:rPr>
              <w:t>exercise vested stock options.</w:t>
            </w:r>
          </w:p>
        </w:tc>
      </w:tr>
      <w:tr>
        <w:trPr>
          <w:trHeight w:val="40"/>
        </w:trPr>
        <w:tc>
          <w:tcPr>
            <w:tcW w:w="2180" w:type="dxa"/>
            <w:vAlign w:val="bottom"/>
            <w:tcBorders>
              <w:bottom w:val="single" w:sz="8" w:color="572C83"/>
            </w:tcBorders>
          </w:tcPr>
          <w:p>
            <w:pPr>
              <w:spacing w:after="0"/>
              <w:rPr>
                <w:sz w:val="3"/>
                <w:szCs w:val="3"/>
                <w:color w:val="auto"/>
              </w:rPr>
            </w:pPr>
          </w:p>
        </w:tc>
        <w:tc>
          <w:tcPr>
            <w:tcW w:w="9060" w:type="dxa"/>
            <w:vAlign w:val="bottom"/>
            <w:tcBorders>
              <w:bottom w:val="single" w:sz="8" w:color="572C83"/>
            </w:tcBorders>
          </w:tcPr>
          <w:p>
            <w:pPr>
              <w:spacing w:after="0"/>
              <w:rPr>
                <w:sz w:val="3"/>
                <w:szCs w:val="3"/>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POTENTIAL PAYOUT UPON AN INVOLUNTARY TERMINATION WITHOUT CAUSE</w:t>
      </w:r>
    </w:p>
    <w:p>
      <w:pPr>
        <w:spacing w:after="0" w:line="103" w:lineRule="exact"/>
        <w:rPr>
          <w:sz w:val="20"/>
          <w:szCs w:val="20"/>
          <w:color w:val="auto"/>
        </w:rPr>
      </w:pPr>
    </w:p>
    <w:p>
      <w:pPr>
        <w:ind w:right="220"/>
        <w:spacing w:after="0" w:line="259" w:lineRule="auto"/>
        <w:rPr>
          <w:sz w:val="20"/>
          <w:szCs w:val="20"/>
          <w:color w:val="auto"/>
        </w:rPr>
      </w:pPr>
      <w:r>
        <w:rPr>
          <w:rFonts w:ascii="Arial" w:cs="Arial" w:eastAsia="Arial" w:hAnsi="Arial"/>
          <w:sz w:val="22"/>
          <w:szCs w:val="22"/>
          <w:color w:val="auto"/>
        </w:rPr>
        <w:t>The table below was prepared as if each of the NEOs were involuntarily terminated without cause on December 31,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b w:val="1"/>
                <w:bCs w:val="1"/>
                <w:color w:val="auto"/>
              </w:rPr>
              <w:t>Value of</w:t>
            </w:r>
          </w:p>
        </w:tc>
        <w:tc>
          <w:tcPr>
            <w:tcW w:w="1200" w:type="dxa"/>
            <w:vAlign w:val="bottom"/>
          </w:tcPr>
          <w:p>
            <w:pPr>
              <w:jc w:val="right"/>
              <w:ind w:right="153"/>
              <w:spacing w:after="0"/>
              <w:rPr>
                <w:sz w:val="20"/>
                <w:szCs w:val="20"/>
                <w:color w:val="auto"/>
              </w:rPr>
            </w:pPr>
            <w:r>
              <w:rPr>
                <w:rFonts w:ascii="Arial" w:cs="Arial" w:eastAsia="Arial" w:hAnsi="Arial"/>
                <w:sz w:val="18"/>
                <w:szCs w:val="18"/>
                <w:b w:val="1"/>
                <w:bCs w:val="1"/>
                <w:color w:val="auto"/>
              </w:rPr>
              <w:t>Value of</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Value of</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Annual</w:t>
            </w:r>
          </w:p>
        </w:tc>
        <w:tc>
          <w:tcPr>
            <w:tcW w:w="126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Unvested</w:t>
            </w:r>
          </w:p>
        </w:tc>
        <w:tc>
          <w:tcPr>
            <w:tcW w:w="120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Unvested</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Unvested</w:t>
            </w:r>
          </w:p>
        </w:tc>
        <w:tc>
          <w:tcPr>
            <w:tcW w:w="1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1740" w:type="dxa"/>
            <w:vAlign w:val="bottom"/>
          </w:tcPr>
          <w:p>
            <w:pPr>
              <w:jc w:val="right"/>
              <w:ind w:right="153"/>
              <w:spacing w:after="0"/>
              <w:rPr>
                <w:sz w:val="20"/>
                <w:szCs w:val="20"/>
                <w:color w:val="auto"/>
              </w:rPr>
            </w:pPr>
            <w:r>
              <w:rPr>
                <w:rFonts w:ascii="Arial" w:cs="Arial" w:eastAsia="Arial" w:hAnsi="Arial"/>
                <w:sz w:val="18"/>
                <w:szCs w:val="18"/>
                <w:b w:val="1"/>
                <w:bCs w:val="1"/>
                <w:color w:val="auto"/>
              </w:rPr>
              <w:t>Separation</w:t>
            </w:r>
          </w:p>
        </w:tc>
        <w:tc>
          <w:tcPr>
            <w:tcW w:w="1220" w:type="dxa"/>
            <w:vAlign w:val="bottom"/>
          </w:tcPr>
          <w:p>
            <w:pPr>
              <w:jc w:val="right"/>
              <w:ind w:right="133"/>
              <w:spacing w:after="0"/>
              <w:rPr>
                <w:sz w:val="20"/>
                <w:szCs w:val="20"/>
                <w:color w:val="auto"/>
              </w:rPr>
            </w:pPr>
            <w:r>
              <w:rPr>
                <w:rFonts w:ascii="Arial" w:cs="Arial" w:eastAsia="Arial" w:hAnsi="Arial"/>
                <w:sz w:val="18"/>
                <w:szCs w:val="18"/>
                <w:b w:val="1"/>
                <w:bCs w:val="1"/>
                <w:color w:val="auto"/>
              </w:rPr>
              <w:t>Incentive</w:t>
            </w:r>
          </w:p>
        </w:tc>
        <w:tc>
          <w:tcPr>
            <w:tcW w:w="1260" w:type="dxa"/>
            <w:vAlign w:val="bottom"/>
          </w:tcPr>
          <w:p>
            <w:pPr>
              <w:jc w:val="right"/>
              <w:ind w:right="153"/>
              <w:spacing w:after="0"/>
              <w:rPr>
                <w:sz w:val="20"/>
                <w:szCs w:val="20"/>
                <w:color w:val="auto"/>
              </w:rPr>
            </w:pPr>
            <w:r>
              <w:rPr>
                <w:rFonts w:ascii="Arial" w:cs="Arial" w:eastAsia="Arial" w:hAnsi="Arial"/>
                <w:sz w:val="18"/>
                <w:szCs w:val="18"/>
                <w:b w:val="1"/>
                <w:bCs w:val="1"/>
                <w:color w:val="auto"/>
              </w:rPr>
              <w:t>PSU</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Stock</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Stock</w:t>
            </w:r>
          </w:p>
        </w:tc>
        <w:tc>
          <w:tcPr>
            <w:tcW w:w="1400" w:type="dxa"/>
            <w:vAlign w:val="bottom"/>
          </w:tcPr>
          <w:p>
            <w:pPr>
              <w:jc w:val="right"/>
              <w:ind w:right="93"/>
              <w:spacing w:after="0"/>
              <w:rPr>
                <w:sz w:val="20"/>
                <w:szCs w:val="20"/>
                <w:color w:val="auto"/>
              </w:rPr>
            </w:pPr>
            <w:r>
              <w:rPr>
                <w:rFonts w:ascii="Arial" w:cs="Arial" w:eastAsia="Arial" w:hAnsi="Arial"/>
                <w:sz w:val="18"/>
                <w:szCs w:val="18"/>
                <w:b w:val="1"/>
                <w:bCs w:val="1"/>
                <w:color w:val="auto"/>
                <w:w w:val="99"/>
              </w:rPr>
              <w:t>Outplacement</w:t>
            </w:r>
          </w:p>
        </w:tc>
        <w:tc>
          <w:tcPr>
            <w:tcW w:w="1120" w:type="dxa"/>
            <w:vAlign w:val="bottom"/>
          </w:tcPr>
          <w:p>
            <w:pPr>
              <w:spacing w:after="0"/>
              <w:rPr>
                <w:sz w:val="17"/>
                <w:szCs w:val="17"/>
                <w:color w:val="auto"/>
              </w:rPr>
            </w:pPr>
          </w:p>
        </w:tc>
      </w:tr>
      <w:tr>
        <w:trPr>
          <w:trHeight w:val="239"/>
        </w:trPr>
        <w:tc>
          <w:tcPr>
            <w:tcW w:w="2180" w:type="dxa"/>
            <w:vAlign w:val="bottom"/>
          </w:tcPr>
          <w:p>
            <w:pPr>
              <w:spacing w:after="0"/>
              <w:rPr>
                <w:sz w:val="20"/>
                <w:szCs w:val="20"/>
                <w:color w:val="auto"/>
              </w:rPr>
            </w:pPr>
          </w:p>
        </w:tc>
        <w:tc>
          <w:tcPr>
            <w:tcW w:w="1740" w:type="dxa"/>
            <w:vAlign w:val="bottom"/>
          </w:tcPr>
          <w:p>
            <w:pPr>
              <w:jc w:val="right"/>
              <w:ind w:right="193"/>
              <w:spacing w:after="0" w:line="240" w:lineRule="exact"/>
              <w:rPr>
                <w:sz w:val="20"/>
                <w:szCs w:val="20"/>
                <w:color w:val="auto"/>
              </w:rPr>
            </w:pPr>
            <w:r>
              <w:rPr>
                <w:rFonts w:ascii="Arial" w:cs="Arial" w:eastAsia="Arial" w:hAnsi="Arial"/>
                <w:sz w:val="17"/>
                <w:szCs w:val="17"/>
                <w:b w:val="1"/>
                <w:bCs w:val="1"/>
                <w:color w:val="auto"/>
              </w:rPr>
              <w:t>Pay</w:t>
            </w:r>
            <w:r>
              <w:rPr>
                <w:rFonts w:ascii="Arial" w:cs="Arial" w:eastAsia="Arial" w:hAnsi="Arial"/>
                <w:sz w:val="27"/>
                <w:szCs w:val="27"/>
                <w:b w:val="1"/>
                <w:bCs w:val="1"/>
                <w:color w:val="auto"/>
                <w:vertAlign w:val="superscript"/>
              </w:rPr>
              <w:t>(1)</w:t>
            </w:r>
          </w:p>
        </w:tc>
        <w:tc>
          <w:tcPr>
            <w:tcW w:w="1220" w:type="dxa"/>
            <w:vAlign w:val="bottom"/>
          </w:tcPr>
          <w:p>
            <w:pPr>
              <w:jc w:val="right"/>
              <w:ind w:right="173"/>
              <w:spacing w:after="0" w:line="240" w:lineRule="exact"/>
              <w:rPr>
                <w:sz w:val="20"/>
                <w:szCs w:val="20"/>
                <w:color w:val="auto"/>
              </w:rPr>
            </w:pPr>
            <w:r>
              <w:rPr>
                <w:rFonts w:ascii="Arial" w:cs="Arial" w:eastAsia="Arial" w:hAnsi="Arial"/>
                <w:sz w:val="17"/>
                <w:szCs w:val="17"/>
                <w:b w:val="1"/>
                <w:bCs w:val="1"/>
                <w:color w:val="auto"/>
              </w:rPr>
              <w:t>Award</w:t>
            </w:r>
            <w:r>
              <w:rPr>
                <w:rFonts w:ascii="Arial" w:cs="Arial" w:eastAsia="Arial" w:hAnsi="Arial"/>
                <w:sz w:val="27"/>
                <w:szCs w:val="27"/>
                <w:b w:val="1"/>
                <w:bCs w:val="1"/>
                <w:color w:val="auto"/>
                <w:vertAlign w:val="superscript"/>
              </w:rPr>
              <w:t>(2)</w:t>
            </w:r>
          </w:p>
        </w:tc>
        <w:tc>
          <w:tcPr>
            <w:tcW w:w="1260" w:type="dxa"/>
            <w:vAlign w:val="bottom"/>
          </w:tcPr>
          <w:p>
            <w:pPr>
              <w:jc w:val="right"/>
              <w:ind w:right="15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(3)</w:t>
            </w:r>
          </w:p>
        </w:tc>
        <w:tc>
          <w:tcPr>
            <w:tcW w:w="1200" w:type="dxa"/>
            <w:vAlign w:val="bottom"/>
          </w:tcPr>
          <w:p>
            <w:pPr>
              <w:jc w:val="right"/>
              <w:ind w:right="11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(4)</w:t>
            </w:r>
          </w:p>
        </w:tc>
        <w:tc>
          <w:tcPr>
            <w:tcW w:w="1120" w:type="dxa"/>
            <w:vAlign w:val="bottom"/>
          </w:tcPr>
          <w:p>
            <w:pPr>
              <w:jc w:val="right"/>
              <w:spacing w:after="0" w:line="240" w:lineRule="exact"/>
              <w:rPr>
                <w:sz w:val="20"/>
                <w:szCs w:val="20"/>
                <w:color w:val="auto"/>
              </w:rPr>
            </w:pPr>
            <w:r>
              <w:rPr>
                <w:rFonts w:ascii="Arial" w:cs="Arial" w:eastAsia="Arial" w:hAnsi="Arial"/>
                <w:sz w:val="17"/>
                <w:szCs w:val="17"/>
                <w:b w:val="1"/>
                <w:bCs w:val="1"/>
                <w:color w:val="auto"/>
              </w:rPr>
              <w:t>Options</w:t>
            </w:r>
            <w:r>
              <w:rPr>
                <w:rFonts w:ascii="Arial" w:cs="Arial" w:eastAsia="Arial" w:hAnsi="Arial"/>
                <w:sz w:val="27"/>
                <w:szCs w:val="27"/>
                <w:b w:val="1"/>
                <w:bCs w:val="1"/>
                <w:color w:val="auto"/>
                <w:vertAlign w:val="superscript"/>
              </w:rPr>
              <w:t>(4)</w:t>
            </w:r>
          </w:p>
        </w:tc>
        <w:tc>
          <w:tcPr>
            <w:tcW w:w="1400" w:type="dxa"/>
            <w:vAlign w:val="bottom"/>
          </w:tcPr>
          <w:p>
            <w:pPr>
              <w:jc w:val="right"/>
              <w:ind w:right="93"/>
              <w:spacing w:after="0" w:line="240" w:lineRule="exact"/>
              <w:rPr>
                <w:sz w:val="20"/>
                <w:szCs w:val="20"/>
                <w:color w:val="auto"/>
              </w:rPr>
            </w:pPr>
            <w:r>
              <w:rPr>
                <w:rFonts w:ascii="Arial" w:cs="Arial" w:eastAsia="Arial" w:hAnsi="Arial"/>
                <w:sz w:val="17"/>
                <w:szCs w:val="17"/>
                <w:b w:val="1"/>
                <w:bCs w:val="1"/>
                <w:color w:val="auto"/>
              </w:rPr>
              <w:t>Services</w:t>
            </w:r>
            <w:r>
              <w:rPr>
                <w:rFonts w:ascii="Arial" w:cs="Arial" w:eastAsia="Arial" w:hAnsi="Arial"/>
                <w:sz w:val="27"/>
                <w:szCs w:val="27"/>
                <w:b w:val="1"/>
                <w:bCs w:val="1"/>
                <w:color w:val="auto"/>
                <w:vertAlign w:val="superscript"/>
              </w:rPr>
              <w:t>(5)</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5"/>
        </w:trPr>
        <w:tc>
          <w:tcPr>
            <w:tcW w:w="2180" w:type="dxa"/>
            <w:vAlign w:val="bottom"/>
            <w:tcBorders>
              <w:bottom w:val="single" w:sz="8" w:color="582C83"/>
            </w:tcBorders>
          </w:tcPr>
          <w:p>
            <w:pPr>
              <w:ind w:left="60"/>
              <w:spacing w:after="0"/>
              <w:rPr>
                <w:sz w:val="20"/>
                <w:szCs w:val="20"/>
                <w:color w:val="auto"/>
              </w:rPr>
            </w:pPr>
            <w:r>
              <w:rPr>
                <w:rFonts w:ascii="Arial" w:cs="Arial" w:eastAsia="Arial" w:hAnsi="Arial"/>
                <w:sz w:val="18"/>
                <w:szCs w:val="18"/>
                <w:b w:val="1"/>
                <w:bCs w:val="1"/>
                <w:color w:val="auto"/>
              </w:rPr>
              <w:t>Name</w:t>
            </w:r>
          </w:p>
        </w:tc>
        <w:tc>
          <w:tcPr>
            <w:tcW w:w="1740" w:type="dxa"/>
            <w:vAlign w:val="bottom"/>
            <w:tcBorders>
              <w:bottom w:val="single" w:sz="8" w:color="582C83"/>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582C83"/>
            </w:tcBorders>
          </w:tcPr>
          <w:p>
            <w:pPr>
              <w:jc w:val="right"/>
              <w:ind w:right="133"/>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582C83"/>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582C83"/>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582C83"/>
            </w:tcBorders>
          </w:tcPr>
          <w:p>
            <w:pPr>
              <w:jc w:val="right"/>
              <w:ind w:right="93"/>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315"/>
        </w:trPr>
        <w:tc>
          <w:tcPr>
            <w:tcW w:w="21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Van de Put, Dirk</w:t>
            </w:r>
          </w:p>
        </w:tc>
        <w:tc>
          <w:tcPr>
            <w:tcW w:w="174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3,000,000</w:t>
            </w:r>
          </w:p>
        </w:tc>
        <w:tc>
          <w:tcPr>
            <w:tcW w:w="1220" w:type="dxa"/>
            <w:vAlign w:val="bottom"/>
            <w:tcBorders>
              <w:bottom w:val="single" w:sz="8" w:color="EBE6F0"/>
            </w:tcBorders>
            <w:shd w:val="clear" w:color="auto" w:fill="EBE6F0"/>
          </w:tcPr>
          <w:p>
            <w:pPr>
              <w:jc w:val="right"/>
              <w:ind w:right="133"/>
              <w:spacing w:after="0"/>
              <w:rPr>
                <w:sz w:val="20"/>
                <w:szCs w:val="20"/>
                <w:color w:val="auto"/>
              </w:rPr>
            </w:pPr>
            <w:r>
              <w:rPr>
                <w:rFonts w:ascii="Arial" w:cs="Arial" w:eastAsia="Arial" w:hAnsi="Arial"/>
                <w:sz w:val="18"/>
                <w:szCs w:val="18"/>
                <w:color w:val="auto"/>
              </w:rPr>
              <w:t>2,525,250</w:t>
            </w:r>
          </w:p>
        </w:tc>
        <w:tc>
          <w:tcPr>
            <w:tcW w:w="126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BE6F0"/>
            </w:tcBorders>
            <w:shd w:val="clear" w:color="auto" w:fill="EBE6F0"/>
          </w:tcPr>
          <w:p>
            <w:pPr>
              <w:jc w:val="right"/>
              <w:ind w:right="11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BE6F0"/>
            </w:tcBorders>
            <w:shd w:val="clear" w:color="auto" w:fill="EBE6F0"/>
          </w:tcPr>
          <w:p>
            <w:pPr>
              <w:jc w:val="right"/>
              <w:ind w:right="93"/>
              <w:spacing w:after="0"/>
              <w:rPr>
                <w:sz w:val="20"/>
                <w:szCs w:val="20"/>
                <w:color w:val="auto"/>
              </w:rPr>
            </w:pPr>
            <w:r>
              <w:rPr>
                <w:rFonts w:ascii="Arial" w:cs="Arial" w:eastAsia="Arial" w:hAnsi="Arial"/>
                <w:sz w:val="18"/>
                <w:szCs w:val="18"/>
                <w:color w:val="auto"/>
              </w:rPr>
              <w:t>12,500</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5,537,750</w:t>
            </w:r>
          </w:p>
        </w:tc>
      </w:tr>
      <w:tr>
        <w:trPr>
          <w:trHeight w:val="265"/>
        </w:trPr>
        <w:tc>
          <w:tcPr>
            <w:tcW w:w="2180" w:type="dxa"/>
            <w:vAlign w:val="bottom"/>
            <w:tcBorders>
              <w:top w:val="single" w:sz="8" w:color="572C83"/>
            </w:tcBorders>
          </w:tcPr>
          <w:p>
            <w:pPr>
              <w:ind w:left="60"/>
              <w:spacing w:after="0"/>
              <w:rPr>
                <w:sz w:val="20"/>
                <w:szCs w:val="20"/>
                <w:color w:val="auto"/>
              </w:rPr>
            </w:pPr>
            <w:r>
              <w:rPr>
                <w:rFonts w:ascii="Arial" w:cs="Arial" w:eastAsia="Arial" w:hAnsi="Arial"/>
                <w:sz w:val="18"/>
                <w:szCs w:val="18"/>
                <w:color w:val="auto"/>
              </w:rPr>
              <w:t>Zaramella, Luca</w:t>
            </w:r>
          </w:p>
        </w:tc>
        <w:tc>
          <w:tcPr>
            <w:tcW w:w="1740" w:type="dxa"/>
            <w:vAlign w:val="bottom"/>
            <w:tcBorders>
              <w:top w:val="single" w:sz="8" w:color="572C83"/>
            </w:tcBorders>
          </w:tcPr>
          <w:p>
            <w:pPr>
              <w:jc w:val="right"/>
              <w:ind w:right="153"/>
              <w:spacing w:after="0"/>
              <w:rPr>
                <w:sz w:val="20"/>
                <w:szCs w:val="20"/>
                <w:color w:val="auto"/>
              </w:rPr>
            </w:pPr>
            <w:r>
              <w:rPr>
                <w:rFonts w:ascii="Arial" w:cs="Arial" w:eastAsia="Arial" w:hAnsi="Arial"/>
                <w:sz w:val="18"/>
                <w:szCs w:val="18"/>
                <w:color w:val="auto"/>
              </w:rPr>
              <w:t>850,000</w:t>
            </w:r>
          </w:p>
        </w:tc>
        <w:tc>
          <w:tcPr>
            <w:tcW w:w="1220" w:type="dxa"/>
            <w:vAlign w:val="bottom"/>
            <w:tcBorders>
              <w:top w:val="single" w:sz="8" w:color="572C83"/>
            </w:tcBorders>
          </w:tcPr>
          <w:p>
            <w:pPr>
              <w:jc w:val="right"/>
              <w:ind w:right="133"/>
              <w:spacing w:after="0"/>
              <w:rPr>
                <w:sz w:val="20"/>
                <w:szCs w:val="20"/>
                <w:color w:val="auto"/>
              </w:rPr>
            </w:pPr>
            <w:r>
              <w:rPr>
                <w:rFonts w:ascii="Arial" w:cs="Arial" w:eastAsia="Arial" w:hAnsi="Arial"/>
                <w:sz w:val="18"/>
                <w:szCs w:val="18"/>
                <w:color w:val="auto"/>
              </w:rPr>
              <w:t>773,500</w:t>
            </w:r>
          </w:p>
        </w:tc>
        <w:tc>
          <w:tcPr>
            <w:tcW w:w="1260" w:type="dxa"/>
            <w:vAlign w:val="bottom"/>
            <w:tcBorders>
              <w:top w:val="single" w:sz="8" w:color="572C83"/>
            </w:tcBorders>
          </w:tcPr>
          <w:p>
            <w:pPr>
              <w:jc w:val="right"/>
              <w:ind w:right="153"/>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572C83"/>
            </w:tcBorders>
          </w:tcPr>
          <w:p>
            <w:pPr>
              <w:jc w:val="right"/>
              <w:ind w:right="11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572C83"/>
            </w:tcBorders>
          </w:tcPr>
          <w:p>
            <w:pPr>
              <w:jc w:val="right"/>
              <w:ind w:right="93"/>
              <w:spacing w:after="0"/>
              <w:rPr>
                <w:sz w:val="20"/>
                <w:szCs w:val="20"/>
                <w:color w:val="auto"/>
              </w:rPr>
            </w:pPr>
            <w:r>
              <w:rPr>
                <w:rFonts w:ascii="Arial" w:cs="Arial" w:eastAsia="Arial" w:hAnsi="Arial"/>
                <w:sz w:val="18"/>
                <w:szCs w:val="18"/>
                <w:color w:val="auto"/>
              </w:rPr>
              <w:t>12,500</w:t>
            </w:r>
          </w:p>
        </w:tc>
        <w:tc>
          <w:tcPr>
            <w:tcW w:w="112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1,636,000</w:t>
            </w:r>
          </w:p>
        </w:tc>
      </w:tr>
      <w:tr>
        <w:trPr>
          <w:trHeight w:val="39"/>
        </w:trPr>
        <w:tc>
          <w:tcPr>
            <w:tcW w:w="2180" w:type="dxa"/>
            <w:vAlign w:val="bottom"/>
            <w:tcBorders>
              <w:bottom w:val="single" w:sz="8" w:color="572C83"/>
            </w:tcBorders>
          </w:tcPr>
          <w:p>
            <w:pPr>
              <w:spacing w:after="0"/>
              <w:rPr>
                <w:sz w:val="3"/>
                <w:szCs w:val="3"/>
                <w:color w:val="auto"/>
              </w:rPr>
            </w:pPr>
          </w:p>
        </w:tc>
        <w:tc>
          <w:tcPr>
            <w:tcW w:w="1740" w:type="dxa"/>
            <w:vAlign w:val="bottom"/>
            <w:tcBorders>
              <w:bottom w:val="single" w:sz="8" w:color="572C83"/>
            </w:tcBorders>
          </w:tcPr>
          <w:p>
            <w:pPr>
              <w:spacing w:after="0"/>
              <w:rPr>
                <w:sz w:val="3"/>
                <w:szCs w:val="3"/>
                <w:color w:val="auto"/>
              </w:rPr>
            </w:pPr>
          </w:p>
        </w:tc>
        <w:tc>
          <w:tcPr>
            <w:tcW w:w="122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200" w:type="dxa"/>
            <w:vAlign w:val="bottom"/>
            <w:tcBorders>
              <w:bottom w:val="single" w:sz="8" w:color="572C83"/>
            </w:tcBorders>
          </w:tcPr>
          <w:p>
            <w:pPr>
              <w:spacing w:after="0"/>
              <w:rPr>
                <w:sz w:val="3"/>
                <w:szCs w:val="3"/>
                <w:color w:val="auto"/>
              </w:rPr>
            </w:pPr>
          </w:p>
        </w:tc>
        <w:tc>
          <w:tcPr>
            <w:tcW w:w="1120" w:type="dxa"/>
            <w:vAlign w:val="bottom"/>
            <w:tcBorders>
              <w:bottom w:val="single" w:sz="8" w:color="572C83"/>
            </w:tcBorders>
          </w:tcPr>
          <w:p>
            <w:pPr>
              <w:spacing w:after="0"/>
              <w:rPr>
                <w:sz w:val="3"/>
                <w:szCs w:val="3"/>
                <w:color w:val="auto"/>
              </w:rPr>
            </w:pPr>
          </w:p>
        </w:tc>
        <w:tc>
          <w:tcPr>
            <w:tcW w:w="1400" w:type="dxa"/>
            <w:vAlign w:val="bottom"/>
            <w:tcBorders>
              <w:bottom w:val="single" w:sz="8" w:color="572C83"/>
            </w:tcBorders>
          </w:tcPr>
          <w:p>
            <w:pPr>
              <w:spacing w:after="0"/>
              <w:rPr>
                <w:sz w:val="3"/>
                <w:szCs w:val="3"/>
                <w:color w:val="auto"/>
              </w:rPr>
            </w:pPr>
          </w:p>
        </w:tc>
        <w:tc>
          <w:tcPr>
            <w:tcW w:w="1120" w:type="dxa"/>
            <w:vAlign w:val="bottom"/>
            <w:tcBorders>
              <w:bottom w:val="single" w:sz="8" w:color="572C83"/>
            </w:tcBorders>
          </w:tcPr>
          <w:p>
            <w:pPr>
              <w:spacing w:after="0"/>
              <w:rPr>
                <w:sz w:val="3"/>
                <w:szCs w:val="3"/>
                <w:color w:val="auto"/>
              </w:rPr>
            </w:pPr>
          </w:p>
        </w:tc>
      </w:tr>
      <w:tr>
        <w:trPr>
          <w:trHeight w:val="309"/>
        </w:trPr>
        <w:tc>
          <w:tcPr>
            <w:tcW w:w="21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Brusadelli, Maurizio</w:t>
            </w:r>
          </w:p>
        </w:tc>
        <w:tc>
          <w:tcPr>
            <w:tcW w:w="174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12,516,160</w:t>
            </w:r>
          </w:p>
        </w:tc>
        <w:tc>
          <w:tcPr>
            <w:tcW w:w="1220" w:type="dxa"/>
            <w:vAlign w:val="bottom"/>
            <w:tcBorders>
              <w:bottom w:val="single" w:sz="8" w:color="EBE6F0"/>
            </w:tcBorders>
            <w:shd w:val="clear" w:color="auto" w:fill="EBE6F0"/>
          </w:tcPr>
          <w:p>
            <w:pPr>
              <w:jc w:val="right"/>
              <w:ind w:right="133"/>
              <w:spacing w:after="0"/>
              <w:rPr>
                <w:sz w:val="20"/>
                <w:szCs w:val="20"/>
                <w:color w:val="auto"/>
              </w:rPr>
            </w:pPr>
            <w:r>
              <w:rPr>
                <w:rFonts w:ascii="Arial" w:cs="Arial" w:eastAsia="Arial" w:hAnsi="Arial"/>
                <w:sz w:val="18"/>
                <w:szCs w:val="18"/>
                <w:color w:val="auto"/>
              </w:rPr>
              <w:t>915,229</w:t>
            </w:r>
          </w:p>
        </w:tc>
        <w:tc>
          <w:tcPr>
            <w:tcW w:w="126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EBE6F0"/>
            </w:tcBorders>
            <w:shd w:val="clear" w:color="auto" w:fill="EBE6F0"/>
          </w:tcPr>
          <w:p>
            <w:pPr>
              <w:jc w:val="right"/>
              <w:ind w:right="113"/>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BE6F0"/>
            </w:tcBorders>
            <w:shd w:val="clear" w:color="auto" w:fill="EBE6F0"/>
          </w:tcPr>
          <w:p>
            <w:pPr>
              <w:jc w:val="right"/>
              <w:ind w:right="93"/>
              <w:spacing w:after="0"/>
              <w:rPr>
                <w:sz w:val="20"/>
                <w:szCs w:val="20"/>
                <w:color w:val="auto"/>
              </w:rPr>
            </w:pPr>
            <w:r>
              <w:rPr>
                <w:rFonts w:ascii="Arial" w:cs="Arial" w:eastAsia="Arial" w:hAnsi="Arial"/>
                <w:sz w:val="18"/>
                <w:szCs w:val="18"/>
                <w:color w:val="auto"/>
              </w:rPr>
              <w:t>33,972</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13,465,361</w:t>
            </w:r>
          </w:p>
        </w:tc>
      </w:tr>
      <w:tr>
        <w:trPr>
          <w:trHeight w:val="265"/>
        </w:trPr>
        <w:tc>
          <w:tcPr>
            <w:tcW w:w="2180" w:type="dxa"/>
            <w:vAlign w:val="bottom"/>
            <w:tcBorders>
              <w:top w:val="single" w:sz="8" w:color="572C83"/>
            </w:tcBorders>
          </w:tcPr>
          <w:p>
            <w:pPr>
              <w:ind w:left="60"/>
              <w:spacing w:after="0"/>
              <w:rPr>
                <w:sz w:val="20"/>
                <w:szCs w:val="20"/>
                <w:color w:val="auto"/>
              </w:rPr>
            </w:pPr>
            <w:r>
              <w:rPr>
                <w:rFonts w:ascii="Arial" w:cs="Arial" w:eastAsia="Arial" w:hAnsi="Arial"/>
                <w:sz w:val="18"/>
                <w:szCs w:val="18"/>
                <w:color w:val="auto"/>
              </w:rPr>
              <w:t>Gruber, Vinzenz</w:t>
            </w:r>
          </w:p>
        </w:tc>
        <w:tc>
          <w:tcPr>
            <w:tcW w:w="1740" w:type="dxa"/>
            <w:vAlign w:val="bottom"/>
            <w:tcBorders>
              <w:top w:val="single" w:sz="8" w:color="572C83"/>
            </w:tcBorders>
          </w:tcPr>
          <w:p>
            <w:pPr>
              <w:jc w:val="right"/>
              <w:ind w:right="153"/>
              <w:spacing w:after="0"/>
              <w:rPr>
                <w:sz w:val="20"/>
                <w:szCs w:val="20"/>
                <w:color w:val="auto"/>
              </w:rPr>
            </w:pPr>
            <w:r>
              <w:rPr>
                <w:rFonts w:ascii="Arial" w:cs="Arial" w:eastAsia="Arial" w:hAnsi="Arial"/>
                <w:sz w:val="18"/>
                <w:szCs w:val="18"/>
                <w:color w:val="auto"/>
              </w:rPr>
              <w:t>608,304</w:t>
            </w:r>
          </w:p>
        </w:tc>
        <w:tc>
          <w:tcPr>
            <w:tcW w:w="1220" w:type="dxa"/>
            <w:vAlign w:val="bottom"/>
            <w:tcBorders>
              <w:top w:val="single" w:sz="8" w:color="572C83"/>
            </w:tcBorders>
          </w:tcPr>
          <w:p>
            <w:pPr>
              <w:jc w:val="right"/>
              <w:ind w:right="133"/>
              <w:spacing w:after="0"/>
              <w:rPr>
                <w:sz w:val="20"/>
                <w:szCs w:val="20"/>
                <w:color w:val="auto"/>
              </w:rPr>
            </w:pPr>
            <w:r>
              <w:rPr>
                <w:rFonts w:ascii="Arial" w:cs="Arial" w:eastAsia="Arial" w:hAnsi="Arial"/>
                <w:sz w:val="18"/>
                <w:szCs w:val="18"/>
                <w:color w:val="auto"/>
              </w:rPr>
              <w:t>691,904</w:t>
            </w:r>
          </w:p>
        </w:tc>
        <w:tc>
          <w:tcPr>
            <w:tcW w:w="1260" w:type="dxa"/>
            <w:vAlign w:val="bottom"/>
            <w:tcBorders>
              <w:top w:val="single" w:sz="8" w:color="572C83"/>
            </w:tcBorders>
          </w:tcPr>
          <w:p>
            <w:pPr>
              <w:jc w:val="right"/>
              <w:ind w:right="153"/>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572C83"/>
            </w:tcBorders>
          </w:tcPr>
          <w:p>
            <w:pPr>
              <w:jc w:val="right"/>
              <w:ind w:right="11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572C83"/>
            </w:tcBorders>
          </w:tcPr>
          <w:p>
            <w:pPr>
              <w:jc w:val="right"/>
              <w:ind w:right="93"/>
              <w:spacing w:after="0"/>
              <w:rPr>
                <w:sz w:val="20"/>
                <w:szCs w:val="20"/>
                <w:color w:val="auto"/>
              </w:rPr>
            </w:pPr>
            <w:r>
              <w:rPr>
                <w:rFonts w:ascii="Arial" w:cs="Arial" w:eastAsia="Arial" w:hAnsi="Arial"/>
                <w:sz w:val="18"/>
                <w:szCs w:val="18"/>
                <w:color w:val="auto"/>
              </w:rPr>
              <w:t>5,461</w:t>
            </w:r>
          </w:p>
        </w:tc>
        <w:tc>
          <w:tcPr>
            <w:tcW w:w="112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1,305,669</w:t>
            </w:r>
          </w:p>
        </w:tc>
      </w:tr>
      <w:tr>
        <w:trPr>
          <w:trHeight w:val="39"/>
        </w:trPr>
        <w:tc>
          <w:tcPr>
            <w:tcW w:w="2180" w:type="dxa"/>
            <w:vAlign w:val="bottom"/>
            <w:tcBorders>
              <w:bottom w:val="single" w:sz="8" w:color="572C83"/>
            </w:tcBorders>
          </w:tcPr>
          <w:p>
            <w:pPr>
              <w:spacing w:after="0"/>
              <w:rPr>
                <w:sz w:val="3"/>
                <w:szCs w:val="3"/>
                <w:color w:val="auto"/>
              </w:rPr>
            </w:pPr>
          </w:p>
        </w:tc>
        <w:tc>
          <w:tcPr>
            <w:tcW w:w="1740" w:type="dxa"/>
            <w:vAlign w:val="bottom"/>
            <w:tcBorders>
              <w:bottom w:val="single" w:sz="8" w:color="572C83"/>
            </w:tcBorders>
          </w:tcPr>
          <w:p>
            <w:pPr>
              <w:spacing w:after="0"/>
              <w:rPr>
                <w:sz w:val="3"/>
                <w:szCs w:val="3"/>
                <w:color w:val="auto"/>
              </w:rPr>
            </w:pPr>
          </w:p>
        </w:tc>
        <w:tc>
          <w:tcPr>
            <w:tcW w:w="122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200" w:type="dxa"/>
            <w:vAlign w:val="bottom"/>
            <w:tcBorders>
              <w:bottom w:val="single" w:sz="8" w:color="572C83"/>
            </w:tcBorders>
          </w:tcPr>
          <w:p>
            <w:pPr>
              <w:spacing w:after="0"/>
              <w:rPr>
                <w:sz w:val="3"/>
                <w:szCs w:val="3"/>
                <w:color w:val="auto"/>
              </w:rPr>
            </w:pPr>
          </w:p>
        </w:tc>
        <w:tc>
          <w:tcPr>
            <w:tcW w:w="1120" w:type="dxa"/>
            <w:vAlign w:val="bottom"/>
            <w:tcBorders>
              <w:bottom w:val="single" w:sz="8" w:color="572C83"/>
            </w:tcBorders>
          </w:tcPr>
          <w:p>
            <w:pPr>
              <w:spacing w:after="0"/>
              <w:rPr>
                <w:sz w:val="3"/>
                <w:szCs w:val="3"/>
                <w:color w:val="auto"/>
              </w:rPr>
            </w:pPr>
          </w:p>
        </w:tc>
        <w:tc>
          <w:tcPr>
            <w:tcW w:w="1400" w:type="dxa"/>
            <w:vAlign w:val="bottom"/>
            <w:tcBorders>
              <w:bottom w:val="single" w:sz="8" w:color="572C83"/>
            </w:tcBorders>
          </w:tcPr>
          <w:p>
            <w:pPr>
              <w:spacing w:after="0"/>
              <w:rPr>
                <w:sz w:val="3"/>
                <w:szCs w:val="3"/>
                <w:color w:val="auto"/>
              </w:rPr>
            </w:pPr>
          </w:p>
        </w:tc>
        <w:tc>
          <w:tcPr>
            <w:tcW w:w="1120" w:type="dxa"/>
            <w:vAlign w:val="bottom"/>
            <w:tcBorders>
              <w:bottom w:val="single" w:sz="8" w:color="572C83"/>
            </w:tcBorders>
          </w:tcPr>
          <w:p>
            <w:pPr>
              <w:spacing w:after="0"/>
              <w:rPr>
                <w:sz w:val="3"/>
                <w:szCs w:val="3"/>
                <w:color w:val="auto"/>
              </w:rPr>
            </w:pPr>
          </w:p>
        </w:tc>
      </w:tr>
      <w:tr>
        <w:trPr>
          <w:trHeight w:val="284"/>
        </w:trPr>
        <w:tc>
          <w:tcPr>
            <w:tcW w:w="21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Stein, Laura</w:t>
            </w:r>
          </w:p>
        </w:tc>
        <w:tc>
          <w:tcPr>
            <w:tcW w:w="174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725,000</w:t>
            </w:r>
          </w:p>
        </w:tc>
        <w:tc>
          <w:tcPr>
            <w:tcW w:w="1220" w:type="dxa"/>
            <w:vAlign w:val="bottom"/>
            <w:tcBorders>
              <w:bottom w:val="single" w:sz="8" w:color="EBE6F0"/>
            </w:tcBorders>
            <w:shd w:val="clear" w:color="auto" w:fill="EBE6F0"/>
          </w:tcPr>
          <w:p>
            <w:pPr>
              <w:jc w:val="right"/>
              <w:ind w:right="133"/>
              <w:spacing w:after="0"/>
              <w:rPr>
                <w:sz w:val="20"/>
                <w:szCs w:val="20"/>
                <w:color w:val="auto"/>
              </w:rPr>
            </w:pPr>
            <w:r>
              <w:rPr>
                <w:rFonts w:ascii="Arial" w:cs="Arial" w:eastAsia="Arial" w:hAnsi="Arial"/>
                <w:sz w:val="18"/>
                <w:szCs w:val="18"/>
                <w:color w:val="auto"/>
              </w:rPr>
              <w:t>513,340</w:t>
            </w:r>
          </w:p>
        </w:tc>
        <w:tc>
          <w:tcPr>
            <w:tcW w:w="1260" w:type="dxa"/>
            <w:vAlign w:val="bottom"/>
            <w:tcBorders>
              <w:bottom w:val="single" w:sz="8" w:color="EBE6F0"/>
            </w:tcBorders>
            <w:shd w:val="clear" w:color="auto" w:fill="EBE6F0"/>
          </w:tcPr>
          <w:p>
            <w:pPr>
              <w:jc w:val="right"/>
              <w:ind w:right="153"/>
              <w:spacing w:after="0"/>
              <w:rPr>
                <w:sz w:val="20"/>
                <w:szCs w:val="20"/>
                <w:color w:val="auto"/>
              </w:rPr>
            </w:pPr>
            <w:r>
              <w:rPr>
                <w:rFonts w:ascii="Arial" w:cs="Arial" w:eastAsia="Arial" w:hAnsi="Arial"/>
                <w:sz w:val="18"/>
                <w:szCs w:val="18"/>
                <w:color w:val="auto"/>
              </w:rPr>
              <w:t>1,800,980</w:t>
            </w:r>
          </w:p>
        </w:tc>
        <w:tc>
          <w:tcPr>
            <w:tcW w:w="1200" w:type="dxa"/>
            <w:vAlign w:val="bottom"/>
            <w:tcBorders>
              <w:bottom w:val="single" w:sz="8" w:color="EBE6F0"/>
            </w:tcBorders>
            <w:shd w:val="clear" w:color="auto" w:fill="EBE6F0"/>
          </w:tcPr>
          <w:p>
            <w:pPr>
              <w:jc w:val="right"/>
              <w:ind w:right="113"/>
              <w:spacing w:after="0"/>
              <w:rPr>
                <w:sz w:val="20"/>
                <w:szCs w:val="20"/>
                <w:color w:val="auto"/>
              </w:rPr>
            </w:pPr>
            <w:r>
              <w:rPr>
                <w:rFonts w:ascii="Arial" w:cs="Arial" w:eastAsia="Arial" w:hAnsi="Arial"/>
                <w:sz w:val="18"/>
                <w:szCs w:val="18"/>
                <w:color w:val="auto"/>
              </w:rPr>
              <w:t>290,438</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444,127</w:t>
            </w:r>
          </w:p>
        </w:tc>
        <w:tc>
          <w:tcPr>
            <w:tcW w:w="1400" w:type="dxa"/>
            <w:vAlign w:val="bottom"/>
            <w:tcBorders>
              <w:bottom w:val="single" w:sz="8" w:color="EBE6F0"/>
            </w:tcBorders>
            <w:shd w:val="clear" w:color="auto" w:fill="EBE6F0"/>
          </w:tcPr>
          <w:p>
            <w:pPr>
              <w:jc w:val="right"/>
              <w:ind w:right="93"/>
              <w:spacing w:after="0"/>
              <w:rPr>
                <w:sz w:val="20"/>
                <w:szCs w:val="20"/>
                <w:color w:val="auto"/>
              </w:rPr>
            </w:pPr>
            <w:r>
              <w:rPr>
                <w:rFonts w:ascii="Arial" w:cs="Arial" w:eastAsia="Arial" w:hAnsi="Arial"/>
                <w:sz w:val="18"/>
                <w:szCs w:val="18"/>
                <w:color w:val="auto"/>
              </w:rPr>
              <w:t>12,500</w:t>
            </w:r>
          </w:p>
        </w:tc>
        <w:tc>
          <w:tcPr>
            <w:tcW w:w="11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3,786,385</w:t>
            </w:r>
          </w:p>
        </w:tc>
      </w:tr>
      <w:tr>
        <w:trPr>
          <w:trHeight w:val="20"/>
        </w:trPr>
        <w:tc>
          <w:tcPr>
            <w:tcW w:w="2180" w:type="dxa"/>
            <w:vAlign w:val="bottom"/>
            <w:shd w:val="clear" w:color="auto" w:fill="572C83"/>
          </w:tcPr>
          <w:p>
            <w:pPr>
              <w:spacing w:after="0" w:line="20" w:lineRule="exact"/>
              <w:rPr>
                <w:sz w:val="1"/>
                <w:szCs w:val="1"/>
                <w:color w:val="auto"/>
              </w:rPr>
            </w:pPr>
          </w:p>
        </w:tc>
        <w:tc>
          <w:tcPr>
            <w:tcW w:w="1740" w:type="dxa"/>
            <w:vAlign w:val="bottom"/>
            <w:shd w:val="clear" w:color="auto" w:fill="572C83"/>
          </w:tcPr>
          <w:p>
            <w:pPr>
              <w:spacing w:after="0" w:line="20" w:lineRule="exact"/>
              <w:rPr>
                <w:sz w:val="1"/>
                <w:szCs w:val="1"/>
                <w:color w:val="auto"/>
              </w:rPr>
            </w:pPr>
          </w:p>
        </w:tc>
        <w:tc>
          <w:tcPr>
            <w:tcW w:w="1220" w:type="dxa"/>
            <w:vAlign w:val="bottom"/>
            <w:shd w:val="clear" w:color="auto" w:fill="572C83"/>
          </w:tcPr>
          <w:p>
            <w:pPr>
              <w:spacing w:after="0" w:line="20" w:lineRule="exact"/>
              <w:rPr>
                <w:sz w:val="1"/>
                <w:szCs w:val="1"/>
                <w:color w:val="auto"/>
              </w:rPr>
            </w:pPr>
          </w:p>
        </w:tc>
        <w:tc>
          <w:tcPr>
            <w:tcW w:w="1260" w:type="dxa"/>
            <w:vAlign w:val="bottom"/>
            <w:shd w:val="clear" w:color="auto" w:fill="572C83"/>
          </w:tcPr>
          <w:p>
            <w:pPr>
              <w:spacing w:after="0" w:line="20" w:lineRule="exact"/>
              <w:rPr>
                <w:sz w:val="1"/>
                <w:szCs w:val="1"/>
                <w:color w:val="auto"/>
              </w:rPr>
            </w:pPr>
          </w:p>
        </w:tc>
        <w:tc>
          <w:tcPr>
            <w:tcW w:w="1200" w:type="dxa"/>
            <w:vAlign w:val="bottom"/>
            <w:shd w:val="clear" w:color="auto" w:fill="572C83"/>
          </w:tcPr>
          <w:p>
            <w:pPr>
              <w:spacing w:after="0" w:line="20" w:lineRule="exact"/>
              <w:rPr>
                <w:sz w:val="1"/>
                <w:szCs w:val="1"/>
                <w:color w:val="auto"/>
              </w:rPr>
            </w:pPr>
          </w:p>
        </w:tc>
        <w:tc>
          <w:tcPr>
            <w:tcW w:w="1120" w:type="dxa"/>
            <w:vAlign w:val="bottom"/>
            <w:shd w:val="clear" w:color="auto" w:fill="572C83"/>
          </w:tcPr>
          <w:p>
            <w:pPr>
              <w:spacing w:after="0" w:line="20" w:lineRule="exact"/>
              <w:rPr>
                <w:sz w:val="1"/>
                <w:szCs w:val="1"/>
                <w:color w:val="auto"/>
              </w:rPr>
            </w:pPr>
          </w:p>
        </w:tc>
        <w:tc>
          <w:tcPr>
            <w:tcW w:w="1400" w:type="dxa"/>
            <w:vAlign w:val="bottom"/>
            <w:shd w:val="clear" w:color="auto" w:fill="572C83"/>
          </w:tcPr>
          <w:p>
            <w:pPr>
              <w:spacing w:after="0" w:line="20" w:lineRule="exact"/>
              <w:rPr>
                <w:sz w:val="1"/>
                <w:szCs w:val="1"/>
                <w:color w:val="auto"/>
              </w:rPr>
            </w:pPr>
          </w:p>
        </w:tc>
        <w:tc>
          <w:tcPr>
            <w:tcW w:w="1120" w:type="dxa"/>
            <w:vAlign w:val="bottom"/>
            <w:shd w:val="clear" w:color="auto" w:fill="572C83"/>
          </w:tcPr>
          <w:p>
            <w:pPr>
              <w:spacing w:after="0" w:line="20" w:lineRule="exact"/>
              <w:rPr>
                <w:sz w:val="1"/>
                <w:szCs w:val="1"/>
                <w:color w:val="auto"/>
              </w:rPr>
            </w:pPr>
          </w:p>
        </w:tc>
      </w:tr>
    </w:tbl>
    <w:p>
      <w:pPr>
        <w:spacing w:after="0" w:line="40" w:lineRule="exact"/>
        <w:rPr>
          <w:sz w:val="20"/>
          <w:szCs w:val="20"/>
          <w:color w:val="auto"/>
        </w:rPr>
      </w:pPr>
    </w:p>
    <w:p>
      <w:pPr>
        <w:ind w:left="420" w:right="120" w:hanging="358"/>
        <w:spacing w:after="0" w:line="259" w:lineRule="auto"/>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 Mr. Van de Put’s offer of employment, amount reflects 24 months of base salary. Amounts reflect 12 months of base salary for the other NEOs except Messrs. Brusadelli and Gruber. Under Italian law, amount reflected for Mr. Brusadelli is the maximum of a separation pay range; actual amount may be lower. Amount for Mr. Gruber is calculated based on a formula applicable to other Swiss employees. Amounts for Messrs. Brusadelli and Gruber are converted to U.S. dollars using the Applicable Exchange Rate.</w:t>
      </w:r>
    </w:p>
    <w:p>
      <w:pPr>
        <w:spacing w:after="0" w:line="2" w:lineRule="exact"/>
        <w:rPr>
          <w:rFonts w:ascii="Arial" w:cs="Arial" w:eastAsia="Arial" w:hAnsi="Arial"/>
          <w:sz w:val="16"/>
          <w:szCs w:val="16"/>
          <w:color w:val="auto"/>
        </w:rPr>
      </w:pPr>
    </w:p>
    <w:p>
      <w:pPr>
        <w:ind w:left="420" w:right="720" w:hanging="358"/>
        <w:spacing w:after="0" w:line="272" w:lineRule="auto"/>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Amounts for all NEOs reflect 2021 AIP awards. Amounts for Messrs. Brusadelli and Gruber are converted to U.S. dollars using the Applicable Exchange Rate.</w:t>
      </w:r>
    </w:p>
    <w:p>
      <w:pPr>
        <w:spacing w:after="0" w:line="1" w:lineRule="exact"/>
        <w:rPr>
          <w:rFonts w:ascii="Arial" w:cs="Arial" w:eastAsia="Arial" w:hAnsi="Arial"/>
          <w:sz w:val="16"/>
          <w:szCs w:val="16"/>
          <w:color w:val="auto"/>
        </w:rPr>
      </w:pPr>
    </w:p>
    <w:p>
      <w:pPr>
        <w:ind w:left="420" w:right="140" w:hanging="358"/>
        <w:spacing w:after="0" w:line="259" w:lineRule="auto"/>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 the terms of the grant made to Ms. Stein in connection with her respective offer of employment, amount reflects the full value, assuming target performance, of the PSU grants received at the time she commenced employment. PSUs earned are based on actual Company performance during the respective performance cycles. Amount for Ms. Stein excludes her annual PSU grant for the 2021-2023 performance cycle. Amount is based on a December 31, 2021 closing stock price of $66.31.</w:t>
      </w:r>
    </w:p>
    <w:p>
      <w:pPr>
        <w:spacing w:after="0" w:line="2" w:lineRule="exact"/>
        <w:rPr>
          <w:rFonts w:ascii="Arial" w:cs="Arial" w:eastAsia="Arial" w:hAnsi="Arial"/>
          <w:sz w:val="16"/>
          <w:szCs w:val="16"/>
          <w:color w:val="auto"/>
        </w:rPr>
      </w:pPr>
    </w:p>
    <w:p>
      <w:pPr>
        <w:ind w:left="420" w:right="160" w:hanging="358"/>
        <w:spacing w:after="0" w:line="264" w:lineRule="auto"/>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Per the terms of the grants made to Ms. Stein in connection with her offer of employment, amounts reflect the value of her outstanding unvested deferred stock units and stock options. Amount for Ms. Stein excludes her annual 2021 stock option grant. All amounts are based on a December 31, 2021 closing stock price of $66.31.</w:t>
      </w:r>
    </w:p>
    <w:p>
      <w:pPr>
        <w:ind w:left="420" w:hanging="358"/>
        <w:spacing w:after="0"/>
        <w:tabs>
          <w:tab w:leader="none" w:pos="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Amounts for Messrs. Brusadelli and Gruber are converted to U.S. dollars using the Applicable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DOUBLE TRIGGER CHANGE IN CONTROL ARRANGEMENTS</w:t>
      </w:r>
    </w:p>
    <w:p>
      <w:pPr>
        <w:spacing w:after="0" w:line="103" w:lineRule="exact"/>
        <w:rPr>
          <w:sz w:val="20"/>
          <w:szCs w:val="20"/>
          <w:color w:val="auto"/>
        </w:rPr>
      </w:pPr>
    </w:p>
    <w:p>
      <w:pPr>
        <w:ind w:right="480"/>
        <w:spacing w:after="0" w:line="249" w:lineRule="auto"/>
        <w:rPr>
          <w:sz w:val="20"/>
          <w:szCs w:val="20"/>
          <w:color w:val="auto"/>
        </w:rPr>
      </w:pPr>
      <w:r>
        <w:rPr>
          <w:rFonts w:ascii="Arial" w:cs="Arial" w:eastAsia="Arial" w:hAnsi="Arial"/>
          <w:sz w:val="21"/>
          <w:szCs w:val="21"/>
          <w:color w:val="auto"/>
        </w:rPr>
        <w:t>NEOs are not eligible for any benefit solely upon a CIC. Our CIC Plan for senior executive officers, including the NEOs, provides for certain benefits upon an involuntary termination of employment without “Cause” or voluntary termination for “Good Reason” within two years following a CIC. To receive any benefits under the CIC Plan, a participant must abide by certain restrictive covenants, including a non-compete and non-solicitation for one year following termination. Under the terms of the CIC Plan, a participant who violates a provision of these restrictive covenants must pay back any amounts already paid and receives no further payments from the CIC Plan.</w:t>
      </w:r>
    </w:p>
    <w:p>
      <w:pPr>
        <w:spacing w:after="0" w:line="144"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Additionally, the Equity Plan provides for the treatment of unassumed outstanding equity grants following a CIC and assumed outstanding equity grants upon an involuntary termination of employment without Cause or voluntary termination for Good Reason within two years following a CIC.</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color w:val="auto"/>
        </w:rPr>
        <w:t>The key elements of the CIC Plan and Equity Plan assuming a double trigger event are described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38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Plan Element</w:t>
            </w:r>
          </w:p>
        </w:tc>
        <w:tc>
          <w:tcPr>
            <w:tcW w:w="7860" w:type="dxa"/>
            <w:vAlign w:val="bottom"/>
            <w:tcBorders>
              <w:bottom w:val="single" w:sz="8" w:color="582C83"/>
            </w:tcBorders>
            <w:gridSpan w:val="2"/>
          </w:tcPr>
          <w:p>
            <w:pPr>
              <w:ind w:left="80"/>
              <w:spacing w:after="0"/>
              <w:rPr>
                <w:sz w:val="20"/>
                <w:szCs w:val="20"/>
                <w:color w:val="auto"/>
              </w:rPr>
            </w:pPr>
            <w:r>
              <w:rPr>
                <w:rFonts w:ascii="Arial" w:cs="Arial" w:eastAsia="Arial" w:hAnsi="Arial"/>
                <w:sz w:val="22"/>
                <w:szCs w:val="22"/>
                <w:b w:val="1"/>
                <w:bCs w:val="1"/>
                <w:color w:val="auto"/>
              </w:rPr>
              <w:t>Description</w:t>
            </w:r>
          </w:p>
        </w:tc>
      </w:tr>
      <w:tr>
        <w:trPr>
          <w:trHeight w:val="311"/>
        </w:trPr>
        <w:tc>
          <w:tcPr>
            <w:tcW w:w="338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Definition of “CIC”</w:t>
            </w:r>
          </w:p>
        </w:tc>
        <w:tc>
          <w:tcPr>
            <w:tcW w:w="786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auto"/>
              </w:rPr>
              <w:t>Subject to certain exceptions, the occurrence of one of the conditions below:</w:t>
            </w:r>
          </w:p>
        </w:tc>
      </w:tr>
      <w:tr>
        <w:trPr>
          <w:trHeight w:val="283"/>
        </w:trPr>
        <w:tc>
          <w:tcPr>
            <w:tcW w:w="3380" w:type="dxa"/>
            <w:vAlign w:val="bottom"/>
            <w:shd w:val="clear" w:color="auto" w:fill="EBE6F0"/>
          </w:tcPr>
          <w:p>
            <w:pPr>
              <w:spacing w:after="0"/>
              <w:rPr>
                <w:sz w:val="24"/>
                <w:szCs w:val="24"/>
                <w:color w:val="auto"/>
              </w:rPr>
            </w:pPr>
          </w:p>
        </w:tc>
        <w:tc>
          <w:tcPr>
            <w:tcW w:w="786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Acquisition of 20% or more of our outstanding voting securities;</w:t>
            </w:r>
          </w:p>
        </w:tc>
      </w:tr>
      <w:tr>
        <w:trPr>
          <w:trHeight w:val="243"/>
        </w:trPr>
        <w:tc>
          <w:tcPr>
            <w:tcW w:w="3380" w:type="dxa"/>
            <w:vAlign w:val="bottom"/>
            <w:shd w:val="clear" w:color="auto" w:fill="EBE6F0"/>
          </w:tcPr>
          <w:p>
            <w:pPr>
              <w:spacing w:after="0"/>
              <w:rPr>
                <w:sz w:val="21"/>
                <w:szCs w:val="21"/>
                <w:color w:val="auto"/>
              </w:rPr>
            </w:pPr>
          </w:p>
        </w:tc>
        <w:tc>
          <w:tcPr>
            <w:tcW w:w="22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582C83"/>
              </w:rPr>
              <w:t>•</w:t>
            </w:r>
          </w:p>
        </w:tc>
        <w:tc>
          <w:tcPr>
            <w:tcW w:w="76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Changes to Board membership during any consecutive 24-month period that</w:t>
            </w:r>
          </w:p>
        </w:tc>
      </w:tr>
      <w:tr>
        <w:trPr>
          <w:trHeight w:val="283"/>
        </w:trPr>
        <w:tc>
          <w:tcPr>
            <w:tcW w:w="3380" w:type="dxa"/>
            <w:vAlign w:val="bottom"/>
            <w:shd w:val="clear" w:color="auto" w:fill="EBE6F0"/>
          </w:tcPr>
          <w:p>
            <w:pPr>
              <w:spacing w:after="0"/>
              <w:rPr>
                <w:sz w:val="24"/>
                <w:szCs w:val="24"/>
                <w:color w:val="auto"/>
              </w:rPr>
            </w:pPr>
          </w:p>
        </w:tc>
        <w:tc>
          <w:tcPr>
            <w:tcW w:w="220" w:type="dxa"/>
            <w:vAlign w:val="bottom"/>
            <w:shd w:val="clear" w:color="auto" w:fill="EBE6F0"/>
          </w:tcPr>
          <w:p>
            <w:pPr>
              <w:spacing w:after="0"/>
              <w:rPr>
                <w:sz w:val="24"/>
                <w:szCs w:val="24"/>
                <w:color w:val="auto"/>
              </w:rPr>
            </w:pPr>
          </w:p>
        </w:tc>
        <w:tc>
          <w:tcPr>
            <w:tcW w:w="7640" w:type="dxa"/>
            <w:vAlign w:val="bottom"/>
            <w:shd w:val="clear" w:color="auto" w:fill="EBE6F0"/>
          </w:tcPr>
          <w:p>
            <w:pPr>
              <w:ind w:left="80"/>
              <w:spacing w:after="0"/>
              <w:rPr>
                <w:sz w:val="20"/>
                <w:szCs w:val="20"/>
                <w:color w:val="auto"/>
              </w:rPr>
            </w:pPr>
            <w:r>
              <w:rPr>
                <w:rFonts w:ascii="Arial" w:cs="Arial" w:eastAsia="Arial" w:hAnsi="Arial"/>
                <w:sz w:val="22"/>
                <w:szCs w:val="22"/>
                <w:color w:val="auto"/>
              </w:rPr>
              <w:t>results in less than 50% of the current Board members elected to the Board;</w:t>
            </w:r>
          </w:p>
        </w:tc>
      </w:tr>
      <w:tr>
        <w:trPr>
          <w:trHeight w:val="243"/>
        </w:trPr>
        <w:tc>
          <w:tcPr>
            <w:tcW w:w="3380" w:type="dxa"/>
            <w:vAlign w:val="bottom"/>
            <w:shd w:val="clear" w:color="auto" w:fill="EBE6F0"/>
          </w:tcPr>
          <w:p>
            <w:pPr>
              <w:spacing w:after="0"/>
              <w:rPr>
                <w:sz w:val="21"/>
                <w:szCs w:val="21"/>
                <w:color w:val="auto"/>
              </w:rPr>
            </w:pPr>
          </w:p>
        </w:tc>
        <w:tc>
          <w:tcPr>
            <w:tcW w:w="7860" w:type="dxa"/>
            <w:vAlign w:val="bottom"/>
            <w:gridSpan w:val="2"/>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After the reorganization, merger, statutory share exchange or consolidation or</w:t>
            </w:r>
          </w:p>
        </w:tc>
      </w:tr>
      <w:tr>
        <w:trPr>
          <w:trHeight w:val="243"/>
        </w:trPr>
        <w:tc>
          <w:tcPr>
            <w:tcW w:w="3380" w:type="dxa"/>
            <w:vAlign w:val="bottom"/>
            <w:shd w:val="clear" w:color="auto" w:fill="EBE6F0"/>
          </w:tcPr>
          <w:p>
            <w:pPr>
              <w:spacing w:after="0"/>
              <w:rPr>
                <w:sz w:val="21"/>
                <w:szCs w:val="21"/>
                <w:color w:val="auto"/>
              </w:rPr>
            </w:pPr>
          </w:p>
        </w:tc>
        <w:tc>
          <w:tcPr>
            <w:tcW w:w="220" w:type="dxa"/>
            <w:vAlign w:val="bottom"/>
            <w:shd w:val="clear" w:color="auto" w:fill="EBE6F0"/>
          </w:tcPr>
          <w:p>
            <w:pPr>
              <w:spacing w:after="0"/>
              <w:rPr>
                <w:sz w:val="21"/>
                <w:szCs w:val="21"/>
                <w:color w:val="auto"/>
              </w:rPr>
            </w:pPr>
          </w:p>
        </w:tc>
        <w:tc>
          <w:tcPr>
            <w:tcW w:w="76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any other material transaction involving the Company or any of our</w:t>
            </w:r>
          </w:p>
        </w:tc>
      </w:tr>
      <w:tr>
        <w:trPr>
          <w:trHeight w:val="243"/>
        </w:trPr>
        <w:tc>
          <w:tcPr>
            <w:tcW w:w="3380" w:type="dxa"/>
            <w:vAlign w:val="bottom"/>
            <w:shd w:val="clear" w:color="auto" w:fill="EBE6F0"/>
          </w:tcPr>
          <w:p>
            <w:pPr>
              <w:spacing w:after="0"/>
              <w:rPr>
                <w:sz w:val="21"/>
                <w:szCs w:val="21"/>
                <w:color w:val="auto"/>
              </w:rPr>
            </w:pPr>
          </w:p>
        </w:tc>
        <w:tc>
          <w:tcPr>
            <w:tcW w:w="220" w:type="dxa"/>
            <w:vAlign w:val="bottom"/>
            <w:shd w:val="clear" w:color="auto" w:fill="EBE6F0"/>
          </w:tcPr>
          <w:p>
            <w:pPr>
              <w:spacing w:after="0"/>
              <w:rPr>
                <w:sz w:val="21"/>
                <w:szCs w:val="21"/>
                <w:color w:val="auto"/>
              </w:rPr>
            </w:pPr>
          </w:p>
        </w:tc>
        <w:tc>
          <w:tcPr>
            <w:tcW w:w="76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subsidiaries, over 50% of outstanding voting securities are not owned by</w:t>
            </w:r>
          </w:p>
        </w:tc>
      </w:tr>
      <w:tr>
        <w:trPr>
          <w:trHeight w:val="283"/>
        </w:trPr>
        <w:tc>
          <w:tcPr>
            <w:tcW w:w="3380" w:type="dxa"/>
            <w:vAlign w:val="bottom"/>
            <w:shd w:val="clear" w:color="auto" w:fill="EBE6F0"/>
          </w:tcPr>
          <w:p>
            <w:pPr>
              <w:spacing w:after="0"/>
              <w:rPr>
                <w:sz w:val="24"/>
                <w:szCs w:val="24"/>
                <w:color w:val="auto"/>
              </w:rPr>
            </w:pPr>
          </w:p>
        </w:tc>
        <w:tc>
          <w:tcPr>
            <w:tcW w:w="220" w:type="dxa"/>
            <w:vAlign w:val="bottom"/>
            <w:shd w:val="clear" w:color="auto" w:fill="EBE6F0"/>
          </w:tcPr>
          <w:p>
            <w:pPr>
              <w:spacing w:after="0"/>
              <w:rPr>
                <w:sz w:val="24"/>
                <w:szCs w:val="24"/>
                <w:color w:val="auto"/>
              </w:rPr>
            </w:pPr>
          </w:p>
        </w:tc>
        <w:tc>
          <w:tcPr>
            <w:tcW w:w="7640" w:type="dxa"/>
            <w:vAlign w:val="bottom"/>
            <w:shd w:val="clear" w:color="auto" w:fill="EBE6F0"/>
          </w:tcPr>
          <w:p>
            <w:pPr>
              <w:ind w:left="80"/>
              <w:spacing w:after="0"/>
              <w:rPr>
                <w:sz w:val="20"/>
                <w:szCs w:val="20"/>
                <w:color w:val="auto"/>
              </w:rPr>
            </w:pPr>
            <w:r>
              <w:rPr>
                <w:rFonts w:ascii="Arial" w:cs="Arial" w:eastAsia="Arial" w:hAnsi="Arial"/>
                <w:sz w:val="22"/>
                <w:szCs w:val="22"/>
                <w:color w:val="auto"/>
              </w:rPr>
              <w:t>Company shareholders; or</w:t>
            </w:r>
          </w:p>
        </w:tc>
      </w:tr>
      <w:tr>
        <w:trPr>
          <w:trHeight w:val="243"/>
        </w:trPr>
        <w:tc>
          <w:tcPr>
            <w:tcW w:w="3380" w:type="dxa"/>
            <w:vAlign w:val="bottom"/>
            <w:shd w:val="clear" w:color="auto" w:fill="EBE6F0"/>
          </w:tcPr>
          <w:p>
            <w:pPr>
              <w:spacing w:after="0"/>
              <w:rPr>
                <w:sz w:val="21"/>
                <w:szCs w:val="21"/>
                <w:color w:val="auto"/>
              </w:rPr>
            </w:pPr>
          </w:p>
        </w:tc>
        <w:tc>
          <w:tcPr>
            <w:tcW w:w="7860" w:type="dxa"/>
            <w:vAlign w:val="bottom"/>
            <w:gridSpan w:val="2"/>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Complete liquidation of Mondelēz International or the sale of all or</w:t>
            </w:r>
          </w:p>
        </w:tc>
      </w:tr>
      <w:tr>
        <w:trPr>
          <w:trHeight w:val="317"/>
        </w:trPr>
        <w:tc>
          <w:tcPr>
            <w:tcW w:w="338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spacing w:after="0"/>
              <w:rPr>
                <w:sz w:val="24"/>
                <w:szCs w:val="24"/>
                <w:color w:val="auto"/>
              </w:rPr>
            </w:pPr>
          </w:p>
        </w:tc>
        <w:tc>
          <w:tcPr>
            <w:tcW w:w="76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substantially all of our assets.</w:t>
            </w:r>
          </w:p>
        </w:tc>
      </w:tr>
      <w:tr>
        <w:trPr>
          <w:trHeight w:val="311"/>
        </w:trPr>
        <w:tc>
          <w:tcPr>
            <w:tcW w:w="3380" w:type="dxa"/>
            <w:vAlign w:val="bottom"/>
          </w:tcPr>
          <w:p>
            <w:pPr>
              <w:ind w:left="80"/>
              <w:spacing w:after="0"/>
              <w:rPr>
                <w:sz w:val="20"/>
                <w:szCs w:val="20"/>
                <w:color w:val="auto"/>
              </w:rPr>
            </w:pPr>
            <w:r>
              <w:rPr>
                <w:rFonts w:ascii="Arial" w:cs="Arial" w:eastAsia="Arial" w:hAnsi="Arial"/>
                <w:sz w:val="22"/>
                <w:szCs w:val="22"/>
                <w:b w:val="1"/>
                <w:bCs w:val="1"/>
                <w:color w:val="auto"/>
              </w:rPr>
              <w:t>Definition of “Cause”</w:t>
            </w:r>
          </w:p>
        </w:tc>
        <w:tc>
          <w:tcPr>
            <w:tcW w:w="7860" w:type="dxa"/>
            <w:vAlign w:val="bottom"/>
            <w:gridSpan w:val="2"/>
          </w:tcPr>
          <w:p>
            <w:pPr>
              <w:ind w:left="80"/>
              <w:spacing w:after="0"/>
              <w:rPr>
                <w:sz w:val="20"/>
                <w:szCs w:val="20"/>
                <w:color w:val="auto"/>
              </w:rPr>
            </w:pPr>
            <w:r>
              <w:rPr>
                <w:rFonts w:ascii="Arial" w:cs="Arial" w:eastAsia="Arial" w:hAnsi="Arial"/>
                <w:sz w:val="22"/>
                <w:szCs w:val="22"/>
                <w:color w:val="auto"/>
              </w:rPr>
              <w:t>Subject to certain exceptions, the occurrence of one of the conditions below:</w:t>
            </w:r>
          </w:p>
        </w:tc>
      </w:tr>
      <w:tr>
        <w:trPr>
          <w:trHeight w:val="243"/>
        </w:trPr>
        <w:tc>
          <w:tcPr>
            <w:tcW w:w="3380" w:type="dxa"/>
            <w:vAlign w:val="bottom"/>
          </w:tcPr>
          <w:p>
            <w:pPr>
              <w:spacing w:after="0"/>
              <w:rPr>
                <w:sz w:val="21"/>
                <w:szCs w:val="21"/>
                <w:color w:val="auto"/>
              </w:rPr>
            </w:pPr>
          </w:p>
        </w:tc>
        <w:tc>
          <w:tcPr>
            <w:tcW w:w="7860" w:type="dxa"/>
            <w:vAlign w:val="bottom"/>
            <w:gridSpan w:val="2"/>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Continued failure to substantially perform job duties (other than resulting from</w:t>
            </w:r>
          </w:p>
        </w:tc>
      </w:tr>
      <w:tr>
        <w:trPr>
          <w:trHeight w:val="28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incapacity due to disability);</w:t>
            </w:r>
          </w:p>
        </w:tc>
      </w:tr>
      <w:tr>
        <w:trPr>
          <w:trHeight w:val="243"/>
        </w:trPr>
        <w:tc>
          <w:tcPr>
            <w:tcW w:w="3380" w:type="dxa"/>
            <w:vAlign w:val="bottom"/>
          </w:tcPr>
          <w:p>
            <w:pPr>
              <w:spacing w:after="0"/>
              <w:rPr>
                <w:sz w:val="21"/>
                <w:szCs w:val="21"/>
                <w:color w:val="auto"/>
              </w:rPr>
            </w:pPr>
          </w:p>
        </w:tc>
        <w:tc>
          <w:tcPr>
            <w:tcW w:w="7860" w:type="dxa"/>
            <w:vAlign w:val="bottom"/>
            <w:gridSpan w:val="2"/>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Gross negligence, dishonesty or violation of any reasonable rule or regulation</w:t>
            </w:r>
          </w:p>
        </w:tc>
      </w:tr>
      <w:tr>
        <w:trPr>
          <w:trHeight w:val="243"/>
        </w:trPr>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40" w:type="dxa"/>
            <w:vAlign w:val="bottom"/>
          </w:tcPr>
          <w:p>
            <w:pPr>
              <w:ind w:left="80"/>
              <w:spacing w:after="0" w:line="243" w:lineRule="exact"/>
              <w:rPr>
                <w:sz w:val="20"/>
                <w:szCs w:val="20"/>
                <w:color w:val="auto"/>
              </w:rPr>
            </w:pPr>
            <w:r>
              <w:rPr>
                <w:rFonts w:ascii="Arial" w:cs="Arial" w:eastAsia="Arial" w:hAnsi="Arial"/>
                <w:sz w:val="22"/>
                <w:szCs w:val="22"/>
                <w:color w:val="auto"/>
              </w:rPr>
              <w:t>of the Company where the violation results in significant damage to the</w:t>
            </w:r>
          </w:p>
        </w:tc>
      </w:tr>
      <w:tr>
        <w:trPr>
          <w:trHeight w:val="28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Company; or</w:t>
            </w:r>
          </w:p>
        </w:tc>
      </w:tr>
      <w:tr>
        <w:trPr>
          <w:trHeight w:val="243"/>
        </w:trPr>
        <w:tc>
          <w:tcPr>
            <w:tcW w:w="3380" w:type="dxa"/>
            <w:vAlign w:val="bottom"/>
          </w:tcPr>
          <w:p>
            <w:pPr>
              <w:spacing w:after="0"/>
              <w:rPr>
                <w:sz w:val="21"/>
                <w:szCs w:val="21"/>
                <w:color w:val="auto"/>
              </w:rPr>
            </w:pPr>
          </w:p>
        </w:tc>
        <w:tc>
          <w:tcPr>
            <w:tcW w:w="220" w:type="dxa"/>
            <w:vAlign w:val="bottom"/>
          </w:tcPr>
          <w:p>
            <w:pPr>
              <w:ind w:left="80"/>
              <w:spacing w:after="0" w:line="243" w:lineRule="exact"/>
              <w:rPr>
                <w:sz w:val="20"/>
                <w:szCs w:val="20"/>
                <w:color w:val="auto"/>
              </w:rPr>
            </w:pPr>
            <w:r>
              <w:rPr>
                <w:rFonts w:ascii="Arial" w:cs="Arial" w:eastAsia="Arial" w:hAnsi="Arial"/>
                <w:sz w:val="22"/>
                <w:szCs w:val="22"/>
                <w:color w:val="582C83"/>
              </w:rPr>
              <w:t>•</w:t>
            </w:r>
          </w:p>
        </w:tc>
        <w:tc>
          <w:tcPr>
            <w:tcW w:w="7640" w:type="dxa"/>
            <w:vAlign w:val="bottom"/>
          </w:tcPr>
          <w:p>
            <w:pPr>
              <w:ind w:left="80"/>
              <w:spacing w:after="0" w:line="243" w:lineRule="exact"/>
              <w:rPr>
                <w:sz w:val="20"/>
                <w:szCs w:val="20"/>
                <w:color w:val="auto"/>
              </w:rPr>
            </w:pPr>
            <w:r>
              <w:rPr>
                <w:rFonts w:ascii="Arial" w:cs="Arial" w:eastAsia="Arial" w:hAnsi="Arial"/>
                <w:sz w:val="22"/>
                <w:szCs w:val="22"/>
                <w:color w:val="auto"/>
              </w:rPr>
              <w:t>Engaging in other conduct which adversely reflects on the Company in any</w:t>
            </w:r>
          </w:p>
        </w:tc>
      </w:tr>
      <w:tr>
        <w:trPr>
          <w:trHeight w:val="28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material respect.</w:t>
            </w:r>
          </w:p>
        </w:tc>
      </w:tr>
      <w:tr>
        <w:trPr>
          <w:trHeight w:val="40"/>
        </w:trPr>
        <w:tc>
          <w:tcPr>
            <w:tcW w:w="3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40" w:type="dxa"/>
            <w:vAlign w:val="bottom"/>
          </w:tcPr>
          <w:p>
            <w:pPr>
              <w:spacing w:after="0"/>
              <w:rPr>
                <w:sz w:val="3"/>
                <w:szCs w:val="3"/>
                <w:color w:val="auto"/>
              </w:rPr>
            </w:pPr>
          </w:p>
        </w:tc>
      </w:tr>
      <w:tr>
        <w:trPr>
          <w:trHeight w:val="325"/>
        </w:trPr>
        <w:tc>
          <w:tcPr>
            <w:tcW w:w="338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Definition of “Good Reason”</w:t>
            </w: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7640" w:type="dxa"/>
            <w:vAlign w:val="bottom"/>
            <w:shd w:val="clear" w:color="auto" w:fill="EBE6F0"/>
          </w:tcPr>
          <w:p>
            <w:pPr>
              <w:ind w:left="80"/>
              <w:spacing w:after="0"/>
              <w:rPr>
                <w:sz w:val="20"/>
                <w:szCs w:val="20"/>
                <w:color w:val="auto"/>
              </w:rPr>
            </w:pPr>
            <w:r>
              <w:rPr>
                <w:rFonts w:ascii="Arial" w:cs="Arial" w:eastAsia="Arial" w:hAnsi="Arial"/>
                <w:sz w:val="22"/>
                <w:szCs w:val="22"/>
                <w:color w:val="auto"/>
              </w:rPr>
              <w:t>Material reduction in job duties;</w:t>
            </w:r>
          </w:p>
        </w:tc>
      </w:tr>
      <w:tr>
        <w:trPr>
          <w:trHeight w:val="283"/>
        </w:trPr>
        <w:tc>
          <w:tcPr>
            <w:tcW w:w="3380" w:type="dxa"/>
            <w:vAlign w:val="bottom"/>
            <w:shd w:val="clear" w:color="auto" w:fill="EBE6F0"/>
          </w:tcPr>
          <w:p>
            <w:pPr>
              <w:spacing w:after="0"/>
              <w:rPr>
                <w:sz w:val="24"/>
                <w:szCs w:val="24"/>
                <w:color w:val="auto"/>
              </w:rPr>
            </w:pPr>
          </w:p>
        </w:tc>
        <w:tc>
          <w:tcPr>
            <w:tcW w:w="786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Material reduction in compensation;</w:t>
            </w:r>
          </w:p>
        </w:tc>
      </w:tr>
      <w:tr>
        <w:trPr>
          <w:trHeight w:val="284"/>
        </w:trPr>
        <w:tc>
          <w:tcPr>
            <w:tcW w:w="3380" w:type="dxa"/>
            <w:vAlign w:val="bottom"/>
            <w:shd w:val="clear" w:color="auto" w:fill="EBE6F0"/>
          </w:tcPr>
          <w:p>
            <w:pPr>
              <w:spacing w:after="0"/>
              <w:rPr>
                <w:sz w:val="24"/>
                <w:szCs w:val="24"/>
                <w:color w:val="auto"/>
              </w:rPr>
            </w:pPr>
          </w:p>
        </w:tc>
        <w:tc>
          <w:tcPr>
            <w:tcW w:w="22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7640" w:type="dxa"/>
            <w:vAlign w:val="bottom"/>
            <w:shd w:val="clear" w:color="auto" w:fill="EBE6F0"/>
          </w:tcPr>
          <w:p>
            <w:pPr>
              <w:ind w:left="80"/>
              <w:spacing w:after="0"/>
              <w:rPr>
                <w:sz w:val="20"/>
                <w:szCs w:val="20"/>
                <w:color w:val="auto"/>
              </w:rPr>
            </w:pPr>
            <w:r>
              <w:rPr>
                <w:rFonts w:ascii="Arial" w:cs="Arial" w:eastAsia="Arial" w:hAnsi="Arial"/>
                <w:sz w:val="22"/>
                <w:szCs w:val="22"/>
                <w:color w:val="auto"/>
              </w:rPr>
              <w:t>Relocation beyond 50 miles; or</w:t>
            </w:r>
          </w:p>
        </w:tc>
      </w:tr>
      <w:tr>
        <w:trPr>
          <w:trHeight w:val="317"/>
        </w:trPr>
        <w:tc>
          <w:tcPr>
            <w:tcW w:w="3380" w:type="dxa"/>
            <w:vAlign w:val="bottom"/>
            <w:tcBorders>
              <w:bottom w:val="single" w:sz="8" w:color="EBE6F0"/>
            </w:tcBorders>
            <w:shd w:val="clear" w:color="auto" w:fill="EBE6F0"/>
          </w:tcPr>
          <w:p>
            <w:pPr>
              <w:spacing w:after="0"/>
              <w:rPr>
                <w:sz w:val="24"/>
                <w:szCs w:val="24"/>
                <w:color w:val="auto"/>
              </w:rPr>
            </w:pPr>
          </w:p>
        </w:tc>
        <w:tc>
          <w:tcPr>
            <w:tcW w:w="2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582C83"/>
              </w:rPr>
              <w:t>•</w:t>
            </w:r>
          </w:p>
        </w:tc>
        <w:tc>
          <w:tcPr>
            <w:tcW w:w="76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Failure to assume the obligations under the CIC Plan or Equity Plan.</w:t>
            </w:r>
          </w:p>
        </w:tc>
      </w:tr>
      <w:tr>
        <w:trPr>
          <w:trHeight w:val="269"/>
        </w:trPr>
        <w:tc>
          <w:tcPr>
            <w:tcW w:w="3380" w:type="dxa"/>
            <w:vAlign w:val="bottom"/>
          </w:tcPr>
          <w:p>
            <w:pPr>
              <w:ind w:left="80"/>
              <w:spacing w:after="0"/>
              <w:rPr>
                <w:sz w:val="20"/>
                <w:szCs w:val="20"/>
                <w:color w:val="auto"/>
              </w:rPr>
            </w:pPr>
            <w:r>
              <w:rPr>
                <w:rFonts w:ascii="Arial" w:cs="Arial" w:eastAsia="Arial" w:hAnsi="Arial"/>
                <w:sz w:val="22"/>
                <w:szCs w:val="22"/>
                <w:b w:val="1"/>
                <w:bCs w:val="1"/>
                <w:color w:val="auto"/>
              </w:rPr>
              <w:t>Severance and Benefits</w:t>
            </w:r>
          </w:p>
        </w:tc>
        <w:tc>
          <w:tcPr>
            <w:tcW w:w="220" w:type="dxa"/>
            <w:vAlign w:val="bottom"/>
          </w:tcPr>
          <w:p>
            <w:pPr>
              <w:ind w:left="80"/>
              <w:spacing w:after="0"/>
              <w:rPr>
                <w:sz w:val="20"/>
                <w:szCs w:val="20"/>
                <w:color w:val="auto"/>
              </w:rPr>
            </w:pPr>
            <w:r>
              <w:rPr>
                <w:rFonts w:ascii="Arial" w:cs="Arial" w:eastAsia="Arial" w:hAnsi="Arial"/>
                <w:sz w:val="22"/>
                <w:szCs w:val="22"/>
                <w:color w:val="582C83"/>
              </w:rPr>
              <w:t>•</w:t>
            </w:r>
          </w:p>
        </w:tc>
        <w:tc>
          <w:tcPr>
            <w:tcW w:w="7640" w:type="dxa"/>
            <w:vAlign w:val="bottom"/>
          </w:tcPr>
          <w:p>
            <w:pPr>
              <w:ind w:left="80"/>
              <w:spacing w:after="0"/>
              <w:rPr>
                <w:sz w:val="20"/>
                <w:szCs w:val="20"/>
                <w:color w:val="auto"/>
              </w:rPr>
            </w:pPr>
            <w:r>
              <w:rPr>
                <w:rFonts w:ascii="Arial" w:cs="Arial" w:eastAsia="Arial" w:hAnsi="Arial"/>
                <w:sz w:val="22"/>
                <w:szCs w:val="22"/>
                <w:color w:val="auto"/>
              </w:rPr>
              <w:t>CEO: 2.99 times base salary plus target annual incentive payable by the</w:t>
            </w:r>
          </w:p>
        </w:tc>
      </w:tr>
      <w:tr>
        <w:trPr>
          <w:trHeight w:val="285"/>
        </w:trPr>
        <w:tc>
          <w:tcPr>
            <w:tcW w:w="3380" w:type="dxa"/>
            <w:vAlign w:val="bottom"/>
          </w:tcPr>
          <w:p>
            <w:pPr>
              <w:ind w:left="80"/>
              <w:spacing w:after="0"/>
              <w:rPr>
                <w:sz w:val="20"/>
                <w:szCs w:val="20"/>
                <w:color w:val="auto"/>
              </w:rPr>
            </w:pPr>
            <w:r>
              <w:rPr>
                <w:rFonts w:ascii="Arial" w:cs="Arial" w:eastAsia="Arial" w:hAnsi="Arial"/>
                <w:sz w:val="22"/>
                <w:szCs w:val="22"/>
                <w:b w:val="1"/>
                <w:bCs w:val="1"/>
                <w:color w:val="auto"/>
              </w:rPr>
              <w:t>Amounts</w:t>
            </w: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Company in a lump sum;</w:t>
            </w:r>
          </w:p>
        </w:tc>
      </w:tr>
      <w:tr>
        <w:trPr>
          <w:trHeight w:val="243"/>
        </w:trPr>
        <w:tc>
          <w:tcPr>
            <w:tcW w:w="3380" w:type="dxa"/>
            <w:vAlign w:val="bottom"/>
          </w:tcPr>
          <w:p>
            <w:pPr>
              <w:spacing w:after="0"/>
              <w:rPr>
                <w:sz w:val="21"/>
                <w:szCs w:val="21"/>
                <w:color w:val="auto"/>
              </w:rPr>
            </w:pPr>
          </w:p>
        </w:tc>
        <w:tc>
          <w:tcPr>
            <w:tcW w:w="220" w:type="dxa"/>
            <w:vAlign w:val="bottom"/>
          </w:tcPr>
          <w:p>
            <w:pPr>
              <w:ind w:left="80"/>
              <w:spacing w:after="0" w:line="243" w:lineRule="exact"/>
              <w:rPr>
                <w:sz w:val="20"/>
                <w:szCs w:val="20"/>
                <w:color w:val="auto"/>
              </w:rPr>
            </w:pPr>
            <w:r>
              <w:rPr>
                <w:rFonts w:ascii="Arial" w:cs="Arial" w:eastAsia="Arial" w:hAnsi="Arial"/>
                <w:sz w:val="22"/>
                <w:szCs w:val="22"/>
                <w:color w:val="582C83"/>
              </w:rPr>
              <w:t>•</w:t>
            </w:r>
          </w:p>
        </w:tc>
        <w:tc>
          <w:tcPr>
            <w:tcW w:w="7640" w:type="dxa"/>
            <w:vAlign w:val="bottom"/>
          </w:tcPr>
          <w:p>
            <w:pPr>
              <w:ind w:left="80"/>
              <w:spacing w:after="0" w:line="243" w:lineRule="exact"/>
              <w:rPr>
                <w:sz w:val="20"/>
                <w:szCs w:val="20"/>
                <w:color w:val="auto"/>
              </w:rPr>
            </w:pPr>
            <w:r>
              <w:rPr>
                <w:rFonts w:ascii="Arial" w:cs="Arial" w:eastAsia="Arial" w:hAnsi="Arial"/>
                <w:sz w:val="22"/>
                <w:szCs w:val="22"/>
                <w:color w:val="auto"/>
                <w:w w:val="99"/>
              </w:rPr>
              <w:t>All other NEOs: two times base salary plus target annual incentive payable by</w:t>
            </w:r>
          </w:p>
        </w:tc>
      </w:tr>
      <w:tr>
        <w:trPr>
          <w:trHeight w:val="28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the Company in a lump sum;</w:t>
            </w:r>
          </w:p>
        </w:tc>
      </w:tr>
      <w:tr>
        <w:trPr>
          <w:trHeight w:val="243"/>
        </w:trPr>
        <w:tc>
          <w:tcPr>
            <w:tcW w:w="3380" w:type="dxa"/>
            <w:vAlign w:val="bottom"/>
          </w:tcPr>
          <w:p>
            <w:pPr>
              <w:spacing w:after="0"/>
              <w:rPr>
                <w:sz w:val="21"/>
                <w:szCs w:val="21"/>
                <w:color w:val="auto"/>
              </w:rPr>
            </w:pPr>
          </w:p>
        </w:tc>
        <w:tc>
          <w:tcPr>
            <w:tcW w:w="220" w:type="dxa"/>
            <w:vAlign w:val="bottom"/>
          </w:tcPr>
          <w:p>
            <w:pPr>
              <w:ind w:left="80"/>
              <w:spacing w:after="0" w:line="243" w:lineRule="exact"/>
              <w:rPr>
                <w:sz w:val="20"/>
                <w:szCs w:val="20"/>
                <w:color w:val="auto"/>
              </w:rPr>
            </w:pPr>
            <w:r>
              <w:rPr>
                <w:rFonts w:ascii="Arial" w:cs="Arial" w:eastAsia="Arial" w:hAnsi="Arial"/>
                <w:sz w:val="22"/>
                <w:szCs w:val="22"/>
                <w:color w:val="582C83"/>
              </w:rPr>
              <w:t>•</w:t>
            </w:r>
          </w:p>
        </w:tc>
        <w:tc>
          <w:tcPr>
            <w:tcW w:w="7640" w:type="dxa"/>
            <w:vAlign w:val="bottom"/>
          </w:tcPr>
          <w:p>
            <w:pPr>
              <w:ind w:left="80"/>
              <w:spacing w:after="0" w:line="243" w:lineRule="exact"/>
              <w:rPr>
                <w:sz w:val="20"/>
                <w:szCs w:val="20"/>
                <w:color w:val="auto"/>
              </w:rPr>
            </w:pPr>
            <w:r>
              <w:rPr>
                <w:rFonts w:ascii="Arial" w:cs="Arial" w:eastAsia="Arial" w:hAnsi="Arial"/>
                <w:sz w:val="22"/>
                <w:szCs w:val="22"/>
                <w:color w:val="auto"/>
              </w:rPr>
              <w:t>Health and welfare benefits equal to three years for the CEO and two years</w:t>
            </w:r>
          </w:p>
        </w:tc>
      </w:tr>
      <w:tr>
        <w:trPr>
          <w:trHeight w:val="283"/>
        </w:trPr>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Pr>
          <w:p>
            <w:pPr>
              <w:ind w:left="80"/>
              <w:spacing w:after="0"/>
              <w:rPr>
                <w:sz w:val="20"/>
                <w:szCs w:val="20"/>
                <w:color w:val="auto"/>
              </w:rPr>
            </w:pPr>
            <w:r>
              <w:rPr>
                <w:rFonts w:ascii="Arial" w:cs="Arial" w:eastAsia="Arial" w:hAnsi="Arial"/>
                <w:sz w:val="22"/>
                <w:szCs w:val="22"/>
                <w:color w:val="auto"/>
              </w:rPr>
              <w:t>for the other NEOs;</w:t>
            </w:r>
          </w:p>
        </w:tc>
      </w:tr>
    </w:tbl>
    <w:p>
      <w:pPr>
        <w:ind w:left="3680" w:right="120" w:hanging="219"/>
        <w:spacing w:after="0" w:line="249" w:lineRule="auto"/>
        <w:tabs>
          <w:tab w:leader="none" w:pos="3660" w:val="left"/>
        </w:tabs>
        <w:rPr>
          <w:sz w:val="20"/>
          <w:szCs w:val="20"/>
          <w:color w:val="auto"/>
        </w:rPr>
      </w:pPr>
      <w:r>
        <w:rPr>
          <w:rFonts w:ascii="Arial" w:cs="Arial" w:eastAsia="Arial" w:hAnsi="Arial"/>
          <w:sz w:val="22"/>
          <w:szCs w:val="22"/>
          <w:color w:val="582C83"/>
        </w:rPr>
        <w:t>•</w:t>
      </w:r>
      <w:r>
        <w:rPr>
          <w:rFonts w:ascii="Arial" w:cs="Arial" w:eastAsia="Arial" w:hAnsi="Arial"/>
          <w:sz w:val="22"/>
          <w:szCs w:val="22"/>
          <w:color w:val="auto"/>
        </w:rPr>
        <w:tab/>
        <w:t>Continuation of financial counseling and car allowances for three years for the CEO and two years for the other NEOs; and</w:t>
      </w:r>
    </w:p>
    <w:p>
      <w:pPr>
        <w:spacing w:after="0" w:line="2" w:lineRule="exact"/>
        <w:rPr>
          <w:sz w:val="20"/>
          <w:szCs w:val="20"/>
          <w:color w:val="auto"/>
        </w:rPr>
      </w:pPr>
    </w:p>
    <w:p>
      <w:pPr>
        <w:ind w:left="346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Outplacement services for up to two years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9" w:lineRule="exact"/>
        <w:rPr>
          <w:sz w:val="20"/>
          <w:szCs w:val="20"/>
          <w:color w:val="auto"/>
        </w:rPr>
      </w:pPr>
    </w:p>
    <w:p>
      <w:pPr>
        <w:ind w:left="80"/>
        <w:spacing w:after="0"/>
        <w:tabs>
          <w:tab w:leader="none" w:pos="3440" w:val="left"/>
        </w:tabs>
        <w:rPr>
          <w:sz w:val="20"/>
          <w:szCs w:val="20"/>
          <w:color w:val="auto"/>
        </w:rPr>
      </w:pPr>
      <w:r>
        <w:rPr>
          <w:rFonts w:ascii="Arial" w:cs="Arial" w:eastAsia="Arial" w:hAnsi="Arial"/>
          <w:sz w:val="22"/>
          <w:szCs w:val="22"/>
          <w:b w:val="1"/>
          <w:bCs w:val="1"/>
          <w:color w:val="auto"/>
        </w:rPr>
        <w:t>Plan Element</w:t>
      </w:r>
      <w:r>
        <w:rPr>
          <w:sz w:val="20"/>
          <w:szCs w:val="20"/>
          <w:color w:val="auto"/>
        </w:rPr>
        <w:tab/>
      </w:r>
      <w:r>
        <w:rPr>
          <w:rFonts w:ascii="Arial" w:cs="Arial" w:eastAsia="Arial" w:hAnsi="Arial"/>
          <w:sz w:val="21"/>
          <w:szCs w:val="2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1830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92" w:lineRule="exact"/>
        <w:rPr>
          <w:sz w:val="20"/>
          <w:szCs w:val="20"/>
          <w:color w:val="auto"/>
        </w:rPr>
      </w:pPr>
    </w:p>
    <w:p>
      <w:pPr>
        <w:ind w:left="80"/>
        <w:spacing w:after="0"/>
        <w:tabs>
          <w:tab w:leader="none" w:pos="3440" w:val="left"/>
        </w:tabs>
        <w:rPr>
          <w:sz w:val="20"/>
          <w:szCs w:val="20"/>
          <w:color w:val="auto"/>
        </w:rPr>
      </w:pPr>
      <w:r>
        <w:rPr>
          <w:rFonts w:ascii="Arial" w:cs="Arial" w:eastAsia="Arial" w:hAnsi="Arial"/>
          <w:sz w:val="22"/>
          <w:szCs w:val="22"/>
          <w:b w:val="1"/>
          <w:bCs w:val="1"/>
          <w:color w:val="auto"/>
        </w:rPr>
        <w:t>Treatment of AIP Awards and</w:t>
      </w:r>
      <w:r>
        <w:rPr>
          <w:sz w:val="20"/>
          <w:szCs w:val="20"/>
          <w:color w:val="auto"/>
        </w:rPr>
        <w:tab/>
      </w:r>
      <w:r>
        <w:rPr>
          <w:rFonts w:ascii="Arial" w:cs="Arial" w:eastAsia="Arial" w:hAnsi="Arial"/>
          <w:sz w:val="21"/>
          <w:szCs w:val="21"/>
          <w:color w:val="582C83"/>
        </w:rPr>
        <w:t xml:space="preserve">• </w:t>
      </w:r>
      <w:r>
        <w:rPr>
          <w:rFonts w:ascii="Arial" w:cs="Arial" w:eastAsia="Arial" w:hAnsi="Arial"/>
          <w:sz w:val="21"/>
          <w:szCs w:val="21"/>
          <w:color w:val="000000"/>
        </w:rPr>
        <w:t>NEO is eligible to receive prorated cash payments (for service during the</w:t>
      </w:r>
    </w:p>
    <w:p>
      <w:pPr>
        <w:spacing w:after="0" w:line="12" w:lineRule="exact"/>
        <w:rPr>
          <w:sz w:val="20"/>
          <w:szCs w:val="20"/>
          <w:color w:val="auto"/>
        </w:rPr>
      </w:pPr>
    </w:p>
    <w:p>
      <w:pPr>
        <w:ind w:left="3680" w:right="340" w:hanging="3590"/>
        <w:spacing w:after="0" w:line="233" w:lineRule="auto"/>
        <w:tabs>
          <w:tab w:leader="none" w:pos="3660" w:val="left"/>
        </w:tabs>
        <w:rPr>
          <w:sz w:val="20"/>
          <w:szCs w:val="20"/>
          <w:color w:val="auto"/>
        </w:rPr>
      </w:pPr>
      <w:r>
        <w:rPr>
          <w:rFonts w:ascii="Arial" w:cs="Arial" w:eastAsia="Arial" w:hAnsi="Arial"/>
          <w:sz w:val="22"/>
          <w:szCs w:val="22"/>
          <w:b w:val="1"/>
          <w:bCs w:val="1"/>
          <w:color w:val="auto"/>
        </w:rPr>
        <w:t>PSU Grants</w:t>
      </w:r>
      <w:r>
        <w:rPr>
          <w:sz w:val="20"/>
          <w:szCs w:val="20"/>
          <w:color w:val="auto"/>
        </w:rPr>
        <w:tab/>
      </w:r>
      <w:r>
        <w:rPr>
          <w:rFonts w:ascii="Arial" w:cs="Arial" w:eastAsia="Arial" w:hAnsi="Arial"/>
          <w:sz w:val="22"/>
          <w:szCs w:val="22"/>
          <w:color w:val="auto"/>
        </w:rPr>
        <w:t>performance cycle) representing both the award under the AIP and outstanding PSU grants. In the case of outstanding PSUs, if at least fifty percent of the performance cycle has elapsed, cash payment would be calculated using the target level of PSUs (no proration). PSU value is calculated by multiplying the number of shares by the closing stock price on the last trading date preceding the date of CIC.</w:t>
      </w:r>
    </w:p>
    <w:p>
      <w:pPr>
        <w:sectPr>
          <w:pgSz w:w="11900" w:h="16838" w:orient="portrait"/>
          <w:cols w:equalWidth="0" w:num="1">
            <w:col w:w="11240"/>
          </w:cols>
          <w:pgMar w:left="320" w:top="130" w:right="339" w:bottom="1440" w:gutter="0" w:footer="0" w:header="0"/>
        </w:sectPr>
      </w:pPr>
    </w:p>
    <w:p>
      <w:pPr>
        <w:spacing w:after="0" w:line="8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Treatment of Equity Grants</w:t>
      </w:r>
    </w:p>
    <w:p>
      <w:pPr>
        <w:spacing w:after="0" w:line="341" w:lineRule="exact"/>
        <w:rPr>
          <w:sz w:val="20"/>
          <w:szCs w:val="20"/>
          <w:color w:val="auto"/>
        </w:rPr>
      </w:pPr>
    </w:p>
    <w:p>
      <w:pPr>
        <w:ind w:left="80"/>
        <w:spacing w:after="0" w:line="251" w:lineRule="auto"/>
        <w:rPr>
          <w:sz w:val="20"/>
          <w:szCs w:val="20"/>
          <w:color w:val="auto"/>
        </w:rPr>
      </w:pPr>
      <w:r>
        <w:rPr>
          <w:rFonts w:ascii="Arial" w:cs="Arial" w:eastAsia="Arial" w:hAnsi="Arial"/>
          <w:sz w:val="22"/>
          <w:szCs w:val="22"/>
          <w:b w:val="1"/>
          <w:bCs w:val="1"/>
          <w:color w:val="auto"/>
        </w:rPr>
        <w:t>Maximum CIC Plan Benefit/No Gross Up for Payment of Excise Tax</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16" w:right="180" w:hanging="216"/>
        <w:spacing w:after="0" w:line="283" w:lineRule="auto"/>
        <w:tabs>
          <w:tab w:leader="none" w:pos="216" w:val="left"/>
        </w:tabs>
        <w:numPr>
          <w:ilvl w:val="0"/>
          <w:numId w:val="85"/>
        </w:numPr>
        <w:rPr>
          <w:rFonts w:ascii="Arial" w:cs="Arial" w:eastAsia="Arial" w:hAnsi="Arial"/>
          <w:sz w:val="21"/>
          <w:szCs w:val="21"/>
          <w:color w:val="582C83"/>
        </w:rPr>
      </w:pPr>
      <w:r>
        <w:rPr>
          <w:rFonts w:ascii="Arial" w:cs="Arial" w:eastAsia="Arial" w:hAnsi="Arial"/>
          <w:sz w:val="21"/>
          <w:szCs w:val="21"/>
          <w:color w:val="auto"/>
        </w:rPr>
        <w:t>Deferred stock units and unvested stock option grants vest. Participants have the full term to exercise all stock options, including those previously vested.</w:t>
      </w:r>
    </w:p>
    <w:p>
      <w:pPr>
        <w:spacing w:after="0" w:line="24" w:lineRule="exact"/>
        <w:rPr>
          <w:rFonts w:ascii="Arial" w:cs="Arial" w:eastAsia="Arial" w:hAnsi="Arial"/>
          <w:sz w:val="21"/>
          <w:szCs w:val="21"/>
          <w:color w:val="582C83"/>
        </w:rPr>
      </w:pPr>
    </w:p>
    <w:p>
      <w:pPr>
        <w:ind w:left="216" w:right="420" w:hanging="216"/>
        <w:spacing w:after="0" w:line="262" w:lineRule="auto"/>
        <w:tabs>
          <w:tab w:leader="none" w:pos="216" w:val="left"/>
        </w:tabs>
        <w:numPr>
          <w:ilvl w:val="0"/>
          <w:numId w:val="85"/>
        </w:numPr>
        <w:rPr>
          <w:rFonts w:ascii="Arial" w:cs="Arial" w:eastAsia="Arial" w:hAnsi="Arial"/>
          <w:sz w:val="21"/>
          <w:szCs w:val="21"/>
          <w:color w:val="582C83"/>
        </w:rPr>
      </w:pPr>
      <w:r>
        <w:rPr>
          <w:rFonts w:ascii="Arial" w:cs="Arial" w:eastAsia="Arial" w:hAnsi="Arial"/>
          <w:sz w:val="21"/>
          <w:szCs w:val="21"/>
          <w:color w:val="auto"/>
        </w:rPr>
        <w:t>The maximum benefit under the CIC Plan or otherwise is the greater of the full benefit or a reduced benefit that does not trigger the excise tax under Code Section 4999 as determined on an after-tax basis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-518795</wp:posOffset>
            </wp:positionV>
            <wp:extent cx="7132320" cy="5403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284"/>
            <w:col w:w="7776"/>
          </w:cols>
          <w:pgMar w:left="320" w:top="130" w:right="3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POTENTIAL PAYOUT UPON A TERMINATION FOLLOWING A CHANGE IN CONTROL</w:t>
      </w:r>
    </w:p>
    <w:p>
      <w:pPr>
        <w:spacing w:after="0" w:line="103"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The table below was prepared as if each of the NEOs covered under our CIC Plan and Equity Plan were involuntarily terminated without cause or voluntarily terminated for Good Reason immediately following a CIC on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b w:val="1"/>
                <w:bCs w:val="1"/>
                <w:color w:val="auto"/>
              </w:rPr>
              <w:t>Value of</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Value of</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Value of</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Annual</w:t>
            </w:r>
          </w:p>
        </w:tc>
        <w:tc>
          <w:tcPr>
            <w:tcW w:w="1160" w:type="dxa"/>
            <w:vAlign w:val="bottom"/>
          </w:tcPr>
          <w:p>
            <w:pPr>
              <w:jc w:val="right"/>
              <w:ind w:right="73"/>
              <w:spacing w:after="0" w:line="202" w:lineRule="exact"/>
              <w:rPr>
                <w:sz w:val="20"/>
                <w:szCs w:val="20"/>
                <w:color w:val="auto"/>
              </w:rPr>
            </w:pPr>
            <w:r>
              <w:rPr>
                <w:rFonts w:ascii="Arial" w:cs="Arial" w:eastAsia="Arial" w:hAnsi="Arial"/>
                <w:sz w:val="18"/>
                <w:szCs w:val="18"/>
                <w:b w:val="1"/>
                <w:bCs w:val="1"/>
                <w:color w:val="auto"/>
              </w:rPr>
              <w:t>Unvested</w:t>
            </w:r>
          </w:p>
        </w:tc>
        <w:tc>
          <w:tcPr>
            <w:tcW w:w="110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Unvested</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Unvested</w:t>
            </w:r>
          </w:p>
        </w:tc>
        <w:tc>
          <w:tcPr>
            <w:tcW w:w="1440" w:type="dxa"/>
            <w:vAlign w:val="bottom"/>
          </w:tcPr>
          <w:p>
            <w:pPr>
              <w:jc w:val="right"/>
              <w:ind w:right="53"/>
              <w:spacing w:after="0" w:line="202" w:lineRule="exact"/>
              <w:rPr>
                <w:sz w:val="20"/>
                <w:szCs w:val="20"/>
                <w:color w:val="auto"/>
              </w:rPr>
            </w:pPr>
            <w:r>
              <w:rPr>
                <w:rFonts w:ascii="Arial" w:cs="Arial" w:eastAsia="Arial" w:hAnsi="Arial"/>
                <w:sz w:val="18"/>
                <w:szCs w:val="18"/>
                <w:b w:val="1"/>
                <w:bCs w:val="1"/>
                <w:color w:val="auto"/>
              </w:rPr>
              <w:t>Health &amp;</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1780" w:type="dxa"/>
            <w:vAlign w:val="bottom"/>
          </w:tcPr>
          <w:p>
            <w:pPr>
              <w:spacing w:after="0"/>
              <w:rPr>
                <w:sz w:val="17"/>
                <w:szCs w:val="17"/>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b w:val="1"/>
                <w:bCs w:val="1"/>
                <w:color w:val="auto"/>
              </w:rPr>
              <w:t>Separation</w:t>
            </w: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Incentive</w:t>
            </w:r>
          </w:p>
        </w:tc>
        <w:tc>
          <w:tcPr>
            <w:tcW w:w="1160" w:type="dxa"/>
            <w:vAlign w:val="bottom"/>
          </w:tcPr>
          <w:p>
            <w:pPr>
              <w:jc w:val="right"/>
              <w:ind w:right="73"/>
              <w:spacing w:after="0"/>
              <w:rPr>
                <w:sz w:val="20"/>
                <w:szCs w:val="20"/>
                <w:color w:val="auto"/>
              </w:rPr>
            </w:pPr>
            <w:r>
              <w:rPr>
                <w:rFonts w:ascii="Arial" w:cs="Arial" w:eastAsia="Arial" w:hAnsi="Arial"/>
                <w:sz w:val="18"/>
                <w:szCs w:val="18"/>
                <w:b w:val="1"/>
                <w:bCs w:val="1"/>
                <w:color w:val="auto"/>
              </w:rPr>
              <w:t>PSU</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Stock</w:t>
            </w:r>
          </w:p>
        </w:tc>
        <w:tc>
          <w:tcPr>
            <w:tcW w:w="1440" w:type="dxa"/>
            <w:vAlign w:val="bottom"/>
          </w:tcPr>
          <w:p>
            <w:pPr>
              <w:jc w:val="right"/>
              <w:ind w:right="53"/>
              <w:spacing w:after="0"/>
              <w:rPr>
                <w:sz w:val="20"/>
                <w:szCs w:val="20"/>
                <w:color w:val="auto"/>
              </w:rPr>
            </w:pPr>
            <w:r>
              <w:rPr>
                <w:rFonts w:ascii="Arial" w:cs="Arial" w:eastAsia="Arial" w:hAnsi="Arial"/>
                <w:sz w:val="18"/>
                <w:szCs w:val="18"/>
                <w:b w:val="1"/>
                <w:bCs w:val="1"/>
                <w:color w:val="auto"/>
              </w:rPr>
              <w:t>Welfare</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Continuation</w:t>
            </w:r>
          </w:p>
        </w:tc>
        <w:tc>
          <w:tcPr>
            <w:tcW w:w="1060" w:type="dxa"/>
            <w:vAlign w:val="bottom"/>
          </w:tcPr>
          <w:p>
            <w:pPr>
              <w:spacing w:after="0"/>
              <w:rPr>
                <w:sz w:val="17"/>
                <w:szCs w:val="17"/>
                <w:color w:val="auto"/>
              </w:rPr>
            </w:pPr>
          </w:p>
        </w:tc>
      </w:tr>
      <w:tr>
        <w:trPr>
          <w:trHeight w:val="239"/>
        </w:trPr>
        <w:tc>
          <w:tcPr>
            <w:tcW w:w="1780" w:type="dxa"/>
            <w:vAlign w:val="bottom"/>
          </w:tcPr>
          <w:p>
            <w:pPr>
              <w:spacing w:after="0"/>
              <w:rPr>
                <w:sz w:val="20"/>
                <w:szCs w:val="20"/>
                <w:color w:val="auto"/>
              </w:rPr>
            </w:pPr>
          </w:p>
        </w:tc>
        <w:tc>
          <w:tcPr>
            <w:tcW w:w="1260" w:type="dxa"/>
            <w:vAlign w:val="bottom"/>
          </w:tcPr>
          <w:p>
            <w:pPr>
              <w:jc w:val="right"/>
              <w:ind w:right="73"/>
              <w:spacing w:after="0" w:line="240" w:lineRule="exact"/>
              <w:rPr>
                <w:sz w:val="20"/>
                <w:szCs w:val="20"/>
                <w:color w:val="auto"/>
              </w:rPr>
            </w:pPr>
            <w:r>
              <w:rPr>
                <w:rFonts w:ascii="Arial" w:cs="Arial" w:eastAsia="Arial" w:hAnsi="Arial"/>
                <w:sz w:val="17"/>
                <w:szCs w:val="17"/>
                <w:b w:val="1"/>
                <w:bCs w:val="1"/>
                <w:color w:val="auto"/>
              </w:rPr>
              <w:t>Payment</w:t>
            </w:r>
            <w:r>
              <w:rPr>
                <w:rFonts w:ascii="Arial" w:cs="Arial" w:eastAsia="Arial" w:hAnsi="Arial"/>
                <w:sz w:val="27"/>
                <w:szCs w:val="27"/>
                <w:b w:val="1"/>
                <w:bCs w:val="1"/>
                <w:color w:val="auto"/>
                <w:vertAlign w:val="superscript"/>
              </w:rPr>
              <w:t>(1)</w:t>
            </w:r>
          </w:p>
        </w:tc>
        <w:tc>
          <w:tcPr>
            <w:tcW w:w="1080" w:type="dxa"/>
            <w:vAlign w:val="bottom"/>
          </w:tcPr>
          <w:p>
            <w:pPr>
              <w:jc w:val="right"/>
              <w:ind w:right="33"/>
              <w:spacing w:after="0" w:line="240" w:lineRule="exact"/>
              <w:rPr>
                <w:sz w:val="20"/>
                <w:szCs w:val="20"/>
                <w:color w:val="auto"/>
              </w:rPr>
            </w:pPr>
            <w:r>
              <w:rPr>
                <w:rFonts w:ascii="Arial" w:cs="Arial" w:eastAsia="Arial" w:hAnsi="Arial"/>
                <w:sz w:val="17"/>
                <w:szCs w:val="17"/>
                <w:b w:val="1"/>
                <w:bCs w:val="1"/>
                <w:color w:val="auto"/>
              </w:rPr>
              <w:t>Award</w:t>
            </w:r>
            <w:r>
              <w:rPr>
                <w:rFonts w:ascii="Arial" w:cs="Arial" w:eastAsia="Arial" w:hAnsi="Arial"/>
                <w:sz w:val="27"/>
                <w:szCs w:val="27"/>
                <w:b w:val="1"/>
                <w:bCs w:val="1"/>
                <w:color w:val="auto"/>
                <w:vertAlign w:val="superscript"/>
              </w:rPr>
              <w:t>(2)</w:t>
            </w:r>
          </w:p>
        </w:tc>
        <w:tc>
          <w:tcPr>
            <w:tcW w:w="1160" w:type="dxa"/>
            <w:vAlign w:val="bottom"/>
          </w:tcPr>
          <w:p>
            <w:pPr>
              <w:jc w:val="right"/>
              <w:ind w:right="7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(3)</w:t>
            </w:r>
          </w:p>
        </w:tc>
        <w:tc>
          <w:tcPr>
            <w:tcW w:w="1100" w:type="dxa"/>
            <w:vAlign w:val="bottom"/>
          </w:tcPr>
          <w:p>
            <w:pPr>
              <w:jc w:val="right"/>
              <w:ind w:right="5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(4)</w:t>
            </w:r>
          </w:p>
        </w:tc>
        <w:tc>
          <w:tcPr>
            <w:tcW w:w="1040" w:type="dxa"/>
            <w:vAlign w:val="bottom"/>
          </w:tcPr>
          <w:p>
            <w:pPr>
              <w:jc w:val="right"/>
              <w:spacing w:after="0" w:line="240" w:lineRule="exact"/>
              <w:rPr>
                <w:sz w:val="20"/>
                <w:szCs w:val="20"/>
                <w:color w:val="auto"/>
              </w:rPr>
            </w:pPr>
            <w:r>
              <w:rPr>
                <w:rFonts w:ascii="Arial" w:cs="Arial" w:eastAsia="Arial" w:hAnsi="Arial"/>
                <w:sz w:val="17"/>
                <w:szCs w:val="17"/>
                <w:b w:val="1"/>
                <w:bCs w:val="1"/>
                <w:color w:val="auto"/>
              </w:rPr>
              <w:t>Options</w:t>
            </w:r>
            <w:r>
              <w:rPr>
                <w:rFonts w:ascii="Arial" w:cs="Arial" w:eastAsia="Arial" w:hAnsi="Arial"/>
                <w:sz w:val="27"/>
                <w:szCs w:val="27"/>
                <w:b w:val="1"/>
                <w:bCs w:val="1"/>
                <w:color w:val="auto"/>
                <w:vertAlign w:val="superscript"/>
              </w:rPr>
              <w:t>(4)</w:t>
            </w:r>
          </w:p>
        </w:tc>
        <w:tc>
          <w:tcPr>
            <w:tcW w:w="1440" w:type="dxa"/>
            <w:vAlign w:val="bottom"/>
          </w:tcPr>
          <w:p>
            <w:pPr>
              <w:jc w:val="right"/>
              <w:ind w:right="53"/>
              <w:spacing w:after="0" w:line="240" w:lineRule="exact"/>
              <w:rPr>
                <w:sz w:val="20"/>
                <w:szCs w:val="20"/>
                <w:color w:val="auto"/>
              </w:rPr>
            </w:pPr>
            <w:r>
              <w:rPr>
                <w:rFonts w:ascii="Arial" w:cs="Arial" w:eastAsia="Arial" w:hAnsi="Arial"/>
                <w:sz w:val="17"/>
                <w:szCs w:val="17"/>
                <w:b w:val="1"/>
                <w:bCs w:val="1"/>
                <w:color w:val="auto"/>
              </w:rPr>
              <w:t>Continuation</w:t>
            </w:r>
            <w:r>
              <w:rPr>
                <w:rFonts w:ascii="Arial" w:cs="Arial" w:eastAsia="Arial" w:hAnsi="Arial"/>
                <w:sz w:val="27"/>
                <w:szCs w:val="27"/>
                <w:b w:val="1"/>
                <w:bCs w:val="1"/>
                <w:color w:val="auto"/>
                <w:vertAlign w:val="superscript"/>
              </w:rPr>
              <w:t>(5)</w:t>
            </w:r>
          </w:p>
        </w:tc>
        <w:tc>
          <w:tcPr>
            <w:tcW w:w="1320" w:type="dxa"/>
            <w:vAlign w:val="bottom"/>
          </w:tcPr>
          <w:p>
            <w:pPr>
              <w:jc w:val="right"/>
              <w:ind w:right="33"/>
              <w:spacing w:after="0" w:line="240" w:lineRule="exact"/>
              <w:rPr>
                <w:sz w:val="20"/>
                <w:szCs w:val="20"/>
                <w:color w:val="auto"/>
              </w:rPr>
            </w:pPr>
            <w:r>
              <w:rPr>
                <w:rFonts w:ascii="Arial" w:cs="Arial" w:eastAsia="Arial" w:hAnsi="Arial"/>
                <w:sz w:val="17"/>
                <w:szCs w:val="17"/>
                <w:b w:val="1"/>
                <w:bCs w:val="1"/>
                <w:color w:val="auto"/>
              </w:rPr>
              <w:t>of Benefits</w:t>
            </w:r>
            <w:r>
              <w:rPr>
                <w:rFonts w:ascii="Arial" w:cs="Arial" w:eastAsia="Arial" w:hAnsi="Arial"/>
                <w:sz w:val="27"/>
                <w:szCs w:val="27"/>
                <w:b w:val="1"/>
                <w:bCs w:val="1"/>
                <w:color w:val="auto"/>
                <w:vertAlign w:val="superscript"/>
              </w:rPr>
              <w:t>(6)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5"/>
        </w:trPr>
        <w:tc>
          <w:tcPr>
            <w:tcW w:w="1780" w:type="dxa"/>
            <w:vAlign w:val="bottom"/>
            <w:tcBorders>
              <w:bottom w:val="single" w:sz="8" w:color="582C83"/>
            </w:tcBorders>
          </w:tcPr>
          <w:p>
            <w:pPr>
              <w:ind w:left="60"/>
              <w:spacing w:after="0"/>
              <w:rPr>
                <w:sz w:val="20"/>
                <w:szCs w:val="20"/>
                <w:color w:val="auto"/>
              </w:rPr>
            </w:pPr>
            <w:r>
              <w:rPr>
                <w:rFonts w:ascii="Arial" w:cs="Arial" w:eastAsia="Arial" w:hAnsi="Arial"/>
                <w:sz w:val="18"/>
                <w:szCs w:val="18"/>
                <w:b w:val="1"/>
                <w:bCs w:val="1"/>
                <w:color w:val="auto"/>
              </w:rPr>
              <w:t>Name</w:t>
            </w:r>
          </w:p>
        </w:tc>
        <w:tc>
          <w:tcPr>
            <w:tcW w:w="1260" w:type="dxa"/>
            <w:vAlign w:val="bottom"/>
            <w:tcBorders>
              <w:bottom w:val="single" w:sz="8" w:color="582C83"/>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582C83"/>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582C83"/>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582C83"/>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582C83"/>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582C83"/>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315"/>
        </w:trPr>
        <w:tc>
          <w:tcPr>
            <w:tcW w:w="17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Van de Put, Dirk</w:t>
            </w:r>
          </w:p>
        </w:tc>
        <w:tc>
          <w:tcPr>
            <w:tcW w:w="1260" w:type="dxa"/>
            <w:vAlign w:val="bottom"/>
            <w:tcBorders>
              <w:bottom w:val="single" w:sz="8" w:color="EBE6F0"/>
            </w:tcBorders>
            <w:shd w:val="clear" w:color="auto" w:fill="EBE6F0"/>
          </w:tcPr>
          <w:p>
            <w:pPr>
              <w:jc w:val="right"/>
              <w:ind w:right="93"/>
              <w:spacing w:after="0"/>
              <w:rPr>
                <w:sz w:val="20"/>
                <w:szCs w:val="20"/>
                <w:color w:val="auto"/>
              </w:rPr>
            </w:pPr>
            <w:r>
              <w:rPr>
                <w:rFonts w:ascii="Arial" w:cs="Arial" w:eastAsia="Arial" w:hAnsi="Arial"/>
                <w:sz w:val="18"/>
                <w:szCs w:val="18"/>
                <w:color w:val="auto"/>
              </w:rPr>
              <w:t>12,782,250</w:t>
            </w:r>
          </w:p>
        </w:tc>
        <w:tc>
          <w:tcPr>
            <w:tcW w:w="108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2,775,000</w:t>
            </w:r>
          </w:p>
        </w:tc>
        <w:tc>
          <w:tcPr>
            <w:tcW w:w="1160" w:type="dxa"/>
            <w:vAlign w:val="bottom"/>
            <w:tcBorders>
              <w:bottom w:val="single" w:sz="8" w:color="EBE6F0"/>
            </w:tcBorders>
            <w:shd w:val="clear" w:color="auto" w:fill="EBE6F0"/>
          </w:tcPr>
          <w:p>
            <w:pPr>
              <w:jc w:val="right"/>
              <w:ind w:right="73"/>
              <w:spacing w:after="0"/>
              <w:rPr>
                <w:sz w:val="20"/>
                <w:szCs w:val="20"/>
                <w:color w:val="auto"/>
              </w:rPr>
            </w:pPr>
            <w:r>
              <w:rPr>
                <w:rFonts w:ascii="Arial" w:cs="Arial" w:eastAsia="Arial" w:hAnsi="Arial"/>
                <w:sz w:val="18"/>
                <w:szCs w:val="18"/>
                <w:color w:val="auto"/>
              </w:rPr>
              <w:t>23,553,533</w:t>
            </w:r>
          </w:p>
        </w:tc>
        <w:tc>
          <w:tcPr>
            <w:tcW w:w="110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5,471,841</w:t>
            </w:r>
          </w:p>
        </w:tc>
        <w:tc>
          <w:tcPr>
            <w:tcW w:w="144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32,363</w:t>
            </w:r>
          </w:p>
        </w:tc>
        <w:tc>
          <w:tcPr>
            <w:tcW w:w="132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124,999</w:t>
            </w: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44,739,986</w:t>
            </w:r>
          </w:p>
        </w:tc>
      </w:tr>
      <w:tr>
        <w:trPr>
          <w:trHeight w:val="265"/>
        </w:trPr>
        <w:tc>
          <w:tcPr>
            <w:tcW w:w="1780" w:type="dxa"/>
            <w:vAlign w:val="bottom"/>
            <w:tcBorders>
              <w:top w:val="single" w:sz="8" w:color="572C83"/>
            </w:tcBorders>
          </w:tcPr>
          <w:p>
            <w:pPr>
              <w:ind w:left="60"/>
              <w:spacing w:after="0"/>
              <w:rPr>
                <w:sz w:val="20"/>
                <w:szCs w:val="20"/>
                <w:color w:val="auto"/>
              </w:rPr>
            </w:pPr>
            <w:r>
              <w:rPr>
                <w:rFonts w:ascii="Arial" w:cs="Arial" w:eastAsia="Arial" w:hAnsi="Arial"/>
                <w:sz w:val="18"/>
                <w:szCs w:val="18"/>
                <w:color w:val="auto"/>
              </w:rPr>
              <w:t>Zaramella, Luca</w:t>
            </w:r>
          </w:p>
        </w:tc>
        <w:tc>
          <w:tcPr>
            <w:tcW w:w="1260" w:type="dxa"/>
            <w:vAlign w:val="bottom"/>
            <w:tcBorders>
              <w:top w:val="single" w:sz="8" w:color="572C83"/>
            </w:tcBorders>
          </w:tcPr>
          <w:p>
            <w:pPr>
              <w:jc w:val="right"/>
              <w:ind w:right="73"/>
              <w:spacing w:after="0"/>
              <w:rPr>
                <w:sz w:val="20"/>
                <w:szCs w:val="20"/>
                <w:color w:val="auto"/>
              </w:rPr>
            </w:pPr>
            <w:r>
              <w:rPr>
                <w:rFonts w:ascii="Arial" w:cs="Arial" w:eastAsia="Arial" w:hAnsi="Arial"/>
                <w:sz w:val="18"/>
                <w:szCs w:val="18"/>
                <w:color w:val="auto"/>
              </w:rPr>
              <w:t>3,400,000</w:t>
            </w:r>
          </w:p>
        </w:tc>
        <w:tc>
          <w:tcPr>
            <w:tcW w:w="1080" w:type="dxa"/>
            <w:vAlign w:val="bottom"/>
            <w:tcBorders>
              <w:top w:val="single" w:sz="8" w:color="572C83"/>
            </w:tcBorders>
          </w:tcPr>
          <w:p>
            <w:pPr>
              <w:jc w:val="right"/>
              <w:ind w:right="33"/>
              <w:spacing w:after="0"/>
              <w:rPr>
                <w:sz w:val="20"/>
                <w:szCs w:val="20"/>
                <w:color w:val="auto"/>
              </w:rPr>
            </w:pPr>
            <w:r>
              <w:rPr>
                <w:rFonts w:ascii="Arial" w:cs="Arial" w:eastAsia="Arial" w:hAnsi="Arial"/>
                <w:sz w:val="18"/>
                <w:szCs w:val="18"/>
                <w:color w:val="auto"/>
              </w:rPr>
              <w:t>850,000</w:t>
            </w:r>
          </w:p>
        </w:tc>
        <w:tc>
          <w:tcPr>
            <w:tcW w:w="1160" w:type="dxa"/>
            <w:vAlign w:val="bottom"/>
            <w:tcBorders>
              <w:top w:val="single" w:sz="8" w:color="572C83"/>
            </w:tcBorders>
          </w:tcPr>
          <w:p>
            <w:pPr>
              <w:jc w:val="right"/>
              <w:ind w:right="73"/>
              <w:spacing w:after="0"/>
              <w:rPr>
                <w:sz w:val="20"/>
                <w:szCs w:val="20"/>
                <w:color w:val="auto"/>
              </w:rPr>
            </w:pPr>
            <w:r>
              <w:rPr>
                <w:rFonts w:ascii="Arial" w:cs="Arial" w:eastAsia="Arial" w:hAnsi="Arial"/>
                <w:sz w:val="18"/>
                <w:szCs w:val="18"/>
                <w:color w:val="auto"/>
              </w:rPr>
              <w:t>5,932,093</w:t>
            </w:r>
          </w:p>
        </w:tc>
        <w:tc>
          <w:tcPr>
            <w:tcW w:w="1100" w:type="dxa"/>
            <w:vAlign w:val="bottom"/>
            <w:tcBorders>
              <w:top w:val="single" w:sz="8" w:color="572C83"/>
            </w:tcBorders>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1,440,501</w:t>
            </w:r>
          </w:p>
        </w:tc>
        <w:tc>
          <w:tcPr>
            <w:tcW w:w="1440" w:type="dxa"/>
            <w:vAlign w:val="bottom"/>
            <w:tcBorders>
              <w:top w:val="single" w:sz="8" w:color="572C83"/>
            </w:tcBorders>
          </w:tcPr>
          <w:p>
            <w:pPr>
              <w:jc w:val="right"/>
              <w:ind w:right="53"/>
              <w:spacing w:after="0"/>
              <w:rPr>
                <w:sz w:val="20"/>
                <w:szCs w:val="20"/>
                <w:color w:val="auto"/>
              </w:rPr>
            </w:pPr>
            <w:r>
              <w:rPr>
                <w:rFonts w:ascii="Arial" w:cs="Arial" w:eastAsia="Arial" w:hAnsi="Arial"/>
                <w:sz w:val="18"/>
                <w:szCs w:val="18"/>
                <w:color w:val="auto"/>
              </w:rPr>
              <w:t>31,258</w:t>
            </w:r>
          </w:p>
        </w:tc>
        <w:tc>
          <w:tcPr>
            <w:tcW w:w="1320" w:type="dxa"/>
            <w:vAlign w:val="bottom"/>
            <w:tcBorders>
              <w:top w:val="single" w:sz="8" w:color="572C83"/>
            </w:tcBorders>
          </w:tcPr>
          <w:p>
            <w:pPr>
              <w:jc w:val="right"/>
              <w:ind w:right="33"/>
              <w:spacing w:after="0"/>
              <w:rPr>
                <w:sz w:val="20"/>
                <w:szCs w:val="20"/>
                <w:color w:val="auto"/>
              </w:rPr>
            </w:pPr>
            <w:r>
              <w:rPr>
                <w:rFonts w:ascii="Arial" w:cs="Arial" w:eastAsia="Arial" w:hAnsi="Arial"/>
                <w:sz w:val="18"/>
                <w:szCs w:val="18"/>
                <w:color w:val="auto"/>
              </w:rPr>
              <w:t>70,000</w:t>
            </w:r>
          </w:p>
        </w:tc>
        <w:tc>
          <w:tcPr>
            <w:tcW w:w="106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11,723,852</w:t>
            </w:r>
          </w:p>
        </w:tc>
      </w:tr>
      <w:tr>
        <w:trPr>
          <w:trHeight w:val="39"/>
        </w:trPr>
        <w:tc>
          <w:tcPr>
            <w:tcW w:w="178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080" w:type="dxa"/>
            <w:vAlign w:val="bottom"/>
            <w:tcBorders>
              <w:bottom w:val="single" w:sz="8" w:color="572C83"/>
            </w:tcBorders>
          </w:tcPr>
          <w:p>
            <w:pPr>
              <w:spacing w:after="0"/>
              <w:rPr>
                <w:sz w:val="3"/>
                <w:szCs w:val="3"/>
                <w:color w:val="auto"/>
              </w:rPr>
            </w:pPr>
          </w:p>
        </w:tc>
        <w:tc>
          <w:tcPr>
            <w:tcW w:w="1160" w:type="dxa"/>
            <w:vAlign w:val="bottom"/>
            <w:tcBorders>
              <w:bottom w:val="single" w:sz="8" w:color="572C83"/>
            </w:tcBorders>
          </w:tcPr>
          <w:p>
            <w:pPr>
              <w:spacing w:after="0"/>
              <w:rPr>
                <w:sz w:val="3"/>
                <w:szCs w:val="3"/>
                <w:color w:val="auto"/>
              </w:rPr>
            </w:pPr>
          </w:p>
        </w:tc>
        <w:tc>
          <w:tcPr>
            <w:tcW w:w="110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320" w:type="dxa"/>
            <w:vAlign w:val="bottom"/>
            <w:tcBorders>
              <w:bottom w:val="single" w:sz="8" w:color="572C83"/>
            </w:tcBorders>
          </w:tcPr>
          <w:p>
            <w:pPr>
              <w:spacing w:after="0"/>
              <w:rPr>
                <w:sz w:val="3"/>
                <w:szCs w:val="3"/>
                <w:color w:val="auto"/>
              </w:rPr>
            </w:pPr>
          </w:p>
        </w:tc>
        <w:tc>
          <w:tcPr>
            <w:tcW w:w="1060" w:type="dxa"/>
            <w:vAlign w:val="bottom"/>
            <w:tcBorders>
              <w:bottom w:val="single" w:sz="8" w:color="572C83"/>
            </w:tcBorders>
          </w:tcPr>
          <w:p>
            <w:pPr>
              <w:spacing w:after="0"/>
              <w:rPr>
                <w:sz w:val="3"/>
                <w:szCs w:val="3"/>
                <w:color w:val="auto"/>
              </w:rPr>
            </w:pPr>
          </w:p>
        </w:tc>
      </w:tr>
      <w:tr>
        <w:trPr>
          <w:trHeight w:val="309"/>
        </w:trPr>
        <w:tc>
          <w:tcPr>
            <w:tcW w:w="17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Brusadelli, Maurizio</w:t>
            </w:r>
          </w:p>
        </w:tc>
        <w:tc>
          <w:tcPr>
            <w:tcW w:w="1260" w:type="dxa"/>
            <w:vAlign w:val="bottom"/>
            <w:tcBorders>
              <w:bottom w:val="single" w:sz="8" w:color="EBE6F0"/>
            </w:tcBorders>
            <w:shd w:val="clear" w:color="auto" w:fill="EBE6F0"/>
          </w:tcPr>
          <w:p>
            <w:pPr>
              <w:jc w:val="right"/>
              <w:ind w:right="93"/>
              <w:spacing w:after="0"/>
              <w:rPr>
                <w:sz w:val="20"/>
                <w:szCs w:val="20"/>
                <w:color w:val="auto"/>
              </w:rPr>
            </w:pPr>
            <w:r>
              <w:rPr>
                <w:rFonts w:ascii="Arial" w:cs="Arial" w:eastAsia="Arial" w:hAnsi="Arial"/>
                <w:sz w:val="18"/>
                <w:szCs w:val="18"/>
                <w:color w:val="auto"/>
              </w:rPr>
              <w:t>12,516,160</w:t>
            </w:r>
          </w:p>
        </w:tc>
        <w:tc>
          <w:tcPr>
            <w:tcW w:w="108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614,248</w:t>
            </w:r>
          </w:p>
        </w:tc>
        <w:tc>
          <w:tcPr>
            <w:tcW w:w="1160" w:type="dxa"/>
            <w:vAlign w:val="bottom"/>
            <w:tcBorders>
              <w:bottom w:val="single" w:sz="8" w:color="EBE6F0"/>
            </w:tcBorders>
            <w:shd w:val="clear" w:color="auto" w:fill="EBE6F0"/>
          </w:tcPr>
          <w:p>
            <w:pPr>
              <w:jc w:val="right"/>
              <w:ind w:right="73"/>
              <w:spacing w:after="0"/>
              <w:rPr>
                <w:sz w:val="20"/>
                <w:szCs w:val="20"/>
                <w:color w:val="auto"/>
              </w:rPr>
            </w:pPr>
            <w:r>
              <w:rPr>
                <w:rFonts w:ascii="Arial" w:cs="Arial" w:eastAsia="Arial" w:hAnsi="Arial"/>
                <w:sz w:val="18"/>
                <w:szCs w:val="18"/>
                <w:color w:val="auto"/>
              </w:rPr>
              <w:t>4,962,419</w:t>
            </w:r>
          </w:p>
        </w:tc>
        <w:tc>
          <w:tcPr>
            <w:tcW w:w="110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1,131,278</w:t>
            </w:r>
          </w:p>
        </w:tc>
        <w:tc>
          <w:tcPr>
            <w:tcW w:w="144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22,735</w:t>
            </w:r>
          </w:p>
        </w:tc>
        <w:tc>
          <w:tcPr>
            <w:tcW w:w="132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170,113</w:t>
            </w: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19,416,953</w:t>
            </w:r>
          </w:p>
        </w:tc>
      </w:tr>
      <w:tr>
        <w:trPr>
          <w:trHeight w:val="265"/>
        </w:trPr>
        <w:tc>
          <w:tcPr>
            <w:tcW w:w="1780" w:type="dxa"/>
            <w:vAlign w:val="bottom"/>
            <w:tcBorders>
              <w:top w:val="single" w:sz="8" w:color="572C83"/>
            </w:tcBorders>
          </w:tcPr>
          <w:p>
            <w:pPr>
              <w:ind w:left="60"/>
              <w:spacing w:after="0"/>
              <w:rPr>
                <w:sz w:val="20"/>
                <w:szCs w:val="20"/>
                <w:color w:val="auto"/>
              </w:rPr>
            </w:pPr>
            <w:r>
              <w:rPr>
                <w:rFonts w:ascii="Arial" w:cs="Arial" w:eastAsia="Arial" w:hAnsi="Arial"/>
                <w:sz w:val="18"/>
                <w:szCs w:val="18"/>
                <w:color w:val="auto"/>
              </w:rPr>
              <w:t>Gruber, Vinzenz</w:t>
            </w:r>
          </w:p>
        </w:tc>
        <w:tc>
          <w:tcPr>
            <w:tcW w:w="1260" w:type="dxa"/>
            <w:vAlign w:val="bottom"/>
            <w:tcBorders>
              <w:top w:val="single" w:sz="8" w:color="572C83"/>
            </w:tcBorders>
          </w:tcPr>
          <w:p>
            <w:pPr>
              <w:jc w:val="right"/>
              <w:ind w:right="73"/>
              <w:spacing w:after="0"/>
              <w:rPr>
                <w:sz w:val="20"/>
                <w:szCs w:val="20"/>
                <w:color w:val="auto"/>
              </w:rPr>
            </w:pPr>
            <w:r>
              <w:rPr>
                <w:rFonts w:ascii="Arial" w:cs="Arial" w:eastAsia="Arial" w:hAnsi="Arial"/>
                <w:sz w:val="18"/>
                <w:szCs w:val="18"/>
                <w:color w:val="auto"/>
              </w:rPr>
              <w:t>2,950,924</w:t>
            </w:r>
          </w:p>
        </w:tc>
        <w:tc>
          <w:tcPr>
            <w:tcW w:w="1080" w:type="dxa"/>
            <w:vAlign w:val="bottom"/>
            <w:tcBorders>
              <w:top w:val="single" w:sz="8" w:color="572C83"/>
            </w:tcBorders>
          </w:tcPr>
          <w:p>
            <w:pPr>
              <w:jc w:val="right"/>
              <w:ind w:right="33"/>
              <w:spacing w:after="0"/>
              <w:rPr>
                <w:sz w:val="20"/>
                <w:szCs w:val="20"/>
                <w:color w:val="auto"/>
              </w:rPr>
            </w:pPr>
            <w:r>
              <w:rPr>
                <w:rFonts w:ascii="Arial" w:cs="Arial" w:eastAsia="Arial" w:hAnsi="Arial"/>
                <w:sz w:val="18"/>
                <w:szCs w:val="18"/>
                <w:color w:val="auto"/>
              </w:rPr>
              <w:t>698,903</w:t>
            </w:r>
          </w:p>
        </w:tc>
        <w:tc>
          <w:tcPr>
            <w:tcW w:w="1160" w:type="dxa"/>
            <w:vAlign w:val="bottom"/>
            <w:tcBorders>
              <w:top w:val="single" w:sz="8" w:color="572C83"/>
            </w:tcBorders>
          </w:tcPr>
          <w:p>
            <w:pPr>
              <w:jc w:val="right"/>
              <w:ind w:right="73"/>
              <w:spacing w:after="0"/>
              <w:rPr>
                <w:sz w:val="20"/>
                <w:szCs w:val="20"/>
                <w:color w:val="auto"/>
              </w:rPr>
            </w:pPr>
            <w:r>
              <w:rPr>
                <w:rFonts w:ascii="Arial" w:cs="Arial" w:eastAsia="Arial" w:hAnsi="Arial"/>
                <w:sz w:val="18"/>
                <w:szCs w:val="18"/>
                <w:color w:val="auto"/>
              </w:rPr>
              <w:t>4,334,022</w:t>
            </w:r>
          </w:p>
        </w:tc>
        <w:tc>
          <w:tcPr>
            <w:tcW w:w="1100" w:type="dxa"/>
            <w:vAlign w:val="bottom"/>
            <w:tcBorders>
              <w:top w:val="single" w:sz="8" w:color="572C83"/>
            </w:tcBorders>
          </w:tcPr>
          <w:p>
            <w:pPr>
              <w:jc w:val="right"/>
              <w:ind w:right="53"/>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1,052,537</w:t>
            </w:r>
          </w:p>
        </w:tc>
        <w:tc>
          <w:tcPr>
            <w:tcW w:w="1440" w:type="dxa"/>
            <w:vAlign w:val="bottom"/>
            <w:tcBorders>
              <w:top w:val="single" w:sz="8" w:color="572C83"/>
            </w:tcBorders>
          </w:tcPr>
          <w:p>
            <w:pPr>
              <w:jc w:val="right"/>
              <w:ind w:right="53"/>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572C83"/>
            </w:tcBorders>
          </w:tcPr>
          <w:p>
            <w:pPr>
              <w:jc w:val="right"/>
              <w:ind w:right="33"/>
              <w:spacing w:after="0"/>
              <w:rPr>
                <w:sz w:val="20"/>
                <w:szCs w:val="20"/>
                <w:color w:val="auto"/>
              </w:rPr>
            </w:pPr>
            <w:r>
              <w:rPr>
                <w:rFonts w:ascii="Arial" w:cs="Arial" w:eastAsia="Arial" w:hAnsi="Arial"/>
                <w:sz w:val="18"/>
                <w:szCs w:val="18"/>
                <w:color w:val="auto"/>
              </w:rPr>
              <w:t>40,543</w:t>
            </w:r>
          </w:p>
        </w:tc>
        <w:tc>
          <w:tcPr>
            <w:tcW w:w="106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9,076,929</w:t>
            </w:r>
          </w:p>
        </w:tc>
      </w:tr>
      <w:tr>
        <w:trPr>
          <w:trHeight w:val="39"/>
        </w:trPr>
        <w:tc>
          <w:tcPr>
            <w:tcW w:w="1780" w:type="dxa"/>
            <w:vAlign w:val="bottom"/>
            <w:tcBorders>
              <w:bottom w:val="single" w:sz="8" w:color="572C83"/>
            </w:tcBorders>
          </w:tcPr>
          <w:p>
            <w:pPr>
              <w:spacing w:after="0"/>
              <w:rPr>
                <w:sz w:val="3"/>
                <w:szCs w:val="3"/>
                <w:color w:val="auto"/>
              </w:rPr>
            </w:pPr>
          </w:p>
        </w:tc>
        <w:tc>
          <w:tcPr>
            <w:tcW w:w="1260" w:type="dxa"/>
            <w:vAlign w:val="bottom"/>
            <w:tcBorders>
              <w:bottom w:val="single" w:sz="8" w:color="572C83"/>
            </w:tcBorders>
          </w:tcPr>
          <w:p>
            <w:pPr>
              <w:spacing w:after="0"/>
              <w:rPr>
                <w:sz w:val="3"/>
                <w:szCs w:val="3"/>
                <w:color w:val="auto"/>
              </w:rPr>
            </w:pPr>
          </w:p>
        </w:tc>
        <w:tc>
          <w:tcPr>
            <w:tcW w:w="1080" w:type="dxa"/>
            <w:vAlign w:val="bottom"/>
            <w:tcBorders>
              <w:bottom w:val="single" w:sz="8" w:color="572C83"/>
            </w:tcBorders>
          </w:tcPr>
          <w:p>
            <w:pPr>
              <w:spacing w:after="0"/>
              <w:rPr>
                <w:sz w:val="3"/>
                <w:szCs w:val="3"/>
                <w:color w:val="auto"/>
              </w:rPr>
            </w:pPr>
          </w:p>
        </w:tc>
        <w:tc>
          <w:tcPr>
            <w:tcW w:w="1160" w:type="dxa"/>
            <w:vAlign w:val="bottom"/>
            <w:tcBorders>
              <w:bottom w:val="single" w:sz="8" w:color="572C83"/>
            </w:tcBorders>
          </w:tcPr>
          <w:p>
            <w:pPr>
              <w:spacing w:after="0"/>
              <w:rPr>
                <w:sz w:val="3"/>
                <w:szCs w:val="3"/>
                <w:color w:val="auto"/>
              </w:rPr>
            </w:pPr>
          </w:p>
        </w:tc>
        <w:tc>
          <w:tcPr>
            <w:tcW w:w="1100" w:type="dxa"/>
            <w:vAlign w:val="bottom"/>
            <w:tcBorders>
              <w:bottom w:val="single" w:sz="8" w:color="572C83"/>
            </w:tcBorders>
          </w:tcPr>
          <w:p>
            <w:pPr>
              <w:spacing w:after="0"/>
              <w:rPr>
                <w:sz w:val="3"/>
                <w:szCs w:val="3"/>
                <w:color w:val="auto"/>
              </w:rPr>
            </w:pPr>
          </w:p>
        </w:tc>
        <w:tc>
          <w:tcPr>
            <w:tcW w:w="1040" w:type="dxa"/>
            <w:vAlign w:val="bottom"/>
            <w:tcBorders>
              <w:bottom w:val="single" w:sz="8" w:color="572C83"/>
            </w:tcBorders>
          </w:tcPr>
          <w:p>
            <w:pPr>
              <w:spacing w:after="0"/>
              <w:rPr>
                <w:sz w:val="3"/>
                <w:szCs w:val="3"/>
                <w:color w:val="auto"/>
              </w:rPr>
            </w:pPr>
          </w:p>
        </w:tc>
        <w:tc>
          <w:tcPr>
            <w:tcW w:w="1440" w:type="dxa"/>
            <w:vAlign w:val="bottom"/>
            <w:tcBorders>
              <w:bottom w:val="single" w:sz="8" w:color="572C83"/>
            </w:tcBorders>
          </w:tcPr>
          <w:p>
            <w:pPr>
              <w:spacing w:after="0"/>
              <w:rPr>
                <w:sz w:val="3"/>
                <w:szCs w:val="3"/>
                <w:color w:val="auto"/>
              </w:rPr>
            </w:pPr>
          </w:p>
        </w:tc>
        <w:tc>
          <w:tcPr>
            <w:tcW w:w="1320" w:type="dxa"/>
            <w:vAlign w:val="bottom"/>
            <w:tcBorders>
              <w:bottom w:val="single" w:sz="8" w:color="572C83"/>
            </w:tcBorders>
          </w:tcPr>
          <w:p>
            <w:pPr>
              <w:spacing w:after="0"/>
              <w:rPr>
                <w:sz w:val="3"/>
                <w:szCs w:val="3"/>
                <w:color w:val="auto"/>
              </w:rPr>
            </w:pPr>
          </w:p>
        </w:tc>
        <w:tc>
          <w:tcPr>
            <w:tcW w:w="1060" w:type="dxa"/>
            <w:vAlign w:val="bottom"/>
            <w:tcBorders>
              <w:bottom w:val="single" w:sz="8" w:color="572C83"/>
            </w:tcBorders>
          </w:tcPr>
          <w:p>
            <w:pPr>
              <w:spacing w:after="0"/>
              <w:rPr>
                <w:sz w:val="3"/>
                <w:szCs w:val="3"/>
                <w:color w:val="auto"/>
              </w:rPr>
            </w:pPr>
          </w:p>
        </w:tc>
      </w:tr>
      <w:tr>
        <w:trPr>
          <w:trHeight w:val="284"/>
        </w:trPr>
        <w:tc>
          <w:tcPr>
            <w:tcW w:w="178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18"/>
                <w:szCs w:val="18"/>
                <w:color w:val="auto"/>
              </w:rPr>
              <w:t>Stein, Laura</w:t>
            </w:r>
          </w:p>
        </w:tc>
        <w:tc>
          <w:tcPr>
            <w:tcW w:w="1260" w:type="dxa"/>
            <w:vAlign w:val="bottom"/>
            <w:tcBorders>
              <w:bottom w:val="single" w:sz="8" w:color="EBE6F0"/>
            </w:tcBorders>
            <w:shd w:val="clear" w:color="auto" w:fill="EBE6F0"/>
          </w:tcPr>
          <w:p>
            <w:pPr>
              <w:jc w:val="right"/>
              <w:ind w:right="73"/>
              <w:spacing w:after="0"/>
              <w:rPr>
                <w:sz w:val="20"/>
                <w:szCs w:val="20"/>
                <w:color w:val="auto"/>
              </w:rPr>
            </w:pPr>
            <w:r>
              <w:rPr>
                <w:rFonts w:ascii="Arial" w:cs="Arial" w:eastAsia="Arial" w:hAnsi="Arial"/>
                <w:sz w:val="18"/>
                <w:szCs w:val="18"/>
                <w:color w:val="auto"/>
              </w:rPr>
              <w:t>2,610,000</w:t>
            </w:r>
          </w:p>
        </w:tc>
        <w:tc>
          <w:tcPr>
            <w:tcW w:w="108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564,110</w:t>
            </w:r>
          </w:p>
        </w:tc>
        <w:tc>
          <w:tcPr>
            <w:tcW w:w="1160" w:type="dxa"/>
            <w:vAlign w:val="bottom"/>
            <w:tcBorders>
              <w:bottom w:val="single" w:sz="8" w:color="EBE6F0"/>
            </w:tcBorders>
            <w:shd w:val="clear" w:color="auto" w:fill="EBE6F0"/>
          </w:tcPr>
          <w:p>
            <w:pPr>
              <w:jc w:val="right"/>
              <w:ind w:right="73"/>
              <w:spacing w:after="0"/>
              <w:rPr>
                <w:sz w:val="20"/>
                <w:szCs w:val="20"/>
                <w:color w:val="auto"/>
              </w:rPr>
            </w:pPr>
            <w:r>
              <w:rPr>
                <w:rFonts w:ascii="Arial" w:cs="Arial" w:eastAsia="Arial" w:hAnsi="Arial"/>
                <w:sz w:val="18"/>
                <w:szCs w:val="18"/>
                <w:color w:val="auto"/>
              </w:rPr>
              <w:t>2,332,786</w:t>
            </w:r>
          </w:p>
        </w:tc>
        <w:tc>
          <w:tcPr>
            <w:tcW w:w="110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290,438</w:t>
            </w:r>
          </w:p>
        </w:tc>
        <w:tc>
          <w:tcPr>
            <w:tcW w:w="10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852,244</w:t>
            </w:r>
          </w:p>
        </w:tc>
        <w:tc>
          <w:tcPr>
            <w:tcW w:w="1440" w:type="dxa"/>
            <w:vAlign w:val="bottom"/>
            <w:tcBorders>
              <w:bottom w:val="single" w:sz="8" w:color="EBE6F0"/>
            </w:tcBorders>
            <w:shd w:val="clear" w:color="auto" w:fill="EBE6F0"/>
          </w:tcPr>
          <w:p>
            <w:pPr>
              <w:jc w:val="right"/>
              <w:ind w:right="53"/>
              <w:spacing w:after="0"/>
              <w:rPr>
                <w:sz w:val="20"/>
                <w:szCs w:val="20"/>
                <w:color w:val="auto"/>
              </w:rPr>
            </w:pPr>
            <w:r>
              <w:rPr>
                <w:rFonts w:ascii="Arial" w:cs="Arial" w:eastAsia="Arial" w:hAnsi="Arial"/>
                <w:sz w:val="18"/>
                <w:szCs w:val="18"/>
                <w:color w:val="auto"/>
              </w:rPr>
              <w:t>10,633</w:t>
            </w:r>
          </w:p>
        </w:tc>
        <w:tc>
          <w:tcPr>
            <w:tcW w:w="1320" w:type="dxa"/>
            <w:vAlign w:val="bottom"/>
            <w:tcBorders>
              <w:bottom w:val="single" w:sz="8" w:color="EBE6F0"/>
            </w:tcBorders>
            <w:shd w:val="clear" w:color="auto" w:fill="EBE6F0"/>
          </w:tcPr>
          <w:p>
            <w:pPr>
              <w:jc w:val="right"/>
              <w:ind w:right="33"/>
              <w:spacing w:after="0"/>
              <w:rPr>
                <w:sz w:val="20"/>
                <w:szCs w:val="20"/>
                <w:color w:val="auto"/>
              </w:rPr>
            </w:pPr>
            <w:r>
              <w:rPr>
                <w:rFonts w:ascii="Arial" w:cs="Arial" w:eastAsia="Arial" w:hAnsi="Arial"/>
                <w:sz w:val="18"/>
                <w:szCs w:val="18"/>
                <w:color w:val="auto"/>
              </w:rPr>
              <w:t>70,000</w:t>
            </w:r>
          </w:p>
        </w:tc>
        <w:tc>
          <w:tcPr>
            <w:tcW w:w="10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6,730,211</w:t>
            </w:r>
          </w:p>
        </w:tc>
      </w:tr>
      <w:tr>
        <w:trPr>
          <w:trHeight w:val="20"/>
        </w:trPr>
        <w:tc>
          <w:tcPr>
            <w:tcW w:w="1780" w:type="dxa"/>
            <w:vAlign w:val="bottom"/>
            <w:shd w:val="clear" w:color="auto" w:fill="572C83"/>
          </w:tcPr>
          <w:p>
            <w:pPr>
              <w:spacing w:after="0" w:line="20" w:lineRule="exact"/>
              <w:rPr>
                <w:sz w:val="1"/>
                <w:szCs w:val="1"/>
                <w:color w:val="auto"/>
              </w:rPr>
            </w:pPr>
          </w:p>
        </w:tc>
        <w:tc>
          <w:tcPr>
            <w:tcW w:w="1260" w:type="dxa"/>
            <w:vAlign w:val="bottom"/>
            <w:shd w:val="clear" w:color="auto" w:fill="572C83"/>
          </w:tcPr>
          <w:p>
            <w:pPr>
              <w:spacing w:after="0" w:line="20" w:lineRule="exact"/>
              <w:rPr>
                <w:sz w:val="1"/>
                <w:szCs w:val="1"/>
                <w:color w:val="auto"/>
              </w:rPr>
            </w:pPr>
          </w:p>
        </w:tc>
        <w:tc>
          <w:tcPr>
            <w:tcW w:w="1080" w:type="dxa"/>
            <w:vAlign w:val="bottom"/>
            <w:shd w:val="clear" w:color="auto" w:fill="572C83"/>
          </w:tcPr>
          <w:p>
            <w:pPr>
              <w:spacing w:after="0" w:line="20" w:lineRule="exact"/>
              <w:rPr>
                <w:sz w:val="1"/>
                <w:szCs w:val="1"/>
                <w:color w:val="auto"/>
              </w:rPr>
            </w:pPr>
          </w:p>
        </w:tc>
        <w:tc>
          <w:tcPr>
            <w:tcW w:w="1160" w:type="dxa"/>
            <w:vAlign w:val="bottom"/>
            <w:shd w:val="clear" w:color="auto" w:fill="572C83"/>
          </w:tcPr>
          <w:p>
            <w:pPr>
              <w:spacing w:after="0" w:line="20" w:lineRule="exact"/>
              <w:rPr>
                <w:sz w:val="1"/>
                <w:szCs w:val="1"/>
                <w:color w:val="auto"/>
              </w:rPr>
            </w:pPr>
          </w:p>
        </w:tc>
        <w:tc>
          <w:tcPr>
            <w:tcW w:w="1100" w:type="dxa"/>
            <w:vAlign w:val="bottom"/>
            <w:shd w:val="clear" w:color="auto" w:fill="572C83"/>
          </w:tcPr>
          <w:p>
            <w:pPr>
              <w:spacing w:after="0" w:line="20" w:lineRule="exact"/>
              <w:rPr>
                <w:sz w:val="1"/>
                <w:szCs w:val="1"/>
                <w:color w:val="auto"/>
              </w:rPr>
            </w:pPr>
          </w:p>
        </w:tc>
        <w:tc>
          <w:tcPr>
            <w:tcW w:w="1040" w:type="dxa"/>
            <w:vAlign w:val="bottom"/>
            <w:shd w:val="clear" w:color="auto" w:fill="572C83"/>
          </w:tcPr>
          <w:p>
            <w:pPr>
              <w:spacing w:after="0" w:line="20" w:lineRule="exact"/>
              <w:rPr>
                <w:sz w:val="1"/>
                <w:szCs w:val="1"/>
                <w:color w:val="auto"/>
              </w:rPr>
            </w:pPr>
          </w:p>
        </w:tc>
        <w:tc>
          <w:tcPr>
            <w:tcW w:w="1440" w:type="dxa"/>
            <w:vAlign w:val="bottom"/>
            <w:shd w:val="clear" w:color="auto" w:fill="572C83"/>
          </w:tcPr>
          <w:p>
            <w:pPr>
              <w:spacing w:after="0" w:line="20" w:lineRule="exact"/>
              <w:rPr>
                <w:sz w:val="1"/>
                <w:szCs w:val="1"/>
                <w:color w:val="auto"/>
              </w:rPr>
            </w:pPr>
          </w:p>
        </w:tc>
        <w:tc>
          <w:tcPr>
            <w:tcW w:w="1320" w:type="dxa"/>
            <w:vAlign w:val="bottom"/>
            <w:shd w:val="clear" w:color="auto" w:fill="572C83"/>
          </w:tcPr>
          <w:p>
            <w:pPr>
              <w:spacing w:after="0" w:line="20" w:lineRule="exact"/>
              <w:rPr>
                <w:sz w:val="1"/>
                <w:szCs w:val="1"/>
                <w:color w:val="auto"/>
              </w:rPr>
            </w:pPr>
          </w:p>
        </w:tc>
        <w:tc>
          <w:tcPr>
            <w:tcW w:w="1060" w:type="dxa"/>
            <w:vAlign w:val="bottom"/>
            <w:shd w:val="clear" w:color="auto" w:fill="572C83"/>
          </w:tcPr>
          <w:p>
            <w:pPr>
              <w:spacing w:after="0" w:line="20" w:lineRule="exact"/>
              <w:rPr>
                <w:sz w:val="1"/>
                <w:szCs w:val="1"/>
                <w:color w:val="auto"/>
              </w:rPr>
            </w:pPr>
          </w:p>
        </w:tc>
      </w:tr>
    </w:tbl>
    <w:p>
      <w:pPr>
        <w:spacing w:after="0" w:line="40" w:lineRule="exact"/>
        <w:rPr>
          <w:sz w:val="20"/>
          <w:szCs w:val="20"/>
          <w:color w:val="auto"/>
        </w:rPr>
      </w:pPr>
    </w:p>
    <w:p>
      <w:pPr>
        <w:ind w:left="420" w:right="300" w:hanging="358"/>
        <w:spacing w:after="0" w:line="264"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2.99 times base salary plus target annual incentive for Mr. Van de Put and two times base salary plus target annual incentive for all other NEOs except Mr. Brusadelli. Under Italian law, amount reflected for Mr. Brusadelli is the maximum of a separation pay range; actual amount may be lower. Amounts for Messrs. Brusadelli and Gruber are converted to U.S. dollars using the Applicable Exchange Rate.</w:t>
      </w:r>
    </w:p>
    <w:p>
      <w:pPr>
        <w:ind w:left="420" w:right="460" w:hanging="358"/>
        <w:spacing w:after="0" w:line="272"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target awards under our 2021 AIP. Amounts for Messrs. Brusadelli and Gruber are converted to U.S. dollars using the Applicable Exchange Rate.</w:t>
      </w:r>
    </w:p>
    <w:p>
      <w:pPr>
        <w:spacing w:after="0" w:line="1" w:lineRule="exact"/>
        <w:rPr>
          <w:rFonts w:ascii="Arial" w:cs="Arial" w:eastAsia="Arial" w:hAnsi="Arial"/>
          <w:sz w:val="16"/>
          <w:szCs w:val="16"/>
          <w:color w:val="auto"/>
        </w:rPr>
      </w:pPr>
    </w:p>
    <w:p>
      <w:pPr>
        <w:ind w:left="420" w:right="360" w:hanging="358"/>
        <w:spacing w:after="0" w:line="272"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target PSU grants for the 2019-2021 and 2020-2022 performance cycles, as well as prorated target PSU grants for the 2021-2023 performance cycle. All amounts are based on a December 31, 2021 closing stock price of $66.31.</w:t>
      </w:r>
    </w:p>
    <w:p>
      <w:pPr>
        <w:spacing w:after="0" w:line="1" w:lineRule="exact"/>
        <w:rPr>
          <w:rFonts w:ascii="Arial" w:cs="Arial" w:eastAsia="Arial" w:hAnsi="Arial"/>
          <w:sz w:val="16"/>
          <w:szCs w:val="16"/>
          <w:color w:val="auto"/>
        </w:rPr>
      </w:pPr>
    </w:p>
    <w:p>
      <w:pPr>
        <w:ind w:left="420" w:right="460" w:hanging="358"/>
        <w:spacing w:after="0" w:line="272"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the value of immediate vesting of all outstanding unvested deferred stock unit grants and outstanding unvested stock options. All amounts are based on a December 31, 2021 closing stock price of $66.31.</w:t>
      </w:r>
    </w:p>
    <w:p>
      <w:pPr>
        <w:spacing w:after="0" w:line="1" w:lineRule="exact"/>
        <w:rPr>
          <w:rFonts w:ascii="Arial" w:cs="Arial" w:eastAsia="Arial" w:hAnsi="Arial"/>
          <w:sz w:val="16"/>
          <w:szCs w:val="16"/>
          <w:color w:val="auto"/>
        </w:rPr>
      </w:pPr>
    </w:p>
    <w:p>
      <w:pPr>
        <w:ind w:left="420" w:right="260" w:hanging="358"/>
        <w:spacing w:after="0" w:line="272"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our cost for providing medical, dental, vision, long-term disability and life insurance premiums for three years for Mr. Van de Put and two years for all other NEOs. Amount for Mr. Brusadelli is converted to U.S. dollars using the Applicable Exchange Rate.</w:t>
      </w:r>
    </w:p>
    <w:p>
      <w:pPr>
        <w:spacing w:after="0" w:line="1" w:lineRule="exact"/>
        <w:rPr>
          <w:rFonts w:ascii="Arial" w:cs="Arial" w:eastAsia="Arial" w:hAnsi="Arial"/>
          <w:sz w:val="16"/>
          <w:szCs w:val="16"/>
          <w:color w:val="auto"/>
        </w:rPr>
      </w:pPr>
    </w:p>
    <w:p>
      <w:pPr>
        <w:ind w:left="420" w:right="220" w:hanging="358"/>
        <w:spacing w:after="0" w:line="254" w:lineRule="auto"/>
        <w:tabs>
          <w:tab w:leader="none" w:pos="4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reflect the value for continuation of the financial counseling allowance (three years for Mr. Van de Put valued at $30,000 and two years valued at $15,000 for all other NEOs except Messrs. Brusadelli and Gruber who do not receive financial counseling allowance), car allowance (three years for Mr. Van de Put valued at $69,999, two years for Mr. Brusadelli valued at $102,169, two years for Mr. Gruber valued at $29,622 and two years for all other NEOs valued at $30,000) and outplacement services (two years for Mr. Brusadelli valued at $67,944, two years for Mr. Gruber valued at $10,921 and two years for all other NEOs valued at $25,000). Amounts for Messrs. Brusadelli and Gruber are converted to U.S. dollars using the Applicable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58358F"/>
        </w:rPr>
        <w:t>2022 PROXY STATEMENT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POTENTIAL PAYOUT UPON OTHER TYPES OF SEPARATION</w:t>
      </w:r>
    </w:p>
    <w:p>
      <w:pPr>
        <w:spacing w:after="0" w:line="101"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b w:val="1"/>
          <w:bCs w:val="1"/>
          <w:i w:val="1"/>
          <w:iCs w:val="1"/>
          <w:color w:val="auto"/>
        </w:rPr>
        <w:t>Death or Disability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If an NEO terminates employment due to death or disability, all of the NEO’s outstanding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unvested stock option grants would vest. In addition, the NEO (or beneficiary) would become eligible for an award under the AIP and a prorated award for outstanding PSU grants.</w:t>
      </w:r>
    </w:p>
    <w:p>
      <w:pPr>
        <w:spacing w:after="0" w:line="145"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auto"/>
        </w:rPr>
        <w:t>The table below describes the estimated value of such payments based on a December 31, 2021 termination due to death or disability.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tcPr>
          <w:p>
            <w:pPr>
              <w:jc w:val="right"/>
              <w:ind w:right="473"/>
              <w:spacing w:after="0"/>
              <w:rPr>
                <w:sz w:val="20"/>
                <w:szCs w:val="20"/>
                <w:color w:val="auto"/>
              </w:rPr>
            </w:pPr>
            <w:r>
              <w:rPr>
                <w:rFonts w:ascii="Arial" w:cs="Arial" w:eastAsia="Arial" w:hAnsi="Arial"/>
                <w:sz w:val="18"/>
                <w:szCs w:val="18"/>
                <w:b w:val="1"/>
                <w:bCs w:val="1"/>
                <w:color w:val="auto"/>
              </w:rPr>
              <w:t>Value of</w:t>
            </w:r>
          </w:p>
        </w:tc>
        <w:tc>
          <w:tcPr>
            <w:tcW w:w="1880" w:type="dxa"/>
            <w:vAlign w:val="bottom"/>
          </w:tcPr>
          <w:p>
            <w:pPr>
              <w:jc w:val="right"/>
              <w:ind w:right="433"/>
              <w:spacing w:after="0"/>
              <w:rPr>
                <w:sz w:val="20"/>
                <w:szCs w:val="20"/>
                <w:color w:val="auto"/>
              </w:rPr>
            </w:pPr>
            <w:r>
              <w:rPr>
                <w:rFonts w:ascii="Arial" w:cs="Arial" w:eastAsia="Arial" w:hAnsi="Arial"/>
                <w:sz w:val="18"/>
                <w:szCs w:val="18"/>
                <w:b w:val="1"/>
                <w:bCs w:val="1"/>
                <w:color w:val="auto"/>
              </w:rPr>
              <w:t>Value of</w:t>
            </w:r>
          </w:p>
        </w:tc>
        <w:tc>
          <w:tcPr>
            <w:tcW w:w="1900" w:type="dxa"/>
            <w:vAlign w:val="bottom"/>
          </w:tcPr>
          <w:p>
            <w:pPr>
              <w:jc w:val="right"/>
              <w:ind w:right="433"/>
              <w:spacing w:after="0"/>
              <w:rPr>
                <w:sz w:val="20"/>
                <w:szCs w:val="20"/>
                <w:color w:val="auto"/>
              </w:rPr>
            </w:pPr>
            <w:r>
              <w:rPr>
                <w:rFonts w:ascii="Arial" w:cs="Arial" w:eastAsia="Arial" w:hAnsi="Arial"/>
                <w:sz w:val="18"/>
                <w:szCs w:val="18"/>
                <w:b w:val="1"/>
                <w:bCs w:val="1"/>
                <w:color w:val="auto"/>
              </w:rPr>
              <w:t>Value of</w:t>
            </w:r>
          </w:p>
        </w:tc>
        <w:tc>
          <w:tcPr>
            <w:tcW w:w="1460" w:type="dxa"/>
            <w:vAlign w:val="bottom"/>
          </w:tcPr>
          <w:p>
            <w:pPr>
              <w:spacing w:after="0"/>
              <w:rPr>
                <w:sz w:val="18"/>
                <w:szCs w:val="18"/>
                <w:color w:val="auto"/>
              </w:rPr>
            </w:pPr>
          </w:p>
        </w:tc>
      </w:tr>
      <w:tr>
        <w:trPr>
          <w:trHeight w:val="203"/>
        </w:trPr>
        <w:tc>
          <w:tcPr>
            <w:tcW w:w="2200" w:type="dxa"/>
            <w:vAlign w:val="bottom"/>
          </w:tcPr>
          <w:p>
            <w:pPr>
              <w:spacing w:after="0"/>
              <w:rPr>
                <w:sz w:val="17"/>
                <w:szCs w:val="17"/>
                <w:color w:val="auto"/>
              </w:rPr>
            </w:pPr>
          </w:p>
        </w:tc>
        <w:tc>
          <w:tcPr>
            <w:tcW w:w="1860" w:type="dxa"/>
            <w:vAlign w:val="bottom"/>
          </w:tcPr>
          <w:p>
            <w:pPr>
              <w:jc w:val="right"/>
              <w:ind w:right="433"/>
              <w:spacing w:after="0" w:line="202" w:lineRule="exact"/>
              <w:rPr>
                <w:sz w:val="20"/>
                <w:szCs w:val="20"/>
                <w:color w:val="auto"/>
              </w:rPr>
            </w:pPr>
            <w:r>
              <w:rPr>
                <w:rFonts w:ascii="Arial" w:cs="Arial" w:eastAsia="Arial" w:hAnsi="Arial"/>
                <w:sz w:val="18"/>
                <w:szCs w:val="18"/>
                <w:b w:val="1"/>
                <w:bCs w:val="1"/>
                <w:color w:val="auto"/>
              </w:rPr>
              <w:t>Annual</w:t>
            </w:r>
          </w:p>
        </w:tc>
        <w:tc>
          <w:tcPr>
            <w:tcW w:w="1940" w:type="dxa"/>
            <w:vAlign w:val="bottom"/>
          </w:tcPr>
          <w:p>
            <w:pPr>
              <w:jc w:val="right"/>
              <w:ind w:right="473"/>
              <w:spacing w:after="0" w:line="202" w:lineRule="exact"/>
              <w:rPr>
                <w:sz w:val="20"/>
                <w:szCs w:val="20"/>
                <w:color w:val="auto"/>
              </w:rPr>
            </w:pPr>
            <w:r>
              <w:rPr>
                <w:rFonts w:ascii="Arial" w:cs="Arial" w:eastAsia="Arial" w:hAnsi="Arial"/>
                <w:sz w:val="18"/>
                <w:szCs w:val="18"/>
                <w:b w:val="1"/>
                <w:bCs w:val="1"/>
                <w:color w:val="auto"/>
              </w:rPr>
              <w:t>Unvested</w:t>
            </w:r>
          </w:p>
        </w:tc>
        <w:tc>
          <w:tcPr>
            <w:tcW w:w="1880" w:type="dxa"/>
            <w:vAlign w:val="bottom"/>
          </w:tcPr>
          <w:p>
            <w:pPr>
              <w:jc w:val="right"/>
              <w:ind w:right="433"/>
              <w:spacing w:after="0" w:line="202" w:lineRule="exact"/>
              <w:rPr>
                <w:sz w:val="20"/>
                <w:szCs w:val="20"/>
                <w:color w:val="auto"/>
              </w:rPr>
            </w:pPr>
            <w:r>
              <w:rPr>
                <w:rFonts w:ascii="Arial" w:cs="Arial" w:eastAsia="Arial" w:hAnsi="Arial"/>
                <w:sz w:val="18"/>
                <w:szCs w:val="18"/>
                <w:b w:val="1"/>
                <w:bCs w:val="1"/>
                <w:color w:val="auto"/>
              </w:rPr>
              <w:t>Unvested</w:t>
            </w:r>
          </w:p>
        </w:tc>
        <w:tc>
          <w:tcPr>
            <w:tcW w:w="1900" w:type="dxa"/>
            <w:vAlign w:val="bottom"/>
          </w:tcPr>
          <w:p>
            <w:pPr>
              <w:jc w:val="right"/>
              <w:ind w:right="433"/>
              <w:spacing w:after="0" w:line="202" w:lineRule="exact"/>
              <w:rPr>
                <w:sz w:val="20"/>
                <w:szCs w:val="20"/>
                <w:color w:val="auto"/>
              </w:rPr>
            </w:pPr>
            <w:r>
              <w:rPr>
                <w:rFonts w:ascii="Arial" w:cs="Arial" w:eastAsia="Arial" w:hAnsi="Arial"/>
                <w:sz w:val="18"/>
                <w:szCs w:val="18"/>
                <w:b w:val="1"/>
                <w:bCs w:val="1"/>
                <w:color w:val="auto"/>
              </w:rPr>
              <w:t>Unvested</w:t>
            </w:r>
          </w:p>
        </w:tc>
        <w:tc>
          <w:tcPr>
            <w:tcW w:w="1460" w:type="dxa"/>
            <w:vAlign w:val="bottom"/>
          </w:tcPr>
          <w:p>
            <w:pPr>
              <w:spacing w:after="0"/>
              <w:rPr>
                <w:sz w:val="17"/>
                <w:szCs w:val="17"/>
                <w:color w:val="auto"/>
              </w:rPr>
            </w:pPr>
          </w:p>
        </w:tc>
      </w:tr>
      <w:tr>
        <w:trPr>
          <w:trHeight w:val="232"/>
        </w:trPr>
        <w:tc>
          <w:tcPr>
            <w:tcW w:w="2200" w:type="dxa"/>
            <w:vAlign w:val="bottom"/>
          </w:tcPr>
          <w:p>
            <w:pPr>
              <w:spacing w:after="0"/>
              <w:rPr>
                <w:sz w:val="20"/>
                <w:szCs w:val="20"/>
                <w:color w:val="auto"/>
              </w:rPr>
            </w:pPr>
          </w:p>
        </w:tc>
        <w:tc>
          <w:tcPr>
            <w:tcW w:w="1860" w:type="dxa"/>
            <w:vAlign w:val="bottom"/>
          </w:tcPr>
          <w:p>
            <w:pPr>
              <w:jc w:val="right"/>
              <w:ind w:right="433"/>
              <w:spacing w:after="0"/>
              <w:rPr>
                <w:sz w:val="20"/>
                <w:szCs w:val="20"/>
                <w:color w:val="auto"/>
              </w:rPr>
            </w:pPr>
            <w:r>
              <w:rPr>
                <w:rFonts w:ascii="Arial" w:cs="Arial" w:eastAsia="Arial" w:hAnsi="Arial"/>
                <w:sz w:val="18"/>
                <w:szCs w:val="18"/>
                <w:b w:val="1"/>
                <w:bCs w:val="1"/>
                <w:color w:val="auto"/>
              </w:rPr>
              <w:t>Incentive</w:t>
            </w:r>
          </w:p>
        </w:tc>
        <w:tc>
          <w:tcPr>
            <w:tcW w:w="1940" w:type="dxa"/>
            <w:vAlign w:val="bottom"/>
          </w:tcPr>
          <w:p>
            <w:pPr>
              <w:jc w:val="right"/>
              <w:ind w:right="473"/>
              <w:spacing w:after="0"/>
              <w:rPr>
                <w:sz w:val="20"/>
                <w:szCs w:val="20"/>
                <w:color w:val="auto"/>
              </w:rPr>
            </w:pPr>
            <w:r>
              <w:rPr>
                <w:rFonts w:ascii="Arial" w:cs="Arial" w:eastAsia="Arial" w:hAnsi="Arial"/>
                <w:sz w:val="18"/>
                <w:szCs w:val="18"/>
                <w:b w:val="1"/>
                <w:bCs w:val="1"/>
                <w:color w:val="auto"/>
              </w:rPr>
              <w:t>PSU</w:t>
            </w:r>
          </w:p>
        </w:tc>
        <w:tc>
          <w:tcPr>
            <w:tcW w:w="1880" w:type="dxa"/>
            <w:vAlign w:val="bottom"/>
          </w:tcPr>
          <w:p>
            <w:pPr>
              <w:jc w:val="right"/>
              <w:ind w:right="433"/>
              <w:spacing w:after="0"/>
              <w:rPr>
                <w:sz w:val="20"/>
                <w:szCs w:val="20"/>
                <w:color w:val="auto"/>
              </w:rPr>
            </w:pPr>
            <w:r>
              <w:rPr>
                <w:rFonts w:ascii="Arial" w:cs="Arial" w:eastAsia="Arial" w:hAnsi="Arial"/>
                <w:sz w:val="18"/>
                <w:szCs w:val="18"/>
                <w:b w:val="1"/>
                <w:bCs w:val="1"/>
                <w:color w:val="auto"/>
              </w:rPr>
              <w:t>Stock</w:t>
            </w:r>
          </w:p>
        </w:tc>
        <w:tc>
          <w:tcPr>
            <w:tcW w:w="1900" w:type="dxa"/>
            <w:vAlign w:val="bottom"/>
          </w:tcPr>
          <w:p>
            <w:pPr>
              <w:jc w:val="right"/>
              <w:ind w:right="433"/>
              <w:spacing w:after="0"/>
              <w:rPr>
                <w:sz w:val="20"/>
                <w:szCs w:val="20"/>
                <w:color w:val="auto"/>
              </w:rPr>
            </w:pPr>
            <w:r>
              <w:rPr>
                <w:rFonts w:ascii="Arial" w:cs="Arial" w:eastAsia="Arial" w:hAnsi="Arial"/>
                <w:sz w:val="18"/>
                <w:szCs w:val="18"/>
                <w:b w:val="1"/>
                <w:bCs w:val="1"/>
                <w:color w:val="auto"/>
              </w:rPr>
              <w:t>Stock</w:t>
            </w:r>
          </w:p>
        </w:tc>
        <w:tc>
          <w:tcPr>
            <w:tcW w:w="1460" w:type="dxa"/>
            <w:vAlign w:val="bottom"/>
          </w:tcPr>
          <w:p>
            <w:pPr>
              <w:spacing w:after="0"/>
              <w:rPr>
                <w:sz w:val="20"/>
                <w:szCs w:val="20"/>
                <w:color w:val="auto"/>
              </w:rPr>
            </w:pPr>
          </w:p>
        </w:tc>
      </w:tr>
      <w:tr>
        <w:trPr>
          <w:trHeight w:val="239"/>
        </w:trPr>
        <w:tc>
          <w:tcPr>
            <w:tcW w:w="2200" w:type="dxa"/>
            <w:vAlign w:val="bottom"/>
          </w:tcPr>
          <w:p>
            <w:pPr>
              <w:spacing w:after="0"/>
              <w:rPr>
                <w:sz w:val="20"/>
                <w:szCs w:val="20"/>
                <w:color w:val="auto"/>
              </w:rPr>
            </w:pPr>
          </w:p>
        </w:tc>
        <w:tc>
          <w:tcPr>
            <w:tcW w:w="1860" w:type="dxa"/>
            <w:vAlign w:val="bottom"/>
          </w:tcPr>
          <w:p>
            <w:pPr>
              <w:jc w:val="right"/>
              <w:ind w:right="433"/>
              <w:spacing w:after="0" w:line="240" w:lineRule="exact"/>
              <w:rPr>
                <w:sz w:val="20"/>
                <w:szCs w:val="20"/>
                <w:color w:val="auto"/>
              </w:rPr>
            </w:pPr>
            <w:r>
              <w:rPr>
                <w:rFonts w:ascii="Arial" w:cs="Arial" w:eastAsia="Arial" w:hAnsi="Arial"/>
                <w:sz w:val="17"/>
                <w:szCs w:val="17"/>
                <w:b w:val="1"/>
                <w:bCs w:val="1"/>
                <w:color w:val="auto"/>
              </w:rPr>
              <w:t>Award</w:t>
            </w:r>
            <w:r>
              <w:rPr>
                <w:rFonts w:ascii="Arial" w:cs="Arial" w:eastAsia="Arial" w:hAnsi="Arial"/>
                <w:sz w:val="27"/>
                <w:szCs w:val="27"/>
                <w:b w:val="1"/>
                <w:bCs w:val="1"/>
                <w:color w:val="auto"/>
                <w:vertAlign w:val="superscript"/>
              </w:rPr>
              <w:t>(1)</w:t>
            </w:r>
          </w:p>
        </w:tc>
        <w:tc>
          <w:tcPr>
            <w:tcW w:w="1940" w:type="dxa"/>
            <w:vAlign w:val="bottom"/>
          </w:tcPr>
          <w:p>
            <w:pPr>
              <w:jc w:val="right"/>
              <w:ind w:right="47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(2)</w:t>
            </w:r>
          </w:p>
        </w:tc>
        <w:tc>
          <w:tcPr>
            <w:tcW w:w="1880" w:type="dxa"/>
            <w:vAlign w:val="bottom"/>
          </w:tcPr>
          <w:p>
            <w:pPr>
              <w:jc w:val="right"/>
              <w:ind w:right="433"/>
              <w:spacing w:after="0" w:line="240" w:lineRule="exact"/>
              <w:rPr>
                <w:sz w:val="20"/>
                <w:szCs w:val="20"/>
                <w:color w:val="auto"/>
              </w:rPr>
            </w:pPr>
            <w:r>
              <w:rPr>
                <w:rFonts w:ascii="Arial" w:cs="Arial" w:eastAsia="Arial" w:hAnsi="Arial"/>
                <w:sz w:val="17"/>
                <w:szCs w:val="17"/>
                <w:b w:val="1"/>
                <w:bCs w:val="1"/>
                <w:color w:val="auto"/>
              </w:rPr>
              <w:t>Grants</w:t>
            </w:r>
            <w:r>
              <w:rPr>
                <w:rFonts w:ascii="Arial" w:cs="Arial" w:eastAsia="Arial" w:hAnsi="Arial"/>
                <w:sz w:val="27"/>
                <w:szCs w:val="27"/>
                <w:b w:val="1"/>
                <w:bCs w:val="1"/>
                <w:color w:val="auto"/>
                <w:vertAlign w:val="superscript"/>
              </w:rPr>
              <w:t>(3)</w:t>
            </w:r>
          </w:p>
        </w:tc>
        <w:tc>
          <w:tcPr>
            <w:tcW w:w="1900" w:type="dxa"/>
            <w:vAlign w:val="bottom"/>
          </w:tcPr>
          <w:p>
            <w:pPr>
              <w:jc w:val="right"/>
              <w:ind w:right="433"/>
              <w:spacing w:after="0" w:line="240" w:lineRule="exact"/>
              <w:rPr>
                <w:sz w:val="20"/>
                <w:szCs w:val="20"/>
                <w:color w:val="auto"/>
              </w:rPr>
            </w:pPr>
            <w:r>
              <w:rPr>
                <w:rFonts w:ascii="Arial" w:cs="Arial" w:eastAsia="Arial" w:hAnsi="Arial"/>
                <w:sz w:val="17"/>
                <w:szCs w:val="17"/>
                <w:b w:val="1"/>
                <w:bCs w:val="1"/>
                <w:color w:val="auto"/>
              </w:rPr>
              <w:t>Options</w:t>
            </w:r>
            <w:r>
              <w:rPr>
                <w:rFonts w:ascii="Arial" w:cs="Arial" w:eastAsia="Arial" w:hAnsi="Arial"/>
                <w:sz w:val="27"/>
                <w:szCs w:val="27"/>
                <w:b w:val="1"/>
                <w:bCs w:val="1"/>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5"/>
        </w:trPr>
        <w:tc>
          <w:tcPr>
            <w:tcW w:w="220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w:t>
            </w:r>
          </w:p>
        </w:tc>
        <w:tc>
          <w:tcPr>
            <w:tcW w:w="1860" w:type="dxa"/>
            <w:vAlign w:val="bottom"/>
            <w:tcBorders>
              <w:bottom w:val="single" w:sz="8" w:color="582C83"/>
            </w:tcBorders>
          </w:tcPr>
          <w:p>
            <w:pPr>
              <w:jc w:val="right"/>
              <w:ind w:right="433"/>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582C83"/>
            </w:tcBorders>
          </w:tcPr>
          <w:p>
            <w:pPr>
              <w:jc w:val="right"/>
              <w:ind w:right="473"/>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582C83"/>
            </w:tcBorders>
          </w:tcPr>
          <w:p>
            <w:pPr>
              <w:jc w:val="right"/>
              <w:ind w:right="433"/>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582C83"/>
            </w:tcBorders>
          </w:tcPr>
          <w:p>
            <w:pPr>
              <w:jc w:val="right"/>
              <w:ind w:right="433"/>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316"/>
        </w:trPr>
        <w:tc>
          <w:tcPr>
            <w:tcW w:w="2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 de Put, Dirk</w:t>
            </w:r>
          </w:p>
        </w:tc>
        <w:tc>
          <w:tcPr>
            <w:tcW w:w="186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2,775,000</w:t>
            </w:r>
          </w:p>
        </w:tc>
        <w:tc>
          <w:tcPr>
            <w:tcW w:w="1940" w:type="dxa"/>
            <w:vAlign w:val="bottom"/>
            <w:tcBorders>
              <w:bottom w:val="single" w:sz="8" w:color="EBE6F0"/>
            </w:tcBorders>
            <w:shd w:val="clear" w:color="auto" w:fill="EBE6F0"/>
          </w:tcPr>
          <w:p>
            <w:pPr>
              <w:jc w:val="right"/>
              <w:ind w:right="473"/>
              <w:spacing w:after="0"/>
              <w:rPr>
                <w:sz w:val="20"/>
                <w:szCs w:val="20"/>
                <w:color w:val="auto"/>
              </w:rPr>
            </w:pPr>
            <w:r>
              <w:rPr>
                <w:rFonts w:ascii="Arial" w:cs="Arial" w:eastAsia="Arial" w:hAnsi="Arial"/>
                <w:sz w:val="18"/>
                <w:szCs w:val="18"/>
                <w:color w:val="auto"/>
              </w:rPr>
              <w:t>20,464,813</w:t>
            </w:r>
          </w:p>
        </w:tc>
        <w:tc>
          <w:tcPr>
            <w:tcW w:w="188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5,471,841</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28,711,654</w:t>
            </w:r>
          </w:p>
        </w:tc>
      </w:tr>
      <w:tr>
        <w:trPr>
          <w:trHeight w:val="265"/>
        </w:trPr>
        <w:tc>
          <w:tcPr>
            <w:tcW w:w="2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Zaramella, Luca</w:t>
            </w:r>
          </w:p>
        </w:tc>
        <w:tc>
          <w:tcPr>
            <w:tcW w:w="186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850,000</w:t>
            </w:r>
          </w:p>
        </w:tc>
        <w:tc>
          <w:tcPr>
            <w:tcW w:w="1940" w:type="dxa"/>
            <w:vAlign w:val="bottom"/>
            <w:tcBorders>
              <w:top w:val="single" w:sz="8" w:color="572C83"/>
            </w:tcBorders>
          </w:tcPr>
          <w:p>
            <w:pPr>
              <w:jc w:val="right"/>
              <w:ind w:right="473"/>
              <w:spacing w:after="0"/>
              <w:rPr>
                <w:sz w:val="20"/>
                <w:szCs w:val="20"/>
                <w:color w:val="auto"/>
              </w:rPr>
            </w:pPr>
            <w:r>
              <w:rPr>
                <w:rFonts w:ascii="Arial" w:cs="Arial" w:eastAsia="Arial" w:hAnsi="Arial"/>
                <w:sz w:val="18"/>
                <w:szCs w:val="18"/>
                <w:color w:val="auto"/>
              </w:rPr>
              <w:t>5,061,442</w:t>
            </w:r>
          </w:p>
        </w:tc>
        <w:tc>
          <w:tcPr>
            <w:tcW w:w="188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1,440,501</w:t>
            </w: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7,351,943</w:t>
            </w:r>
          </w:p>
        </w:tc>
      </w:tr>
      <w:tr>
        <w:trPr>
          <w:trHeight w:val="39"/>
        </w:trPr>
        <w:tc>
          <w:tcPr>
            <w:tcW w:w="2200" w:type="dxa"/>
            <w:vAlign w:val="bottom"/>
            <w:tcBorders>
              <w:bottom w:val="single" w:sz="8" w:color="572C83"/>
            </w:tcBorders>
          </w:tcPr>
          <w:p>
            <w:pPr>
              <w:spacing w:after="0"/>
              <w:rPr>
                <w:sz w:val="3"/>
                <w:szCs w:val="3"/>
                <w:color w:val="auto"/>
              </w:rPr>
            </w:pPr>
          </w:p>
        </w:tc>
        <w:tc>
          <w:tcPr>
            <w:tcW w:w="1860" w:type="dxa"/>
            <w:vAlign w:val="bottom"/>
            <w:tcBorders>
              <w:bottom w:val="single" w:sz="8" w:color="572C83"/>
            </w:tcBorders>
          </w:tcPr>
          <w:p>
            <w:pPr>
              <w:spacing w:after="0"/>
              <w:rPr>
                <w:sz w:val="3"/>
                <w:szCs w:val="3"/>
                <w:color w:val="auto"/>
              </w:rPr>
            </w:pPr>
          </w:p>
        </w:tc>
        <w:tc>
          <w:tcPr>
            <w:tcW w:w="1940" w:type="dxa"/>
            <w:vAlign w:val="bottom"/>
            <w:tcBorders>
              <w:bottom w:val="single" w:sz="8" w:color="572C83"/>
            </w:tcBorders>
          </w:tcPr>
          <w:p>
            <w:pPr>
              <w:spacing w:after="0"/>
              <w:rPr>
                <w:sz w:val="3"/>
                <w:szCs w:val="3"/>
                <w:color w:val="auto"/>
              </w:rPr>
            </w:pPr>
          </w:p>
        </w:tc>
        <w:tc>
          <w:tcPr>
            <w:tcW w:w="1880" w:type="dxa"/>
            <w:vAlign w:val="bottom"/>
            <w:tcBorders>
              <w:bottom w:val="single" w:sz="8" w:color="572C83"/>
            </w:tcBorders>
          </w:tcPr>
          <w:p>
            <w:pPr>
              <w:spacing w:after="0"/>
              <w:rPr>
                <w:sz w:val="3"/>
                <w:szCs w:val="3"/>
                <w:color w:val="auto"/>
              </w:rPr>
            </w:pPr>
          </w:p>
        </w:tc>
        <w:tc>
          <w:tcPr>
            <w:tcW w:w="190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r>
      <w:tr>
        <w:trPr>
          <w:trHeight w:val="309"/>
        </w:trPr>
        <w:tc>
          <w:tcPr>
            <w:tcW w:w="2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Brusadelli, Maurizio</w:t>
            </w:r>
          </w:p>
        </w:tc>
        <w:tc>
          <w:tcPr>
            <w:tcW w:w="186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614,248</w:t>
            </w:r>
          </w:p>
        </w:tc>
        <w:tc>
          <w:tcPr>
            <w:tcW w:w="1940" w:type="dxa"/>
            <w:vAlign w:val="bottom"/>
            <w:tcBorders>
              <w:bottom w:val="single" w:sz="8" w:color="EBE6F0"/>
            </w:tcBorders>
            <w:shd w:val="clear" w:color="auto" w:fill="EBE6F0"/>
          </w:tcPr>
          <w:p>
            <w:pPr>
              <w:jc w:val="right"/>
              <w:ind w:right="473"/>
              <w:spacing w:after="0"/>
              <w:rPr>
                <w:sz w:val="20"/>
                <w:szCs w:val="20"/>
                <w:color w:val="auto"/>
              </w:rPr>
            </w:pPr>
            <w:r>
              <w:rPr>
                <w:rFonts w:ascii="Arial" w:cs="Arial" w:eastAsia="Arial" w:hAnsi="Arial"/>
                <w:sz w:val="18"/>
                <w:szCs w:val="18"/>
                <w:color w:val="auto"/>
              </w:rPr>
              <w:t>4,316,560</w:t>
            </w:r>
          </w:p>
        </w:tc>
        <w:tc>
          <w:tcPr>
            <w:tcW w:w="188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1,131,278</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6,062,086</w:t>
            </w:r>
          </w:p>
        </w:tc>
      </w:tr>
      <w:tr>
        <w:trPr>
          <w:trHeight w:val="266"/>
        </w:trPr>
        <w:tc>
          <w:tcPr>
            <w:tcW w:w="22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Gruber, Vinzenz</w:t>
            </w:r>
          </w:p>
        </w:tc>
        <w:tc>
          <w:tcPr>
            <w:tcW w:w="186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698,903</w:t>
            </w:r>
          </w:p>
        </w:tc>
        <w:tc>
          <w:tcPr>
            <w:tcW w:w="1940" w:type="dxa"/>
            <w:vAlign w:val="bottom"/>
            <w:tcBorders>
              <w:top w:val="single" w:sz="8" w:color="572C83"/>
            </w:tcBorders>
          </w:tcPr>
          <w:p>
            <w:pPr>
              <w:jc w:val="right"/>
              <w:ind w:right="473"/>
              <w:spacing w:after="0"/>
              <w:rPr>
                <w:sz w:val="20"/>
                <w:szCs w:val="20"/>
                <w:color w:val="auto"/>
              </w:rPr>
            </w:pPr>
            <w:r>
              <w:rPr>
                <w:rFonts w:ascii="Arial" w:cs="Arial" w:eastAsia="Arial" w:hAnsi="Arial"/>
                <w:sz w:val="18"/>
                <w:szCs w:val="18"/>
                <w:color w:val="auto"/>
              </w:rPr>
              <w:t>3,716,233</w:t>
            </w:r>
          </w:p>
        </w:tc>
        <w:tc>
          <w:tcPr>
            <w:tcW w:w="188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572C83"/>
            </w:tcBorders>
          </w:tcPr>
          <w:p>
            <w:pPr>
              <w:jc w:val="right"/>
              <w:ind w:right="433"/>
              <w:spacing w:after="0"/>
              <w:rPr>
                <w:sz w:val="20"/>
                <w:szCs w:val="20"/>
                <w:color w:val="auto"/>
              </w:rPr>
            </w:pPr>
            <w:r>
              <w:rPr>
                <w:rFonts w:ascii="Arial" w:cs="Arial" w:eastAsia="Arial" w:hAnsi="Arial"/>
                <w:sz w:val="18"/>
                <w:szCs w:val="18"/>
                <w:color w:val="auto"/>
              </w:rPr>
              <w:t>1,052,537</w:t>
            </w:r>
          </w:p>
        </w:tc>
        <w:tc>
          <w:tcPr>
            <w:tcW w:w="146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5,467,673</w:t>
            </w:r>
          </w:p>
        </w:tc>
      </w:tr>
      <w:tr>
        <w:trPr>
          <w:trHeight w:val="38"/>
        </w:trPr>
        <w:tc>
          <w:tcPr>
            <w:tcW w:w="2200" w:type="dxa"/>
            <w:vAlign w:val="bottom"/>
            <w:tcBorders>
              <w:bottom w:val="single" w:sz="8" w:color="572C83"/>
            </w:tcBorders>
          </w:tcPr>
          <w:p>
            <w:pPr>
              <w:spacing w:after="0"/>
              <w:rPr>
                <w:sz w:val="3"/>
                <w:szCs w:val="3"/>
                <w:color w:val="auto"/>
              </w:rPr>
            </w:pPr>
          </w:p>
        </w:tc>
        <w:tc>
          <w:tcPr>
            <w:tcW w:w="1860" w:type="dxa"/>
            <w:vAlign w:val="bottom"/>
            <w:tcBorders>
              <w:bottom w:val="single" w:sz="8" w:color="572C83"/>
            </w:tcBorders>
          </w:tcPr>
          <w:p>
            <w:pPr>
              <w:spacing w:after="0"/>
              <w:rPr>
                <w:sz w:val="3"/>
                <w:szCs w:val="3"/>
                <w:color w:val="auto"/>
              </w:rPr>
            </w:pPr>
          </w:p>
        </w:tc>
        <w:tc>
          <w:tcPr>
            <w:tcW w:w="1940" w:type="dxa"/>
            <w:vAlign w:val="bottom"/>
            <w:tcBorders>
              <w:bottom w:val="single" w:sz="8" w:color="572C83"/>
            </w:tcBorders>
          </w:tcPr>
          <w:p>
            <w:pPr>
              <w:spacing w:after="0"/>
              <w:rPr>
                <w:sz w:val="3"/>
                <w:szCs w:val="3"/>
                <w:color w:val="auto"/>
              </w:rPr>
            </w:pPr>
          </w:p>
        </w:tc>
        <w:tc>
          <w:tcPr>
            <w:tcW w:w="1880" w:type="dxa"/>
            <w:vAlign w:val="bottom"/>
            <w:tcBorders>
              <w:bottom w:val="single" w:sz="8" w:color="572C83"/>
            </w:tcBorders>
          </w:tcPr>
          <w:p>
            <w:pPr>
              <w:spacing w:after="0"/>
              <w:rPr>
                <w:sz w:val="3"/>
                <w:szCs w:val="3"/>
                <w:color w:val="auto"/>
              </w:rPr>
            </w:pPr>
          </w:p>
        </w:tc>
        <w:tc>
          <w:tcPr>
            <w:tcW w:w="1900" w:type="dxa"/>
            <w:vAlign w:val="bottom"/>
            <w:tcBorders>
              <w:bottom w:val="single" w:sz="8" w:color="572C83"/>
            </w:tcBorders>
          </w:tcPr>
          <w:p>
            <w:pPr>
              <w:spacing w:after="0"/>
              <w:rPr>
                <w:sz w:val="3"/>
                <w:szCs w:val="3"/>
                <w:color w:val="auto"/>
              </w:rPr>
            </w:pPr>
          </w:p>
        </w:tc>
        <w:tc>
          <w:tcPr>
            <w:tcW w:w="1460" w:type="dxa"/>
            <w:vAlign w:val="bottom"/>
            <w:tcBorders>
              <w:bottom w:val="single" w:sz="8" w:color="572C83"/>
            </w:tcBorders>
          </w:tcPr>
          <w:p>
            <w:pPr>
              <w:spacing w:after="0"/>
              <w:rPr>
                <w:sz w:val="3"/>
                <w:szCs w:val="3"/>
                <w:color w:val="auto"/>
              </w:rPr>
            </w:pPr>
          </w:p>
        </w:tc>
      </w:tr>
      <w:tr>
        <w:trPr>
          <w:trHeight w:val="284"/>
        </w:trPr>
        <w:tc>
          <w:tcPr>
            <w:tcW w:w="22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Stein, Laura</w:t>
            </w:r>
          </w:p>
        </w:tc>
        <w:tc>
          <w:tcPr>
            <w:tcW w:w="186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564,110</w:t>
            </w:r>
          </w:p>
        </w:tc>
        <w:tc>
          <w:tcPr>
            <w:tcW w:w="1940" w:type="dxa"/>
            <w:vAlign w:val="bottom"/>
            <w:tcBorders>
              <w:bottom w:val="single" w:sz="8" w:color="EBE6F0"/>
            </w:tcBorders>
            <w:shd w:val="clear" w:color="auto" w:fill="EBE6F0"/>
          </w:tcPr>
          <w:p>
            <w:pPr>
              <w:jc w:val="right"/>
              <w:ind w:right="473"/>
              <w:spacing w:after="0"/>
              <w:rPr>
                <w:sz w:val="20"/>
                <w:szCs w:val="20"/>
                <w:color w:val="auto"/>
              </w:rPr>
            </w:pPr>
            <w:r>
              <w:rPr>
                <w:rFonts w:ascii="Arial" w:cs="Arial" w:eastAsia="Arial" w:hAnsi="Arial"/>
                <w:sz w:val="18"/>
                <w:szCs w:val="18"/>
                <w:color w:val="auto"/>
              </w:rPr>
              <w:t>2,332,786</w:t>
            </w:r>
          </w:p>
        </w:tc>
        <w:tc>
          <w:tcPr>
            <w:tcW w:w="188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290,438</w:t>
            </w:r>
          </w:p>
        </w:tc>
        <w:tc>
          <w:tcPr>
            <w:tcW w:w="1900" w:type="dxa"/>
            <w:vAlign w:val="bottom"/>
            <w:tcBorders>
              <w:bottom w:val="single" w:sz="8" w:color="EBE6F0"/>
            </w:tcBorders>
            <w:shd w:val="clear" w:color="auto" w:fill="EBE6F0"/>
          </w:tcPr>
          <w:p>
            <w:pPr>
              <w:jc w:val="right"/>
              <w:ind w:right="433"/>
              <w:spacing w:after="0"/>
              <w:rPr>
                <w:sz w:val="20"/>
                <w:szCs w:val="20"/>
                <w:color w:val="auto"/>
              </w:rPr>
            </w:pPr>
            <w:r>
              <w:rPr>
                <w:rFonts w:ascii="Arial" w:cs="Arial" w:eastAsia="Arial" w:hAnsi="Arial"/>
                <w:sz w:val="18"/>
                <w:szCs w:val="18"/>
                <w:color w:val="auto"/>
              </w:rPr>
              <w:t>852,244</w:t>
            </w:r>
          </w:p>
        </w:tc>
        <w:tc>
          <w:tcPr>
            <w:tcW w:w="146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4,039,578</w:t>
            </w:r>
          </w:p>
        </w:tc>
      </w:tr>
      <w:tr>
        <w:trPr>
          <w:trHeight w:val="20"/>
        </w:trPr>
        <w:tc>
          <w:tcPr>
            <w:tcW w:w="2200" w:type="dxa"/>
            <w:vAlign w:val="bottom"/>
            <w:shd w:val="clear" w:color="auto" w:fill="572C83"/>
          </w:tcPr>
          <w:p>
            <w:pPr>
              <w:spacing w:after="0" w:line="20" w:lineRule="exact"/>
              <w:rPr>
                <w:sz w:val="1"/>
                <w:szCs w:val="1"/>
                <w:color w:val="auto"/>
              </w:rPr>
            </w:pPr>
          </w:p>
        </w:tc>
        <w:tc>
          <w:tcPr>
            <w:tcW w:w="1860" w:type="dxa"/>
            <w:vAlign w:val="bottom"/>
            <w:shd w:val="clear" w:color="auto" w:fill="572C83"/>
          </w:tcPr>
          <w:p>
            <w:pPr>
              <w:spacing w:after="0" w:line="20" w:lineRule="exact"/>
              <w:rPr>
                <w:sz w:val="1"/>
                <w:szCs w:val="1"/>
                <w:color w:val="auto"/>
              </w:rPr>
            </w:pPr>
          </w:p>
        </w:tc>
        <w:tc>
          <w:tcPr>
            <w:tcW w:w="1940" w:type="dxa"/>
            <w:vAlign w:val="bottom"/>
            <w:shd w:val="clear" w:color="auto" w:fill="572C83"/>
          </w:tcPr>
          <w:p>
            <w:pPr>
              <w:spacing w:after="0" w:line="20" w:lineRule="exact"/>
              <w:rPr>
                <w:sz w:val="1"/>
                <w:szCs w:val="1"/>
                <w:color w:val="auto"/>
              </w:rPr>
            </w:pPr>
          </w:p>
        </w:tc>
        <w:tc>
          <w:tcPr>
            <w:tcW w:w="1880" w:type="dxa"/>
            <w:vAlign w:val="bottom"/>
            <w:shd w:val="clear" w:color="auto" w:fill="572C83"/>
          </w:tcPr>
          <w:p>
            <w:pPr>
              <w:spacing w:after="0" w:line="20" w:lineRule="exact"/>
              <w:rPr>
                <w:sz w:val="1"/>
                <w:szCs w:val="1"/>
                <w:color w:val="auto"/>
              </w:rPr>
            </w:pPr>
          </w:p>
        </w:tc>
        <w:tc>
          <w:tcPr>
            <w:tcW w:w="1900" w:type="dxa"/>
            <w:vAlign w:val="bottom"/>
            <w:shd w:val="clear" w:color="auto" w:fill="572C83"/>
          </w:tcPr>
          <w:p>
            <w:pPr>
              <w:spacing w:after="0" w:line="20" w:lineRule="exact"/>
              <w:rPr>
                <w:sz w:val="1"/>
                <w:szCs w:val="1"/>
                <w:color w:val="auto"/>
              </w:rPr>
            </w:pPr>
          </w:p>
        </w:tc>
        <w:tc>
          <w:tcPr>
            <w:tcW w:w="1460" w:type="dxa"/>
            <w:vAlign w:val="bottom"/>
            <w:shd w:val="clear" w:color="auto" w:fill="572C83"/>
          </w:tcPr>
          <w:p>
            <w:pPr>
              <w:spacing w:after="0" w:line="20" w:lineRule="exact"/>
              <w:rPr>
                <w:sz w:val="1"/>
                <w:szCs w:val="1"/>
                <w:color w:val="auto"/>
              </w:rPr>
            </w:pPr>
          </w:p>
        </w:tc>
      </w:tr>
    </w:tbl>
    <w:p>
      <w:pPr>
        <w:spacing w:after="0" w:line="40" w:lineRule="exact"/>
        <w:rPr>
          <w:sz w:val="20"/>
          <w:szCs w:val="20"/>
          <w:color w:val="auto"/>
        </w:rPr>
      </w:pPr>
    </w:p>
    <w:p>
      <w:pPr>
        <w:ind w:left="420" w:right="460" w:hanging="331"/>
        <w:spacing w:after="0" w:line="272" w:lineRule="auto"/>
        <w:tabs>
          <w:tab w:leader="none" w:pos="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reflect target awards under our 2021 AIP. Amounts for Messrs. Brusadelli and Gruber are converted to U.S. dollars using the Applicable Exchange Rate.</w:t>
      </w:r>
    </w:p>
    <w:p>
      <w:pPr>
        <w:spacing w:after="0" w:line="1" w:lineRule="exact"/>
        <w:rPr>
          <w:rFonts w:ascii="Arial" w:cs="Arial" w:eastAsia="Arial" w:hAnsi="Arial"/>
          <w:sz w:val="16"/>
          <w:szCs w:val="16"/>
          <w:color w:val="auto"/>
        </w:rPr>
      </w:pPr>
    </w:p>
    <w:p>
      <w:pPr>
        <w:ind w:left="420" w:right="120" w:hanging="331"/>
        <w:spacing w:after="0" w:line="262" w:lineRule="auto"/>
        <w:tabs>
          <w:tab w:leader="none" w:pos="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reflect target PSU grant for the 2019-2021 performance cycle as well as prorated target PSU grants for the 2020-2022, except for Ms. Stein, and 2021-2023 performance cycles. Per the terms of the grant made to Ms. Stein in connection with her offer of employment, the amount for Ms. Stein also reflects the target PSU grant for the 2020-2022 performance cycle. All amounts are based on a December 31, 2021 closing stock price of $66.31.</w:t>
      </w:r>
    </w:p>
    <w:p>
      <w:pPr>
        <w:spacing w:after="0" w:line="193" w:lineRule="exact"/>
        <w:rPr>
          <w:rFonts w:ascii="Arial" w:cs="Arial" w:eastAsia="Arial" w:hAnsi="Arial"/>
          <w:sz w:val="16"/>
          <w:szCs w:val="16"/>
          <w:color w:val="auto"/>
        </w:rPr>
      </w:pPr>
    </w:p>
    <w:p>
      <w:pPr>
        <w:ind w:left="420" w:right="460" w:hanging="331"/>
        <w:spacing w:after="0" w:line="286" w:lineRule="auto"/>
        <w:tabs>
          <w:tab w:leader="none" w:pos="4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reflect the value of immediate vesting of all outstanding unvested deferred stock unit grants and outstanding unvested stock options. All amounts are based on a December 31, 2021 closing stock price of $66.31.</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If an NEO terminates employment due to retirement: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38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Element</w:t>
            </w:r>
          </w:p>
        </w:tc>
        <w:tc>
          <w:tcPr>
            <w:tcW w:w="786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Treatment</w:t>
            </w:r>
          </w:p>
        </w:tc>
      </w:tr>
      <w:tr>
        <w:trPr>
          <w:trHeight w:val="323"/>
        </w:trPr>
        <w:tc>
          <w:tcPr>
            <w:tcW w:w="338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AIP</w:t>
            </w:r>
          </w:p>
        </w:tc>
        <w:tc>
          <w:tcPr>
            <w:tcW w:w="7860" w:type="dxa"/>
            <w:vAlign w:val="bottom"/>
            <w:shd w:val="clear" w:color="auto" w:fill="EBE6F0"/>
          </w:tcPr>
          <w:p>
            <w:pPr>
              <w:ind w:left="80"/>
              <w:spacing w:after="0"/>
              <w:rPr>
                <w:sz w:val="20"/>
                <w:szCs w:val="20"/>
                <w:color w:val="auto"/>
              </w:rPr>
            </w:pPr>
            <w:r>
              <w:rPr>
                <w:rFonts w:ascii="Arial" w:cs="Arial" w:eastAsia="Arial" w:hAnsi="Arial"/>
                <w:sz w:val="22"/>
                <w:szCs w:val="22"/>
                <w:color w:val="auto"/>
              </w:rPr>
              <w:t>Eligible for a prorated award under AIP.</w:t>
            </w:r>
          </w:p>
        </w:tc>
      </w:tr>
      <w:tr>
        <w:trPr>
          <w:trHeight w:val="41"/>
        </w:trPr>
        <w:tc>
          <w:tcPr>
            <w:tcW w:w="3380" w:type="dxa"/>
            <w:vAlign w:val="bottom"/>
            <w:shd w:val="clear" w:color="auto" w:fill="EBE6F0"/>
          </w:tcPr>
          <w:p>
            <w:pPr>
              <w:spacing w:after="0"/>
              <w:rPr>
                <w:sz w:val="3"/>
                <w:szCs w:val="3"/>
                <w:color w:val="auto"/>
              </w:rPr>
            </w:pPr>
          </w:p>
        </w:tc>
        <w:tc>
          <w:tcPr>
            <w:tcW w:w="7860" w:type="dxa"/>
            <w:vAlign w:val="bottom"/>
            <w:shd w:val="clear" w:color="auto" w:fill="EBE6F0"/>
          </w:tcPr>
          <w:p>
            <w:pPr>
              <w:spacing w:after="0"/>
              <w:rPr>
                <w:sz w:val="3"/>
                <w:szCs w:val="3"/>
                <w:color w:val="auto"/>
              </w:rPr>
            </w:pPr>
          </w:p>
        </w:tc>
      </w:tr>
    </w:tbl>
    <w:p>
      <w:pPr>
        <w:spacing w:after="0" w:line="26" w:lineRule="exact"/>
        <w:rPr>
          <w:sz w:val="20"/>
          <w:szCs w:val="20"/>
          <w:color w:val="auto"/>
        </w:rPr>
      </w:pPr>
    </w:p>
    <w:p>
      <w:pPr>
        <w:ind w:left="80"/>
        <w:spacing w:after="0"/>
        <w:tabs>
          <w:tab w:leader="none" w:pos="3440" w:val="left"/>
        </w:tabs>
        <w:rPr>
          <w:sz w:val="20"/>
          <w:szCs w:val="20"/>
          <w:color w:val="auto"/>
        </w:rPr>
      </w:pPr>
      <w:r>
        <w:rPr>
          <w:rFonts w:ascii="Arial" w:cs="Arial" w:eastAsia="Arial" w:hAnsi="Arial"/>
          <w:sz w:val="22"/>
          <w:szCs w:val="22"/>
          <w:b w:val="1"/>
          <w:bCs w:val="1"/>
          <w:color w:val="auto"/>
        </w:rPr>
        <w:t>Unvested Deferred Stock Units</w:t>
      </w:r>
      <w:r>
        <w:rPr>
          <w:sz w:val="20"/>
          <w:szCs w:val="20"/>
          <w:color w:val="auto"/>
        </w:rPr>
        <w:tab/>
      </w:r>
      <w:r>
        <w:rPr>
          <w:rFonts w:ascii="Arial" w:cs="Arial" w:eastAsia="Arial" w:hAnsi="Arial"/>
          <w:sz w:val="21"/>
          <w:szCs w:val="21"/>
          <w:color w:val="auto"/>
        </w:rPr>
        <w:t>Pro rata vest based on the number of months employed during the vesting</w:t>
      </w:r>
    </w:p>
    <w:tbl>
      <w:tblPr>
        <w:tblLayout w:type="fixed"/>
        <w:tblInd w:w="0" w:type="dxa"/>
        <w:tblCellMar>
          <w:top w:w="0" w:type="dxa"/>
          <w:left w:w="0" w:type="dxa"/>
          <w:bottom w:w="0" w:type="dxa"/>
          <w:right w:w="0" w:type="dxa"/>
        </w:tblCellMar>
      </w:tblPr>
      <w:tr>
        <w:trPr>
          <w:trHeight w:val="235"/>
        </w:trPr>
        <w:tc>
          <w:tcPr>
            <w:tcW w:w="3380" w:type="dxa"/>
            <w:vAlign w:val="bottom"/>
          </w:tcPr>
          <w:p>
            <w:pPr>
              <w:spacing w:after="0"/>
              <w:rPr>
                <w:sz w:val="20"/>
                <w:szCs w:val="20"/>
                <w:color w:val="auto"/>
              </w:rPr>
            </w:pPr>
          </w:p>
        </w:tc>
        <w:tc>
          <w:tcPr>
            <w:tcW w:w="7860" w:type="dxa"/>
            <w:vAlign w:val="bottom"/>
          </w:tcPr>
          <w:p>
            <w:pPr>
              <w:ind w:left="80"/>
              <w:spacing w:after="0" w:line="234" w:lineRule="exact"/>
              <w:rPr>
                <w:sz w:val="20"/>
                <w:szCs w:val="20"/>
                <w:color w:val="auto"/>
              </w:rPr>
            </w:pPr>
            <w:r>
              <w:rPr>
                <w:rFonts w:ascii="Arial" w:cs="Arial" w:eastAsia="Arial" w:hAnsi="Arial"/>
                <w:sz w:val="22"/>
                <w:szCs w:val="22"/>
                <w:color w:val="auto"/>
                <w:w w:val="99"/>
              </w:rPr>
              <w:t>period provided the employee is actively employed for at least 90 days following</w:t>
            </w:r>
          </w:p>
        </w:tc>
      </w:tr>
      <w:tr>
        <w:trPr>
          <w:trHeight w:val="283"/>
        </w:trPr>
        <w:tc>
          <w:tcPr>
            <w:tcW w:w="3380" w:type="dxa"/>
            <w:vAlign w:val="bottom"/>
          </w:tcPr>
          <w:p>
            <w:pPr>
              <w:spacing w:after="0"/>
              <w:rPr>
                <w:sz w:val="24"/>
                <w:szCs w:val="24"/>
                <w:color w:val="auto"/>
              </w:rPr>
            </w:pPr>
          </w:p>
        </w:tc>
        <w:tc>
          <w:tcPr>
            <w:tcW w:w="7860" w:type="dxa"/>
            <w:vAlign w:val="bottom"/>
          </w:tcPr>
          <w:p>
            <w:pPr>
              <w:ind w:left="80"/>
              <w:spacing w:after="0"/>
              <w:rPr>
                <w:sz w:val="20"/>
                <w:szCs w:val="20"/>
                <w:color w:val="auto"/>
              </w:rPr>
            </w:pPr>
            <w:r>
              <w:rPr>
                <w:rFonts w:ascii="Arial" w:cs="Arial" w:eastAsia="Arial" w:hAnsi="Arial"/>
                <w:sz w:val="22"/>
                <w:szCs w:val="22"/>
                <w:color w:val="auto"/>
              </w:rPr>
              <w:t>the grant date.</w:t>
            </w:r>
          </w:p>
        </w:tc>
      </w:tr>
      <w:tr>
        <w:trPr>
          <w:trHeight w:val="40"/>
        </w:trPr>
        <w:tc>
          <w:tcPr>
            <w:tcW w:w="3380" w:type="dxa"/>
            <w:vAlign w:val="bottom"/>
          </w:tcPr>
          <w:p>
            <w:pPr>
              <w:spacing w:after="0"/>
              <w:rPr>
                <w:sz w:val="3"/>
                <w:szCs w:val="3"/>
                <w:color w:val="auto"/>
              </w:rPr>
            </w:pPr>
          </w:p>
        </w:tc>
        <w:tc>
          <w:tcPr>
            <w:tcW w:w="7860" w:type="dxa"/>
            <w:vAlign w:val="bottom"/>
          </w:tcPr>
          <w:p>
            <w:pPr>
              <w:spacing w:after="0"/>
              <w:rPr>
                <w:sz w:val="3"/>
                <w:szCs w:val="3"/>
                <w:color w:val="auto"/>
              </w:rPr>
            </w:pPr>
          </w:p>
        </w:tc>
      </w:tr>
      <w:tr>
        <w:trPr>
          <w:trHeight w:val="284"/>
        </w:trPr>
        <w:tc>
          <w:tcPr>
            <w:tcW w:w="338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Unvested Stock Options</w:t>
            </w:r>
          </w:p>
        </w:tc>
        <w:tc>
          <w:tcPr>
            <w:tcW w:w="7860" w:type="dxa"/>
            <w:vAlign w:val="bottom"/>
            <w:shd w:val="clear" w:color="auto" w:fill="EBE6F0"/>
          </w:tcPr>
          <w:p>
            <w:pPr>
              <w:ind w:left="80"/>
              <w:spacing w:after="0"/>
              <w:rPr>
                <w:sz w:val="20"/>
                <w:szCs w:val="20"/>
                <w:color w:val="auto"/>
              </w:rPr>
            </w:pPr>
            <w:r>
              <w:rPr>
                <w:rFonts w:ascii="Arial" w:cs="Arial" w:eastAsia="Arial" w:hAnsi="Arial"/>
                <w:sz w:val="22"/>
                <w:szCs w:val="22"/>
                <w:color w:val="auto"/>
              </w:rPr>
              <w:t>Continue to vest per the original vesting schedule provided the employee is</w:t>
            </w:r>
          </w:p>
        </w:tc>
      </w:tr>
      <w:tr>
        <w:trPr>
          <w:trHeight w:val="317"/>
        </w:trPr>
        <w:tc>
          <w:tcPr>
            <w:tcW w:w="3380" w:type="dxa"/>
            <w:vAlign w:val="bottom"/>
            <w:tcBorders>
              <w:bottom w:val="single" w:sz="8" w:color="EBE6F0"/>
            </w:tcBorders>
            <w:shd w:val="clear" w:color="auto" w:fill="EBE6F0"/>
          </w:tcPr>
          <w:p>
            <w:pPr>
              <w:spacing w:after="0"/>
              <w:rPr>
                <w:sz w:val="24"/>
                <w:szCs w:val="24"/>
                <w:color w:val="auto"/>
              </w:rPr>
            </w:pPr>
          </w:p>
        </w:tc>
        <w:tc>
          <w:tcPr>
            <w:tcW w:w="7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22"/>
                <w:szCs w:val="22"/>
                <w:color w:val="auto"/>
              </w:rPr>
              <w:t>actively employed for at least 90 days following the grant date.</w:t>
            </w:r>
          </w:p>
        </w:tc>
      </w:tr>
      <w:tr>
        <w:trPr>
          <w:trHeight w:val="271"/>
        </w:trPr>
        <w:tc>
          <w:tcPr>
            <w:tcW w:w="3380" w:type="dxa"/>
            <w:vAlign w:val="bottom"/>
          </w:tcPr>
          <w:p>
            <w:pPr>
              <w:ind w:left="80"/>
              <w:spacing w:after="0"/>
              <w:rPr>
                <w:sz w:val="20"/>
                <w:szCs w:val="20"/>
                <w:color w:val="auto"/>
              </w:rPr>
            </w:pPr>
            <w:r>
              <w:rPr>
                <w:rFonts w:ascii="Arial" w:cs="Arial" w:eastAsia="Arial" w:hAnsi="Arial"/>
                <w:sz w:val="22"/>
                <w:szCs w:val="22"/>
                <w:b w:val="1"/>
                <w:bCs w:val="1"/>
                <w:color w:val="auto"/>
              </w:rPr>
              <w:t>Unvested PSUs</w:t>
            </w:r>
          </w:p>
        </w:tc>
        <w:tc>
          <w:tcPr>
            <w:tcW w:w="7860" w:type="dxa"/>
            <w:vAlign w:val="bottom"/>
          </w:tcPr>
          <w:p>
            <w:pPr>
              <w:ind w:left="80"/>
              <w:spacing w:after="0"/>
              <w:rPr>
                <w:sz w:val="20"/>
                <w:szCs w:val="20"/>
                <w:color w:val="auto"/>
              </w:rPr>
            </w:pPr>
            <w:r>
              <w:rPr>
                <w:rFonts w:ascii="Arial" w:cs="Arial" w:eastAsia="Arial" w:hAnsi="Arial"/>
                <w:sz w:val="22"/>
                <w:szCs w:val="22"/>
                <w:color w:val="auto"/>
              </w:rPr>
              <w:t>Pro rata vest based on the number of months employed during the applicable</w:t>
            </w:r>
          </w:p>
        </w:tc>
      </w:tr>
      <w:tr>
        <w:trPr>
          <w:trHeight w:val="243"/>
        </w:trPr>
        <w:tc>
          <w:tcPr>
            <w:tcW w:w="3380" w:type="dxa"/>
            <w:vAlign w:val="bottom"/>
          </w:tcPr>
          <w:p>
            <w:pPr>
              <w:spacing w:after="0"/>
              <w:rPr>
                <w:sz w:val="21"/>
                <w:szCs w:val="21"/>
                <w:color w:val="auto"/>
              </w:rPr>
            </w:pPr>
          </w:p>
        </w:tc>
        <w:tc>
          <w:tcPr>
            <w:tcW w:w="7860" w:type="dxa"/>
            <w:vAlign w:val="bottom"/>
          </w:tcPr>
          <w:p>
            <w:pPr>
              <w:ind w:left="80"/>
              <w:spacing w:after="0" w:line="243" w:lineRule="exact"/>
              <w:rPr>
                <w:sz w:val="20"/>
                <w:szCs w:val="20"/>
                <w:color w:val="auto"/>
              </w:rPr>
            </w:pPr>
            <w:r>
              <w:rPr>
                <w:rFonts w:ascii="Arial" w:cs="Arial" w:eastAsia="Arial" w:hAnsi="Arial"/>
                <w:sz w:val="22"/>
                <w:szCs w:val="22"/>
                <w:color w:val="auto"/>
              </w:rPr>
              <w:t>performance period, subject to actual Company performance, provided the</w:t>
            </w:r>
          </w:p>
        </w:tc>
      </w:tr>
      <w:tr>
        <w:trPr>
          <w:trHeight w:val="283"/>
        </w:trPr>
        <w:tc>
          <w:tcPr>
            <w:tcW w:w="3380" w:type="dxa"/>
            <w:vAlign w:val="bottom"/>
          </w:tcPr>
          <w:p>
            <w:pPr>
              <w:spacing w:after="0"/>
              <w:rPr>
                <w:sz w:val="24"/>
                <w:szCs w:val="24"/>
                <w:color w:val="auto"/>
              </w:rPr>
            </w:pPr>
          </w:p>
        </w:tc>
        <w:tc>
          <w:tcPr>
            <w:tcW w:w="7860" w:type="dxa"/>
            <w:vAlign w:val="bottom"/>
          </w:tcPr>
          <w:p>
            <w:pPr>
              <w:ind w:left="80"/>
              <w:spacing w:after="0"/>
              <w:rPr>
                <w:sz w:val="20"/>
                <w:szCs w:val="20"/>
                <w:color w:val="auto"/>
              </w:rPr>
            </w:pPr>
            <w:r>
              <w:rPr>
                <w:rFonts w:ascii="Arial" w:cs="Arial" w:eastAsia="Arial" w:hAnsi="Arial"/>
                <w:sz w:val="22"/>
                <w:szCs w:val="22"/>
                <w:color w:val="auto"/>
              </w:rPr>
              <w:t>employee is actively employed for at least 90 days following the grant date.</w:t>
            </w:r>
          </w:p>
        </w:tc>
      </w:tr>
      <w:tr>
        <w:trPr>
          <w:trHeight w:val="40"/>
        </w:trPr>
        <w:tc>
          <w:tcPr>
            <w:tcW w:w="3380" w:type="dxa"/>
            <w:vAlign w:val="bottom"/>
            <w:tcBorders>
              <w:bottom w:val="single" w:sz="8" w:color="572C83"/>
            </w:tcBorders>
          </w:tcPr>
          <w:p>
            <w:pPr>
              <w:spacing w:after="0"/>
              <w:rPr>
                <w:sz w:val="3"/>
                <w:szCs w:val="3"/>
                <w:color w:val="auto"/>
              </w:rPr>
            </w:pPr>
          </w:p>
        </w:tc>
        <w:tc>
          <w:tcPr>
            <w:tcW w:w="7860" w:type="dxa"/>
            <w:vAlign w:val="bottom"/>
            <w:tcBorders>
              <w:bottom w:val="single" w:sz="8" w:color="572C83"/>
            </w:tcBorders>
          </w:tcPr>
          <w:p>
            <w:pPr>
              <w:spacing w:after="0"/>
              <w:rPr>
                <w:sz w:val="3"/>
                <w:szCs w:val="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Mr. Gruber is our only NEO who was eligible for retirement treatment on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540" w:right="460"/>
        <w:spacing w:after="0" w:line="264" w:lineRule="auto"/>
        <w:rPr>
          <w:sz w:val="20"/>
          <w:szCs w:val="20"/>
          <w:color w:val="auto"/>
        </w:rPr>
      </w:pPr>
      <w:r>
        <w:rPr>
          <w:rFonts w:ascii="Arial" w:cs="Arial" w:eastAsia="Arial" w:hAnsi="Arial"/>
          <w:sz w:val="47"/>
          <w:szCs w:val="47"/>
          <w:b w:val="1"/>
          <w:bCs w:val="1"/>
          <w:color w:val="582C83"/>
        </w:rPr>
        <w:t>PEOPLE AND COMPENSATION COMMITTEE REPORT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401955</wp:posOffset>
            </wp:positionV>
            <wp:extent cx="6690360" cy="24815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690360" cy="248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580"/>
        <w:spacing w:after="0" w:line="248" w:lineRule="auto"/>
        <w:rPr>
          <w:sz w:val="20"/>
          <w:szCs w:val="20"/>
          <w:color w:val="auto"/>
        </w:rPr>
      </w:pPr>
      <w:r>
        <w:rPr>
          <w:rFonts w:ascii="Arial" w:cs="Arial" w:eastAsia="Arial" w:hAnsi="Arial"/>
          <w:sz w:val="21"/>
          <w:szCs w:val="21"/>
          <w:color w:val="auto"/>
        </w:rPr>
        <w:t>The People and Compensation Committee oversees the compensation programs on behalf of the Board. In fulfilling its oversight responsibilities, the People and Compensation Committee reviewed and discussed with management the Compensation Discussion and Analysis included in this Proxy Statement. Based on that review and discussion, the People and Compensation Committee recommended that the Board include the Compensation Discussion and Analysis in the Proxy Statement to be filed with the SEC in connection with the Annual Meeting and incorporate it by reference in the Annual Report on Form 10-K for the year ended December 31, 2021, filed with the SEC on February 4, 2022.</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People and Compensation Committee: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Lois D. Juliber, Chair</w:t>
      </w:r>
    </w:p>
    <w:p>
      <w:pPr>
        <w:ind w:left="500"/>
        <w:spacing w:after="0"/>
        <w:rPr>
          <w:sz w:val="20"/>
          <w:szCs w:val="20"/>
          <w:color w:val="auto"/>
        </w:rPr>
      </w:pPr>
      <w:r>
        <w:rPr>
          <w:rFonts w:ascii="Arial" w:cs="Arial" w:eastAsia="Arial" w:hAnsi="Arial"/>
          <w:sz w:val="22"/>
          <w:szCs w:val="22"/>
          <w:color w:val="auto"/>
        </w:rPr>
        <w:t>Lewis W.K. Booth</w:t>
      </w:r>
    </w:p>
    <w:p>
      <w:pPr>
        <w:ind w:left="500"/>
        <w:spacing w:after="0" w:line="230" w:lineRule="auto"/>
        <w:rPr>
          <w:sz w:val="20"/>
          <w:szCs w:val="20"/>
          <w:color w:val="auto"/>
        </w:rPr>
      </w:pPr>
      <w:r>
        <w:rPr>
          <w:rFonts w:ascii="Arial" w:cs="Arial" w:eastAsia="Arial" w:hAnsi="Arial"/>
          <w:sz w:val="22"/>
          <w:szCs w:val="22"/>
          <w:color w:val="auto"/>
        </w:rPr>
        <w:t>Charles E. Bunch</w:t>
      </w:r>
    </w:p>
    <w:p>
      <w:pPr>
        <w:ind w:left="500"/>
        <w:spacing w:after="0" w:line="231" w:lineRule="auto"/>
        <w:rPr>
          <w:sz w:val="20"/>
          <w:szCs w:val="20"/>
          <w:color w:val="auto"/>
        </w:rPr>
      </w:pPr>
      <w:r>
        <w:rPr>
          <w:rFonts w:ascii="Arial" w:cs="Arial" w:eastAsia="Arial" w:hAnsi="Arial"/>
          <w:sz w:val="22"/>
          <w:szCs w:val="22"/>
          <w:color w:val="auto"/>
        </w:rPr>
        <w:t>Peter W. May</w:t>
      </w:r>
    </w:p>
    <w:p>
      <w:pPr>
        <w:ind w:left="500"/>
        <w:spacing w:after="0"/>
        <w:rPr>
          <w:sz w:val="20"/>
          <w:szCs w:val="20"/>
          <w:color w:val="auto"/>
        </w:rPr>
      </w:pPr>
      <w:r>
        <w:rPr>
          <w:rFonts w:ascii="Arial" w:cs="Arial" w:eastAsia="Arial" w:hAnsi="Arial"/>
          <w:sz w:val="22"/>
          <w:szCs w:val="22"/>
          <w:color w:val="auto"/>
        </w:rPr>
        <w:t>Christiana S. 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spacing w:after="0"/>
        <w:rPr>
          <w:sz w:val="20"/>
          <w:szCs w:val="20"/>
          <w:color w:val="auto"/>
        </w:rPr>
      </w:pPr>
      <w:r>
        <w:rPr>
          <w:rFonts w:ascii="Arial" w:cs="Arial" w:eastAsia="Arial" w:hAnsi="Arial"/>
          <w:sz w:val="47"/>
          <w:szCs w:val="47"/>
          <w:b w:val="1"/>
          <w:bCs w:val="1"/>
          <w:color w:val="582C83"/>
        </w:rPr>
        <w:t>CEO PAY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Our CEO to median employee pay ratio was calculated in accordance with Item 402(u) of Regulation S-K and</w:t>
      </w:r>
    </w:p>
    <w:p>
      <w:pPr>
        <w:ind w:left="360"/>
        <w:spacing w:after="0"/>
        <w:rPr>
          <w:sz w:val="20"/>
          <w:szCs w:val="20"/>
          <w:color w:val="auto"/>
        </w:rPr>
      </w:pPr>
      <w:r>
        <w:rPr>
          <w:rFonts w:ascii="Arial" w:cs="Arial" w:eastAsia="Arial" w:hAnsi="Arial"/>
          <w:sz w:val="22"/>
          <w:szCs w:val="22"/>
          <w:color w:val="auto"/>
        </w:rPr>
        <w:t>represents a reasonable estimate. For 2021, the annual total compensation for Dirk Van de Put, our CEO, as</w:t>
      </w:r>
    </w:p>
    <w:p>
      <w:pPr>
        <w:ind w:left="360"/>
        <w:spacing w:after="0" w:line="230" w:lineRule="auto"/>
        <w:rPr>
          <w:sz w:val="20"/>
          <w:szCs w:val="20"/>
          <w:color w:val="auto"/>
        </w:rPr>
      </w:pPr>
      <w:r>
        <w:rPr>
          <w:rFonts w:ascii="Arial" w:cs="Arial" w:eastAsia="Arial" w:hAnsi="Arial"/>
          <w:sz w:val="22"/>
          <w:szCs w:val="22"/>
          <w:color w:val="auto"/>
        </w:rPr>
        <w:t>reported in the Summary Compensation Table was $16,128,320, which reflects compensation received for the</w:t>
      </w:r>
    </w:p>
    <w:p>
      <w:pPr>
        <w:ind w:left="360"/>
        <w:spacing w:after="0" w:line="231" w:lineRule="auto"/>
        <w:rPr>
          <w:sz w:val="20"/>
          <w:szCs w:val="20"/>
          <w:color w:val="auto"/>
        </w:rPr>
      </w:pPr>
      <w:r>
        <w:rPr>
          <w:rFonts w:ascii="Arial" w:cs="Arial" w:eastAsia="Arial" w:hAnsi="Arial"/>
          <w:sz w:val="22"/>
          <w:szCs w:val="22"/>
          <w:color w:val="auto"/>
        </w:rPr>
        <w:t>full calendar year. The annual total compensation for our median employee (“Median Employee”) was</w:t>
      </w:r>
    </w:p>
    <w:p>
      <w:pPr>
        <w:ind w:left="360"/>
        <w:spacing w:after="0" w:line="230" w:lineRule="auto"/>
        <w:rPr>
          <w:sz w:val="20"/>
          <w:szCs w:val="20"/>
          <w:color w:val="auto"/>
        </w:rPr>
      </w:pPr>
      <w:r>
        <w:rPr>
          <w:rFonts w:ascii="Arial" w:cs="Arial" w:eastAsia="Arial" w:hAnsi="Arial"/>
          <w:sz w:val="22"/>
          <w:szCs w:val="22"/>
          <w:color w:val="auto"/>
        </w:rPr>
        <w:t>$31,024. Therefore, the ratio of our CEO’s annual total compensation to the Median Employee’s annual total</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compensation was 520 to 1.</w:t>
      </w:r>
    </w:p>
    <w:p>
      <w:pPr>
        <w:spacing w:after="0" w:line="159" w:lineRule="exact"/>
        <w:rPr>
          <w:sz w:val="20"/>
          <w:szCs w:val="20"/>
          <w:color w:val="auto"/>
        </w:rPr>
      </w:pPr>
    </w:p>
    <w:p>
      <w:pPr>
        <w:ind w:left="360" w:right="500"/>
        <w:spacing w:after="0" w:line="249" w:lineRule="auto"/>
        <w:rPr>
          <w:sz w:val="20"/>
          <w:szCs w:val="20"/>
          <w:color w:val="auto"/>
        </w:rPr>
      </w:pPr>
      <w:r>
        <w:rPr>
          <w:rFonts w:ascii="Arial" w:cs="Arial" w:eastAsia="Arial" w:hAnsi="Arial"/>
          <w:sz w:val="21"/>
          <w:szCs w:val="21"/>
          <w:color w:val="auto"/>
        </w:rPr>
        <w:t>When you compare our CEO-to-Median Employee pay ratio to the ratio at other companies, you should consider some unique factors about our large work force. More than eight out of ten Mondelēz International employees are located outside the U.S. As a global company that generates 75% of our sales internationally, our employees are located in approximately 80 countries. Moreover, we have a heavy presence in emerging markets. In fact, seven of our top nine largest employee populations are in emerging market countries. In addition, a significant portion of our work force consists of part-time and seasonal employees.</w:t>
      </w:r>
    </w:p>
    <w:p>
      <w:pPr>
        <w:spacing w:after="0" w:line="144" w:lineRule="exact"/>
        <w:rPr>
          <w:sz w:val="20"/>
          <w:szCs w:val="20"/>
          <w:color w:val="auto"/>
        </w:rPr>
      </w:pPr>
    </w:p>
    <w:p>
      <w:pPr>
        <w:ind w:left="360" w:right="380"/>
        <w:spacing w:after="0" w:line="245" w:lineRule="auto"/>
        <w:rPr>
          <w:sz w:val="20"/>
          <w:szCs w:val="20"/>
          <w:color w:val="auto"/>
        </w:rPr>
      </w:pPr>
      <w:r>
        <w:rPr>
          <w:rFonts w:ascii="Arial" w:cs="Arial" w:eastAsia="Arial" w:hAnsi="Arial"/>
          <w:sz w:val="21"/>
          <w:szCs w:val="21"/>
          <w:color w:val="auto"/>
        </w:rPr>
        <w:t>As permitted under the SEC rules, we are using the same Median Employee identified for purposes of last year’s CEO pay ratio, as we believe the changes to our employee population and compensation have not significantly impacted our ratio. We identified our Median Employee using 2020 base salaries, our consistently applied compensation measure, for all individuals who were employed by us on October 1, 2020, excluding our CEO, annualized for any employees who joined the Company during 2020. To identify the compensation of our Median Employee, we determined the 2020 annual base salary for each of our full-time, part-time, temporary and seasonal employees without applying any cost-of-living adjustments. We excluded 1,321 employees in Venezuela from our calculation as we do not report Venezuela in our consolidated financials. For an employee paid in a currency other than U.S. dollars, we converted annual base salaries into U.S.</w:t>
      </w:r>
    </w:p>
    <w:p>
      <w:pPr>
        <w:spacing w:after="0" w:line="1" w:lineRule="exact"/>
        <w:rPr>
          <w:sz w:val="20"/>
          <w:szCs w:val="20"/>
          <w:color w:val="auto"/>
        </w:rPr>
      </w:pPr>
    </w:p>
    <w:p>
      <w:pPr>
        <w:ind w:left="360" w:right="560"/>
        <w:spacing w:after="0" w:line="203" w:lineRule="auto"/>
        <w:rPr>
          <w:sz w:val="20"/>
          <w:szCs w:val="20"/>
          <w:color w:val="auto"/>
        </w:rPr>
      </w:pPr>
      <w:r>
        <w:rPr>
          <w:rFonts w:ascii="Arial" w:cs="Arial" w:eastAsia="Arial" w:hAnsi="Arial"/>
          <w:sz w:val="22"/>
          <w:szCs w:val="22"/>
          <w:color w:val="auto"/>
        </w:rPr>
        <w:t>dollars. We then applied the de minimis exemption excluding 4,572</w:t>
      </w:r>
      <w:r>
        <w:rPr>
          <w:rFonts w:ascii="Arial" w:cs="Arial" w:eastAsia="Arial" w:hAnsi="Arial"/>
          <w:sz w:val="40"/>
          <w:szCs w:val="40"/>
          <w:color w:val="auto"/>
          <w:vertAlign w:val="superscript"/>
        </w:rPr>
        <w:t>(1)</w:t>
      </w:r>
      <w:r>
        <w:rPr>
          <w:rFonts w:ascii="Arial" w:cs="Arial" w:eastAsia="Arial" w:hAnsi="Arial"/>
          <w:sz w:val="22"/>
          <w:szCs w:val="22"/>
          <w:color w:val="auto"/>
        </w:rPr>
        <w:t xml:space="preserve"> non-U.S. employees who represented less than 5% of our employee population. After applying this exemption, we used 2020 base salary information for 87,020 of our employees.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0" w:hanging="388"/>
        <w:spacing w:after="0"/>
        <w:tabs>
          <w:tab w:leader="none" w:pos="76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We excluded employees from the following countries: Vietnam (3,207), Morocco (596), Pakistan (437) and Eswatini (332).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spacing w:after="0"/>
        <w:rPr>
          <w:sz w:val="20"/>
          <w:szCs w:val="20"/>
          <w:color w:val="auto"/>
        </w:rPr>
      </w:pPr>
      <w:r>
        <w:rPr>
          <w:rFonts w:ascii="Arial" w:cs="Arial" w:eastAsia="Arial" w:hAnsi="Arial"/>
          <w:sz w:val="47"/>
          <w:szCs w:val="47"/>
          <w:b w:val="1"/>
          <w:bCs w:val="1"/>
          <w:color w:val="582C83"/>
        </w:rPr>
        <w:t>OWNERSHIP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right="380"/>
        <w:spacing w:after="0" w:line="238" w:lineRule="auto"/>
        <w:rPr>
          <w:sz w:val="20"/>
          <w:szCs w:val="20"/>
          <w:color w:val="auto"/>
        </w:rPr>
      </w:pPr>
      <w:r>
        <w:rPr>
          <w:rFonts w:ascii="Arial" w:cs="Arial" w:eastAsia="Arial" w:hAnsi="Arial"/>
          <w:sz w:val="22"/>
          <w:szCs w:val="22"/>
          <w:color w:val="auto"/>
        </w:rPr>
        <w:t>The following table shows the number of shares of Common Stock beneficially owned as of March 14, 2022, unless otherwise noted, by each director and NEO, as well as the number of shares beneficially owned by all of our current directors and executive officers as a group. None of the Common Stock owned by these individuals is subject to any pledge. Unless otherwise indicated, each of the named individuals has sole voting and investment power with respect to the shares shown.</w:t>
      </w:r>
    </w:p>
    <w:p>
      <w:pPr>
        <w:spacing w:after="0" w:line="21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b w:val="1"/>
                <w:bCs w:val="1"/>
                <w:color w:val="auto"/>
              </w:rPr>
              <w:t>Deferred</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7"/>
        </w:trPr>
        <w:tc>
          <w:tcPr>
            <w:tcW w:w="5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jc w:val="right"/>
              <w:ind w:right="212"/>
              <w:spacing w:after="0"/>
              <w:rPr>
                <w:sz w:val="20"/>
                <w:szCs w:val="20"/>
                <w:color w:val="auto"/>
              </w:rPr>
            </w:pPr>
            <w:r>
              <w:rPr>
                <w:rFonts w:ascii="Arial" w:cs="Arial" w:eastAsia="Arial" w:hAnsi="Arial"/>
                <w:sz w:val="18"/>
                <w:szCs w:val="18"/>
                <w:b w:val="1"/>
                <w:bCs w:val="1"/>
                <w:color w:val="auto"/>
              </w:rPr>
              <w:t>Stock Units/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Beneficially</w:t>
            </w:r>
          </w:p>
        </w:tc>
      </w:tr>
      <w:tr>
        <w:trPr>
          <w:trHeight w:val="203"/>
        </w:trPr>
        <w:tc>
          <w:tcPr>
            <w:tcW w:w="5100" w:type="dxa"/>
            <w:vAlign w:val="bottom"/>
          </w:tcPr>
          <w:p>
            <w:pPr>
              <w:spacing w:after="0"/>
              <w:rPr>
                <w:sz w:val="17"/>
                <w:szCs w:val="17"/>
                <w:color w:val="auto"/>
              </w:rPr>
            </w:pP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Beneficially</w:t>
            </w: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Additional</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Owned Shares</w:t>
            </w:r>
          </w:p>
        </w:tc>
      </w:tr>
      <w:tr>
        <w:trPr>
          <w:trHeight w:val="203"/>
        </w:trPr>
        <w:tc>
          <w:tcPr>
            <w:tcW w:w="5100" w:type="dxa"/>
            <w:vAlign w:val="bottom"/>
          </w:tcPr>
          <w:p>
            <w:pPr>
              <w:spacing w:after="0"/>
              <w:rPr>
                <w:sz w:val="17"/>
                <w:szCs w:val="17"/>
                <w:color w:val="auto"/>
              </w:rPr>
            </w:pPr>
          </w:p>
        </w:tc>
        <w:tc>
          <w:tcPr>
            <w:tcW w:w="14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Owned</w:t>
            </w:r>
          </w:p>
        </w:tc>
        <w:tc>
          <w:tcPr>
            <w:tcW w:w="148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Underlying</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Interests</w:t>
            </w: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Percent of</w:t>
            </w:r>
          </w:p>
        </w:tc>
      </w:tr>
      <w:tr>
        <w:trPr>
          <w:trHeight w:val="291"/>
        </w:trPr>
        <w:tc>
          <w:tcPr>
            <w:tcW w:w="510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 of Beneficial Owner</w:t>
            </w:r>
          </w:p>
        </w:tc>
        <w:tc>
          <w:tcPr>
            <w:tcW w:w="1420" w:type="dxa"/>
            <w:vAlign w:val="bottom"/>
            <w:tcBorders>
              <w:bottom w:val="single" w:sz="8" w:color="582C83"/>
            </w:tcBorders>
          </w:tcPr>
          <w:p>
            <w:pPr>
              <w:jc w:val="right"/>
              <w:ind w:right="92"/>
              <w:spacing w:after="0" w:line="270"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9"/>
                <w:szCs w:val="29"/>
                <w:b w:val="1"/>
                <w:bCs w:val="1"/>
                <w:color w:val="auto"/>
                <w:vertAlign w:val="superscript"/>
              </w:rPr>
              <w:t>(1)</w:t>
            </w:r>
          </w:p>
        </w:tc>
        <w:tc>
          <w:tcPr>
            <w:tcW w:w="1480" w:type="dxa"/>
            <w:vAlign w:val="bottom"/>
            <w:tcBorders>
              <w:bottom w:val="single" w:sz="8" w:color="582C83"/>
            </w:tcBorders>
          </w:tcPr>
          <w:p>
            <w:pPr>
              <w:jc w:val="right"/>
              <w:ind w:right="212"/>
              <w:spacing w:after="0" w:line="270" w:lineRule="exact"/>
              <w:rPr>
                <w:sz w:val="20"/>
                <w:szCs w:val="20"/>
                <w:color w:val="auto"/>
              </w:rPr>
            </w:pPr>
            <w:r>
              <w:rPr>
                <w:rFonts w:ascii="Arial" w:cs="Arial" w:eastAsia="Arial" w:hAnsi="Arial"/>
                <w:sz w:val="18"/>
                <w:szCs w:val="18"/>
                <w:b w:val="1"/>
                <w:bCs w:val="1"/>
                <w:color w:val="auto"/>
              </w:rPr>
              <w:t>Units</w:t>
            </w:r>
            <w:r>
              <w:rPr>
                <w:rFonts w:ascii="Arial" w:cs="Arial" w:eastAsia="Arial" w:hAnsi="Arial"/>
                <w:sz w:val="29"/>
                <w:szCs w:val="29"/>
                <w:b w:val="1"/>
                <w:bCs w:val="1"/>
                <w:color w:val="auto"/>
                <w:vertAlign w:val="superscript"/>
              </w:rPr>
              <w:t>(2)</w:t>
            </w:r>
          </w:p>
        </w:tc>
        <w:tc>
          <w:tcPr>
            <w:tcW w:w="114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Held</w:t>
            </w:r>
          </w:p>
        </w:tc>
        <w:tc>
          <w:tcPr>
            <w:tcW w:w="1380" w:type="dxa"/>
            <w:vAlign w:val="bottom"/>
            <w:tcBorders>
              <w:bottom w:val="single" w:sz="8" w:color="582C83"/>
            </w:tcBorders>
          </w:tcPr>
          <w:p>
            <w:pPr>
              <w:jc w:val="right"/>
              <w:spacing w:after="0" w:line="270" w:lineRule="exact"/>
              <w:rPr>
                <w:sz w:val="20"/>
                <w:szCs w:val="20"/>
                <w:color w:val="auto"/>
              </w:rPr>
            </w:pPr>
            <w:r>
              <w:rPr>
                <w:rFonts w:ascii="Arial" w:cs="Arial" w:eastAsia="Arial" w:hAnsi="Arial"/>
                <w:sz w:val="18"/>
                <w:szCs w:val="18"/>
                <w:b w:val="1"/>
                <w:bCs w:val="1"/>
                <w:color w:val="auto"/>
              </w:rPr>
              <w:t>Class</w:t>
            </w:r>
            <w:r>
              <w:rPr>
                <w:rFonts w:ascii="Arial" w:cs="Arial" w:eastAsia="Arial" w:hAnsi="Arial"/>
                <w:sz w:val="29"/>
                <w:szCs w:val="29"/>
                <w:b w:val="1"/>
                <w:bCs w:val="1"/>
                <w:color w:val="auto"/>
                <w:vertAlign w:val="superscript"/>
              </w:rPr>
              <w:t>(3)</w:t>
            </w:r>
          </w:p>
        </w:tc>
      </w:tr>
      <w:tr>
        <w:trPr>
          <w:trHeight w:val="315"/>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Current Directors:</w:t>
            </w:r>
          </w:p>
        </w:tc>
        <w:tc>
          <w:tcPr>
            <w:tcW w:w="1420" w:type="dxa"/>
            <w:vAlign w:val="bottom"/>
            <w:tcBorders>
              <w:bottom w:val="single" w:sz="8" w:color="EBE6F0"/>
            </w:tcBorders>
            <w:shd w:val="clear" w:color="auto" w:fill="EBE6F0"/>
          </w:tcPr>
          <w:p>
            <w:pPr>
              <w:spacing w:after="0"/>
              <w:rPr>
                <w:sz w:val="24"/>
                <w:szCs w:val="24"/>
                <w:color w:val="auto"/>
              </w:rPr>
            </w:pPr>
          </w:p>
        </w:tc>
        <w:tc>
          <w:tcPr>
            <w:tcW w:w="1480" w:type="dxa"/>
            <w:vAlign w:val="bottom"/>
            <w:tcBorders>
              <w:bottom w:val="single" w:sz="8" w:color="EBE6F0"/>
            </w:tcBorders>
            <w:shd w:val="clear" w:color="auto" w:fill="EBE6F0"/>
          </w:tcPr>
          <w:p>
            <w:pPr>
              <w:spacing w:after="0"/>
              <w:rPr>
                <w:sz w:val="24"/>
                <w:szCs w:val="24"/>
                <w:color w:val="auto"/>
              </w:rPr>
            </w:pPr>
          </w:p>
        </w:tc>
        <w:tc>
          <w:tcPr>
            <w:tcW w:w="1140" w:type="dxa"/>
            <w:vAlign w:val="bottom"/>
            <w:tcBorders>
              <w:bottom w:val="single" w:sz="8" w:color="EBE6F0"/>
            </w:tcBorders>
            <w:shd w:val="clear" w:color="auto" w:fill="EBE6F0"/>
          </w:tcPr>
          <w:p>
            <w:pPr>
              <w:spacing w:after="0"/>
              <w:rPr>
                <w:sz w:val="24"/>
                <w:szCs w:val="24"/>
                <w:color w:val="auto"/>
              </w:rPr>
            </w:pPr>
          </w:p>
        </w:tc>
        <w:tc>
          <w:tcPr>
            <w:tcW w:w="1380" w:type="dxa"/>
            <w:vAlign w:val="bottom"/>
            <w:tcBorders>
              <w:bottom w:val="single" w:sz="8" w:color="EBE6F0"/>
            </w:tcBorders>
            <w:shd w:val="clear" w:color="auto" w:fill="EBE6F0"/>
          </w:tcPr>
          <w:p>
            <w:pPr>
              <w:spacing w:after="0"/>
              <w:rPr>
                <w:sz w:val="24"/>
                <w:szCs w:val="24"/>
                <w:color w:val="auto"/>
              </w:rPr>
            </w:pPr>
          </w:p>
        </w:tc>
      </w:tr>
      <w:tr>
        <w:trPr>
          <w:trHeight w:val="265"/>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Booth, Lewis W.K.</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15,900</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41,713</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57,613</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Bunch, Charles E.</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14,487</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22,524</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37,011</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Cousin, Ertharin</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67</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1,201</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1,268</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Juliber, Lois D.</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2,309</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64,317</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66,626</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345"/>
        </w:trPr>
        <w:tc>
          <w:tcPr>
            <w:tcW w:w="5100" w:type="dxa"/>
            <w:vAlign w:val="bottom"/>
            <w:tcBorders>
              <w:top w:val="single" w:sz="8" w:color="572C83"/>
              <w:bottom w:val="single" w:sz="8" w:color="572C83"/>
            </w:tcBorders>
          </w:tcPr>
          <w:p>
            <w:pPr>
              <w:ind w:left="80"/>
              <w:spacing w:after="0"/>
              <w:rPr>
                <w:sz w:val="20"/>
                <w:szCs w:val="20"/>
                <w:color w:val="auto"/>
              </w:rPr>
            </w:pPr>
            <w:r>
              <w:rPr>
                <w:rFonts w:ascii="Arial" w:cs="Arial" w:eastAsia="Arial" w:hAnsi="Arial"/>
                <w:sz w:val="18"/>
                <w:szCs w:val="18"/>
                <w:color w:val="auto"/>
              </w:rPr>
              <w:t>May, Peter W.</w:t>
            </w:r>
            <w:r>
              <w:rPr>
                <w:rFonts w:ascii="Arial" w:cs="Arial" w:eastAsia="Arial" w:hAnsi="Arial"/>
                <w:sz w:val="29"/>
                <w:szCs w:val="29"/>
                <w:color w:val="auto"/>
                <w:vertAlign w:val="superscript"/>
              </w:rPr>
              <w:t>(4)</w:t>
            </w:r>
          </w:p>
        </w:tc>
        <w:tc>
          <w:tcPr>
            <w:tcW w:w="1420" w:type="dxa"/>
            <w:vAlign w:val="bottom"/>
            <w:tcBorders>
              <w:top w:val="single" w:sz="8" w:color="572C83"/>
              <w:bottom w:val="single" w:sz="8" w:color="572C83"/>
            </w:tcBorders>
          </w:tcPr>
          <w:p>
            <w:pPr>
              <w:jc w:val="right"/>
              <w:ind w:right="92"/>
              <w:spacing w:after="0"/>
              <w:rPr>
                <w:sz w:val="20"/>
                <w:szCs w:val="20"/>
                <w:color w:val="auto"/>
              </w:rPr>
            </w:pPr>
            <w:r>
              <w:rPr>
                <w:rFonts w:ascii="Arial" w:cs="Arial" w:eastAsia="Arial" w:hAnsi="Arial"/>
                <w:sz w:val="18"/>
                <w:szCs w:val="18"/>
                <w:color w:val="auto"/>
              </w:rPr>
              <w:t>434,028</w:t>
            </w:r>
          </w:p>
        </w:tc>
        <w:tc>
          <w:tcPr>
            <w:tcW w:w="1480" w:type="dxa"/>
            <w:vAlign w:val="bottom"/>
            <w:tcBorders>
              <w:top w:val="single" w:sz="8" w:color="572C83"/>
              <w:bottom w:val="single" w:sz="8" w:color="572C83"/>
            </w:tcBorders>
          </w:tcPr>
          <w:p>
            <w:pPr>
              <w:jc w:val="right"/>
              <w:ind w:right="212"/>
              <w:spacing w:after="0"/>
              <w:rPr>
                <w:sz w:val="20"/>
                <w:szCs w:val="20"/>
                <w:color w:val="auto"/>
              </w:rPr>
            </w:pPr>
            <w:r>
              <w:rPr>
                <w:rFonts w:ascii="Arial" w:cs="Arial" w:eastAsia="Arial" w:hAnsi="Arial"/>
                <w:sz w:val="18"/>
                <w:szCs w:val="18"/>
                <w:color w:val="auto"/>
              </w:rPr>
              <w:t>16,239</w:t>
            </w:r>
          </w:p>
        </w:tc>
        <w:tc>
          <w:tcPr>
            <w:tcW w:w="1140" w:type="dxa"/>
            <w:vAlign w:val="bottom"/>
            <w:tcBorders>
              <w:top w:val="single" w:sz="8" w:color="572C83"/>
              <w:bottom w:val="single" w:sz="8" w:color="572C83"/>
            </w:tcBorders>
          </w:tcPr>
          <w:p>
            <w:pPr>
              <w:jc w:val="right"/>
              <w:spacing w:after="0"/>
              <w:rPr>
                <w:sz w:val="20"/>
                <w:szCs w:val="20"/>
                <w:color w:val="auto"/>
              </w:rPr>
            </w:pPr>
            <w:r>
              <w:rPr>
                <w:rFonts w:ascii="Arial" w:cs="Arial" w:eastAsia="Arial" w:hAnsi="Arial"/>
                <w:sz w:val="18"/>
                <w:szCs w:val="18"/>
                <w:color w:val="auto"/>
              </w:rPr>
              <w:t>450,267</w:t>
            </w:r>
          </w:p>
        </w:tc>
        <w:tc>
          <w:tcPr>
            <w:tcW w:w="1380" w:type="dxa"/>
            <w:vAlign w:val="bottom"/>
            <w:tcBorders>
              <w:top w:val="single" w:sz="8" w:color="572C83"/>
              <w:bottom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Mesquita, Jorge S.</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6,500</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42,086</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48,586</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Nielsen, Jane Hamilton</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3,097</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3,097</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Reynolds, Fredric G.</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40,817</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51,921</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92,738</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Shi, Christiana S.</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25,346</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25,346</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45"/>
        </w:trPr>
        <w:tc>
          <w:tcPr>
            <w:tcW w:w="510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Siewert, Patrick T.</w:t>
            </w:r>
            <w:r>
              <w:rPr>
                <w:rFonts w:ascii="Arial" w:cs="Arial" w:eastAsia="Arial" w:hAnsi="Arial"/>
                <w:sz w:val="29"/>
                <w:szCs w:val="29"/>
                <w:color w:val="auto"/>
                <w:vertAlign w:val="superscript"/>
              </w:rPr>
              <w:t>(5)</w:t>
            </w:r>
          </w:p>
        </w:tc>
        <w:tc>
          <w:tcPr>
            <w:tcW w:w="1420" w:type="dxa"/>
            <w:vAlign w:val="bottom"/>
            <w:tcBorders>
              <w:bottom w:val="single" w:sz="8" w:color="572C83"/>
            </w:tcBorders>
            <w:shd w:val="clear" w:color="auto" w:fill="EBE6F0"/>
          </w:tcPr>
          <w:p>
            <w:pPr>
              <w:jc w:val="right"/>
              <w:ind w:right="92"/>
              <w:spacing w:after="0"/>
              <w:rPr>
                <w:sz w:val="20"/>
                <w:szCs w:val="20"/>
                <w:color w:val="auto"/>
              </w:rPr>
            </w:pPr>
            <w:r>
              <w:rPr>
                <w:rFonts w:ascii="Arial" w:cs="Arial" w:eastAsia="Arial" w:hAnsi="Arial"/>
                <w:sz w:val="18"/>
                <w:szCs w:val="18"/>
                <w:color w:val="auto"/>
              </w:rPr>
              <w:t>2,000</w:t>
            </w:r>
          </w:p>
        </w:tc>
        <w:tc>
          <w:tcPr>
            <w:tcW w:w="1480" w:type="dxa"/>
            <w:vAlign w:val="bottom"/>
            <w:tcBorders>
              <w:bottom w:val="single" w:sz="8" w:color="572C83"/>
            </w:tcBorders>
            <w:shd w:val="clear" w:color="auto" w:fill="EBE6F0"/>
          </w:tcPr>
          <w:p>
            <w:pPr>
              <w:jc w:val="right"/>
              <w:ind w:right="212"/>
              <w:spacing w:after="0"/>
              <w:rPr>
                <w:sz w:val="20"/>
                <w:szCs w:val="20"/>
                <w:color w:val="auto"/>
              </w:rPr>
            </w:pPr>
            <w:r>
              <w:rPr>
                <w:rFonts w:ascii="Arial" w:cs="Arial" w:eastAsia="Arial" w:hAnsi="Arial"/>
                <w:sz w:val="18"/>
                <w:szCs w:val="18"/>
                <w:color w:val="auto"/>
              </w:rPr>
              <w:t>41,841</w:t>
            </w:r>
          </w:p>
        </w:tc>
        <w:tc>
          <w:tcPr>
            <w:tcW w:w="11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8"/>
                <w:szCs w:val="18"/>
                <w:color w:val="auto"/>
              </w:rPr>
              <w:t>43,871</w:t>
            </w:r>
          </w:p>
        </w:tc>
        <w:tc>
          <w:tcPr>
            <w:tcW w:w="13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100" w:type="dxa"/>
            <w:vAlign w:val="bottom"/>
          </w:tcPr>
          <w:p>
            <w:pPr>
              <w:ind w:left="80"/>
              <w:spacing w:after="0"/>
              <w:rPr>
                <w:sz w:val="20"/>
                <w:szCs w:val="20"/>
                <w:color w:val="auto"/>
              </w:rPr>
            </w:pPr>
            <w:r>
              <w:rPr>
                <w:rFonts w:ascii="Arial" w:cs="Arial" w:eastAsia="Arial" w:hAnsi="Arial"/>
                <w:sz w:val="18"/>
                <w:szCs w:val="18"/>
                <w:color w:val="auto"/>
              </w:rPr>
              <w:t>Todman, Michael A.</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6,764</w:t>
            </w:r>
          </w:p>
        </w:tc>
        <w:tc>
          <w:tcPr>
            <w:tcW w:w="1140" w:type="dxa"/>
            <w:vAlign w:val="bottom"/>
          </w:tcPr>
          <w:p>
            <w:pPr>
              <w:jc w:val="right"/>
              <w:spacing w:after="0"/>
              <w:rPr>
                <w:sz w:val="20"/>
                <w:szCs w:val="20"/>
                <w:color w:val="auto"/>
              </w:rPr>
            </w:pPr>
            <w:r>
              <w:rPr>
                <w:rFonts w:ascii="Arial" w:cs="Arial" w:eastAsia="Arial" w:hAnsi="Arial"/>
                <w:sz w:val="18"/>
                <w:szCs w:val="18"/>
                <w:color w:val="auto"/>
              </w:rPr>
              <w:t>6,764</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8"/>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van Boxmeer, Jean-François M. L.</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2,267</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47,992</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50,259</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74"/>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Named Executive Officers:</w:t>
            </w:r>
          </w:p>
        </w:tc>
        <w:tc>
          <w:tcPr>
            <w:tcW w:w="1420" w:type="dxa"/>
            <w:vAlign w:val="bottom"/>
            <w:tcBorders>
              <w:top w:val="single" w:sz="8" w:color="572C83"/>
            </w:tcBorders>
          </w:tcPr>
          <w:p>
            <w:pPr>
              <w:spacing w:after="0"/>
              <w:rPr>
                <w:sz w:val="23"/>
                <w:szCs w:val="23"/>
                <w:color w:val="auto"/>
              </w:rPr>
            </w:pPr>
          </w:p>
        </w:tc>
        <w:tc>
          <w:tcPr>
            <w:tcW w:w="1480" w:type="dxa"/>
            <w:vAlign w:val="bottom"/>
            <w:tcBorders>
              <w:top w:val="single" w:sz="8" w:color="572C83"/>
            </w:tcBorders>
          </w:tcPr>
          <w:p>
            <w:pPr>
              <w:spacing w:after="0"/>
              <w:rPr>
                <w:sz w:val="23"/>
                <w:szCs w:val="23"/>
                <w:color w:val="auto"/>
              </w:rPr>
            </w:pPr>
          </w:p>
        </w:tc>
        <w:tc>
          <w:tcPr>
            <w:tcW w:w="1140" w:type="dxa"/>
            <w:vAlign w:val="bottom"/>
            <w:tcBorders>
              <w:top w:val="single" w:sz="8" w:color="572C83"/>
            </w:tcBorders>
          </w:tcPr>
          <w:p>
            <w:pPr>
              <w:spacing w:after="0"/>
              <w:rPr>
                <w:sz w:val="23"/>
                <w:szCs w:val="23"/>
                <w:color w:val="auto"/>
              </w:rPr>
            </w:pPr>
          </w:p>
        </w:tc>
        <w:tc>
          <w:tcPr>
            <w:tcW w:w="1380" w:type="dxa"/>
            <w:vAlign w:val="bottom"/>
            <w:tcBorders>
              <w:top w:val="single" w:sz="8" w:color="572C83"/>
            </w:tcBorders>
          </w:tcPr>
          <w:p>
            <w:pPr>
              <w:spacing w:after="0"/>
              <w:rPr>
                <w:sz w:val="23"/>
                <w:szCs w:val="23"/>
                <w:color w:val="auto"/>
              </w:rPr>
            </w:pPr>
          </w:p>
        </w:tc>
      </w:tr>
      <w:tr>
        <w:trPr>
          <w:trHeight w:val="30"/>
        </w:trPr>
        <w:tc>
          <w:tcPr>
            <w:tcW w:w="5100" w:type="dxa"/>
            <w:vAlign w:val="bottom"/>
            <w:tcBorders>
              <w:bottom w:val="single" w:sz="8" w:color="572C83"/>
            </w:tcBorders>
          </w:tcPr>
          <w:p>
            <w:pPr>
              <w:spacing w:after="0"/>
              <w:rPr>
                <w:sz w:val="2"/>
                <w:szCs w:val="2"/>
                <w:color w:val="auto"/>
              </w:rPr>
            </w:pPr>
          </w:p>
        </w:tc>
        <w:tc>
          <w:tcPr>
            <w:tcW w:w="1420" w:type="dxa"/>
            <w:vAlign w:val="bottom"/>
            <w:tcBorders>
              <w:bottom w:val="single" w:sz="8" w:color="572C83"/>
            </w:tcBorders>
          </w:tcPr>
          <w:p>
            <w:pPr>
              <w:spacing w:after="0"/>
              <w:rPr>
                <w:sz w:val="2"/>
                <w:szCs w:val="2"/>
                <w:color w:val="auto"/>
              </w:rPr>
            </w:pPr>
          </w:p>
        </w:tc>
        <w:tc>
          <w:tcPr>
            <w:tcW w:w="1480" w:type="dxa"/>
            <w:vAlign w:val="bottom"/>
            <w:tcBorders>
              <w:bottom w:val="single" w:sz="8" w:color="572C83"/>
            </w:tcBorders>
          </w:tcPr>
          <w:p>
            <w:pPr>
              <w:spacing w:after="0"/>
              <w:rPr>
                <w:sz w:val="2"/>
                <w:szCs w:val="2"/>
                <w:color w:val="auto"/>
              </w:rPr>
            </w:pPr>
          </w:p>
        </w:tc>
        <w:tc>
          <w:tcPr>
            <w:tcW w:w="1140" w:type="dxa"/>
            <w:vAlign w:val="bottom"/>
            <w:tcBorders>
              <w:bottom w:val="single" w:sz="8" w:color="572C83"/>
            </w:tcBorders>
          </w:tcPr>
          <w:p>
            <w:pPr>
              <w:spacing w:after="0"/>
              <w:rPr>
                <w:sz w:val="2"/>
                <w:szCs w:val="2"/>
                <w:color w:val="auto"/>
              </w:rPr>
            </w:pPr>
          </w:p>
        </w:tc>
        <w:tc>
          <w:tcPr>
            <w:tcW w:w="1380" w:type="dxa"/>
            <w:vAlign w:val="bottom"/>
            <w:tcBorders>
              <w:bottom w:val="single" w:sz="8" w:color="572C83"/>
            </w:tcBorders>
          </w:tcPr>
          <w:p>
            <w:pPr>
              <w:spacing w:after="0"/>
              <w:rPr>
                <w:sz w:val="2"/>
                <w:szCs w:val="2"/>
                <w:color w:val="auto"/>
              </w:rPr>
            </w:pPr>
          </w:p>
        </w:tc>
      </w:tr>
      <w:tr>
        <w:trPr>
          <w:trHeight w:val="344"/>
        </w:trPr>
        <w:tc>
          <w:tcPr>
            <w:tcW w:w="510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Brusadelli, Maurizio</w:t>
            </w:r>
            <w:r>
              <w:rPr>
                <w:rFonts w:ascii="Arial" w:cs="Arial" w:eastAsia="Arial" w:hAnsi="Arial"/>
                <w:sz w:val="29"/>
                <w:szCs w:val="29"/>
                <w:color w:val="auto"/>
                <w:vertAlign w:val="superscript"/>
              </w:rPr>
              <w:t>(6)</w:t>
            </w:r>
          </w:p>
        </w:tc>
        <w:tc>
          <w:tcPr>
            <w:tcW w:w="1420" w:type="dxa"/>
            <w:vAlign w:val="bottom"/>
            <w:tcBorders>
              <w:bottom w:val="single" w:sz="8" w:color="572C83"/>
            </w:tcBorders>
            <w:shd w:val="clear" w:color="auto" w:fill="EBE6F0"/>
          </w:tcPr>
          <w:p>
            <w:pPr>
              <w:jc w:val="right"/>
              <w:ind w:right="92"/>
              <w:spacing w:after="0"/>
              <w:rPr>
                <w:sz w:val="20"/>
                <w:szCs w:val="20"/>
                <w:color w:val="auto"/>
              </w:rPr>
            </w:pPr>
            <w:r>
              <w:rPr>
                <w:rFonts w:ascii="Arial" w:cs="Arial" w:eastAsia="Arial" w:hAnsi="Arial"/>
                <w:sz w:val="18"/>
                <w:szCs w:val="18"/>
                <w:color w:val="auto"/>
              </w:rPr>
              <w:t>465,891</w:t>
            </w:r>
          </w:p>
        </w:tc>
        <w:tc>
          <w:tcPr>
            <w:tcW w:w="1480" w:type="dxa"/>
            <w:vAlign w:val="bottom"/>
            <w:tcBorders>
              <w:bottom w:val="single" w:sz="8" w:color="572C83"/>
            </w:tcBorders>
            <w:shd w:val="clear" w:color="auto" w:fill="EBE6F0"/>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8"/>
                <w:szCs w:val="18"/>
                <w:color w:val="auto"/>
              </w:rPr>
              <w:t>465,891</w:t>
            </w:r>
          </w:p>
        </w:tc>
        <w:tc>
          <w:tcPr>
            <w:tcW w:w="138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5100" w:type="dxa"/>
            <w:vAlign w:val="bottom"/>
          </w:tcPr>
          <w:p>
            <w:pPr>
              <w:ind w:left="80"/>
              <w:spacing w:after="0"/>
              <w:rPr>
                <w:sz w:val="20"/>
                <w:szCs w:val="20"/>
                <w:color w:val="auto"/>
              </w:rPr>
            </w:pPr>
            <w:r>
              <w:rPr>
                <w:rFonts w:ascii="Arial" w:cs="Arial" w:eastAsia="Arial" w:hAnsi="Arial"/>
                <w:sz w:val="18"/>
                <w:szCs w:val="18"/>
                <w:color w:val="auto"/>
              </w:rPr>
              <w:t>Gruber, Vinzenz P.</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369,386</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369,386</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Stein, Laura</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42,896</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4,380</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46,402</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Van de Put, Dirk</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1,627,713</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1,627,713</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r>
        <w:trPr>
          <w:trHeight w:val="39"/>
        </w:trPr>
        <w:tc>
          <w:tcPr>
            <w:tcW w:w="5100" w:type="dxa"/>
            <w:vAlign w:val="bottom"/>
            <w:tcBorders>
              <w:bottom w:val="single" w:sz="8" w:color="572C83"/>
            </w:tcBorders>
          </w:tcPr>
          <w:p>
            <w:pPr>
              <w:spacing w:after="0"/>
              <w:rPr>
                <w:sz w:val="3"/>
                <w:szCs w:val="3"/>
                <w:color w:val="auto"/>
              </w:rPr>
            </w:pPr>
          </w:p>
        </w:tc>
        <w:tc>
          <w:tcPr>
            <w:tcW w:w="1420" w:type="dxa"/>
            <w:vAlign w:val="bottom"/>
            <w:tcBorders>
              <w:bottom w:val="single" w:sz="8" w:color="572C83"/>
            </w:tcBorders>
          </w:tcPr>
          <w:p>
            <w:pPr>
              <w:spacing w:after="0"/>
              <w:rPr>
                <w:sz w:val="3"/>
                <w:szCs w:val="3"/>
                <w:color w:val="auto"/>
              </w:rPr>
            </w:pPr>
          </w:p>
        </w:tc>
        <w:tc>
          <w:tcPr>
            <w:tcW w:w="1480" w:type="dxa"/>
            <w:vAlign w:val="bottom"/>
            <w:tcBorders>
              <w:bottom w:val="single" w:sz="8" w:color="572C83"/>
            </w:tcBorders>
          </w:tcPr>
          <w:p>
            <w:pPr>
              <w:spacing w:after="0"/>
              <w:rPr>
                <w:sz w:val="3"/>
                <w:szCs w:val="3"/>
                <w:color w:val="auto"/>
              </w:rPr>
            </w:pPr>
          </w:p>
        </w:tc>
        <w:tc>
          <w:tcPr>
            <w:tcW w:w="1140" w:type="dxa"/>
            <w:vAlign w:val="bottom"/>
            <w:tcBorders>
              <w:bottom w:val="single" w:sz="8" w:color="572C83"/>
            </w:tcBorders>
          </w:tcPr>
          <w:p>
            <w:pPr>
              <w:spacing w:after="0"/>
              <w:rPr>
                <w:sz w:val="3"/>
                <w:szCs w:val="3"/>
                <w:color w:val="auto"/>
              </w:rPr>
            </w:pPr>
          </w:p>
        </w:tc>
        <w:tc>
          <w:tcPr>
            <w:tcW w:w="1380" w:type="dxa"/>
            <w:vAlign w:val="bottom"/>
            <w:tcBorders>
              <w:bottom w:val="single" w:sz="8" w:color="572C83"/>
            </w:tcBorders>
          </w:tcPr>
          <w:p>
            <w:pPr>
              <w:spacing w:after="0"/>
              <w:rPr>
                <w:sz w:val="3"/>
                <w:szCs w:val="3"/>
                <w:color w:val="auto"/>
              </w:rPr>
            </w:pPr>
          </w:p>
        </w:tc>
      </w:tr>
      <w:tr>
        <w:trPr>
          <w:trHeight w:val="309"/>
        </w:trPr>
        <w:tc>
          <w:tcPr>
            <w:tcW w:w="510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Zaramella, Luca</w:t>
            </w:r>
          </w:p>
        </w:tc>
        <w:tc>
          <w:tcPr>
            <w:tcW w:w="1420" w:type="dxa"/>
            <w:vAlign w:val="bottom"/>
            <w:tcBorders>
              <w:bottom w:val="single" w:sz="8" w:color="EBE6F0"/>
            </w:tcBorders>
            <w:shd w:val="clear" w:color="auto" w:fill="EBE6F0"/>
          </w:tcPr>
          <w:p>
            <w:pPr>
              <w:jc w:val="right"/>
              <w:ind w:right="92"/>
              <w:spacing w:after="0"/>
              <w:rPr>
                <w:sz w:val="20"/>
                <w:szCs w:val="20"/>
                <w:color w:val="auto"/>
              </w:rPr>
            </w:pPr>
            <w:r>
              <w:rPr>
                <w:rFonts w:ascii="Arial" w:cs="Arial" w:eastAsia="Arial" w:hAnsi="Arial"/>
                <w:sz w:val="18"/>
                <w:szCs w:val="18"/>
                <w:color w:val="auto"/>
              </w:rPr>
              <w:t>433,781</w:t>
            </w:r>
          </w:p>
        </w:tc>
        <w:tc>
          <w:tcPr>
            <w:tcW w:w="1480" w:type="dxa"/>
            <w:vAlign w:val="bottom"/>
            <w:tcBorders>
              <w:bottom w:val="single" w:sz="8" w:color="EBE6F0"/>
            </w:tcBorders>
            <w:shd w:val="clear" w:color="auto" w:fill="EBE6F0"/>
          </w:tcPr>
          <w:p>
            <w:pPr>
              <w:jc w:val="right"/>
              <w:ind w:right="2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433,781</w:t>
            </w:r>
          </w:p>
        </w:tc>
        <w:tc>
          <w:tcPr>
            <w:tcW w:w="13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414"/>
        </w:trPr>
        <w:tc>
          <w:tcPr>
            <w:tcW w:w="510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All directors and executive officers as a group (21 persons)</w:t>
            </w:r>
            <w:r>
              <w:rPr>
                <w:rFonts w:ascii="Arial" w:cs="Arial" w:eastAsia="Arial" w:hAnsi="Arial"/>
                <w:sz w:val="29"/>
                <w:szCs w:val="29"/>
                <w:color w:val="auto"/>
                <w:vertAlign w:val="superscript"/>
              </w:rPr>
              <w:t>(7)</w:t>
            </w:r>
          </w:p>
        </w:tc>
        <w:tc>
          <w:tcPr>
            <w:tcW w:w="1420" w:type="dxa"/>
            <w:vAlign w:val="bottom"/>
            <w:tcBorders>
              <w:top w:val="single" w:sz="8" w:color="572C83"/>
            </w:tcBorders>
          </w:tcPr>
          <w:p>
            <w:pPr>
              <w:jc w:val="right"/>
              <w:ind w:right="92"/>
              <w:spacing w:after="0"/>
              <w:rPr>
                <w:sz w:val="20"/>
                <w:szCs w:val="20"/>
                <w:color w:val="auto"/>
              </w:rPr>
            </w:pPr>
            <w:r>
              <w:rPr>
                <w:rFonts w:ascii="Arial" w:cs="Arial" w:eastAsia="Arial" w:hAnsi="Arial"/>
                <w:sz w:val="18"/>
                <w:szCs w:val="18"/>
                <w:color w:val="auto"/>
              </w:rPr>
              <w:t>4,037,901</w:t>
            </w:r>
          </w:p>
        </w:tc>
        <w:tc>
          <w:tcPr>
            <w:tcW w:w="1480" w:type="dxa"/>
            <w:vAlign w:val="bottom"/>
            <w:tcBorders>
              <w:top w:val="single" w:sz="8" w:color="572C83"/>
            </w:tcBorders>
          </w:tcPr>
          <w:p>
            <w:pPr>
              <w:jc w:val="right"/>
              <w:ind w:right="212"/>
              <w:spacing w:after="0"/>
              <w:rPr>
                <w:sz w:val="20"/>
                <w:szCs w:val="20"/>
                <w:color w:val="auto"/>
              </w:rPr>
            </w:pPr>
            <w:r>
              <w:rPr>
                <w:rFonts w:ascii="Arial" w:cs="Arial" w:eastAsia="Arial" w:hAnsi="Arial"/>
                <w:sz w:val="18"/>
                <w:szCs w:val="18"/>
                <w:color w:val="auto"/>
              </w:rPr>
              <w:t>369,451</w:t>
            </w:r>
          </w:p>
        </w:tc>
        <w:tc>
          <w:tcPr>
            <w:tcW w:w="114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4,407,352</w:t>
            </w:r>
          </w:p>
        </w:tc>
        <w:tc>
          <w:tcPr>
            <w:tcW w:w="138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-43180</wp:posOffset>
            </wp:positionV>
            <wp:extent cx="668655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686550" cy="8890"/>
                    </a:xfrm>
                    <a:prstGeom prst="rect">
                      <a:avLst/>
                    </a:prstGeom>
                    <a:noFill/>
                  </pic:spPr>
                </pic:pic>
              </a:graphicData>
            </a:graphic>
          </wp:anchor>
        </w:drawing>
      </w:r>
    </w:p>
    <w:p>
      <w:pPr>
        <w:ind w:left="800" w:hanging="360"/>
        <w:spacing w:after="0"/>
        <w:tabs>
          <w:tab w:leader="none" w:pos="8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30" w:lineRule="exact"/>
        <w:rPr>
          <w:sz w:val="20"/>
          <w:szCs w:val="20"/>
          <w:color w:val="auto"/>
        </w:rPr>
      </w:pPr>
    </w:p>
    <w:p>
      <w:pPr>
        <w:ind w:left="800" w:right="620" w:hanging="360"/>
        <w:spacing w:after="0" w:line="264" w:lineRule="auto"/>
        <w:tabs>
          <w:tab w:leader="none" w:pos="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stock options that are exercisable or will become exercisable within 60 days after March 14, 2022 as follows: Mr. Brusadelli – 273,848; Mr. Gruber – 221,881; Ms. Stein – 29,126; Mr. Van de Put – 904,120; Mr. Zaramella – 272,437; and all other executive officers – 393,169.</w:t>
      </w:r>
    </w:p>
    <w:p>
      <w:pPr>
        <w:ind w:left="800" w:right="780" w:hanging="360"/>
        <w:spacing w:after="0" w:line="272" w:lineRule="auto"/>
        <w:tabs>
          <w:tab w:leader="none" w:pos="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deferred stock units granted under the 2006 Stock Compensation Plan for Non-Employee Directors and the Equity Plan. For a description of these deferred stock units, see “Compensation of Non-Employee Directors” on page 60.</w:t>
      </w:r>
    </w:p>
    <w:p>
      <w:pPr>
        <w:spacing w:after="0" w:line="1" w:lineRule="exact"/>
        <w:rPr>
          <w:rFonts w:ascii="Arial" w:cs="Arial" w:eastAsia="Arial" w:hAnsi="Arial"/>
          <w:sz w:val="16"/>
          <w:szCs w:val="16"/>
          <w:color w:val="auto"/>
        </w:rPr>
      </w:pPr>
    </w:p>
    <w:p>
      <w:pPr>
        <w:ind w:left="800" w:hanging="360"/>
        <w:spacing w:after="0"/>
        <w:tabs>
          <w:tab w:leader="none" w:pos="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1,383,111,404 issued and outstanding shares of our Common Stock as of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3" w:lineRule="exact"/>
        <w:rPr>
          <w:sz w:val="20"/>
          <w:szCs w:val="20"/>
          <w:color w:val="auto"/>
        </w:rPr>
      </w:pPr>
    </w:p>
    <w:p>
      <w:pPr>
        <w:ind w:left="440" w:right="180" w:hanging="351"/>
        <w:spacing w:after="0" w:line="250" w:lineRule="auto"/>
        <w:tabs>
          <w:tab w:leader="none" w:pos="4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grants of 16,239 deferred stock units to Mr. May under the Equity Plan and 434,028 shares, in the aggregate, owned by Trian Fund Management, L.P. (“Trian”) and certain funds and investment vehicles (collectively, the “Trian Entities”) managed by Trian, an institutional investment manager. Trian determines the investment and voting decisions of the Trian Entities with respect to the shares of the Company held by them as well as the shares it holds directly. None of the 434,028 shares are held directly by Mr. May. Substantially all of these shares are currently held in the ordinary course of business with other investment securities owned by the Trian Entities in co-mingled margin accounts with a prime broker, which prime broker may, from time to time, extend margin credit to certain Trian Entities, subject to applicable federal margin regulations, stock exchange rules and credit policies. Mr. May is a member of Trian Fund Management GP, LLC, which is the general partner of Trian, and therefore is in a position to determine the investment and voting decisions made by Trian on behalf of the Trian Entities. Accordingly, Mr. May may be deemed to indirectly beneficially own (as that term is defined in Rule 13d-3 under the Exchange Act) the shares owned by Trian and the Trian Entities collectively. Mr. May disclaims beneficial ownership of such shares for all other purposes.</w:t>
      </w:r>
    </w:p>
    <w:p>
      <w:pPr>
        <w:spacing w:after="0" w:line="13" w:lineRule="exact"/>
        <w:rPr>
          <w:rFonts w:ascii="Arial" w:cs="Arial" w:eastAsia="Arial" w:hAnsi="Arial"/>
          <w:sz w:val="16"/>
          <w:szCs w:val="16"/>
          <w:color w:val="auto"/>
        </w:rPr>
      </w:pPr>
    </w:p>
    <w:p>
      <w:pPr>
        <w:ind w:left="440" w:hanging="351"/>
        <w:spacing w:after="0"/>
        <w:tabs>
          <w:tab w:leader="none" w:pos="4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2,000 shares as to which Mr. Siewert disclaims beneficial ownership, as the shares are held by his father.</w:t>
      </w:r>
    </w:p>
    <w:p>
      <w:pPr>
        <w:spacing w:after="0" w:line="45" w:lineRule="exact"/>
        <w:rPr>
          <w:rFonts w:ascii="Arial" w:cs="Arial" w:eastAsia="Arial" w:hAnsi="Arial"/>
          <w:sz w:val="16"/>
          <w:szCs w:val="16"/>
          <w:color w:val="auto"/>
        </w:rPr>
      </w:pPr>
    </w:p>
    <w:p>
      <w:pPr>
        <w:ind w:left="440" w:hanging="351"/>
        <w:spacing w:after="0"/>
        <w:tabs>
          <w:tab w:leader="none" w:pos="4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Includes 22,388 shares as to which Mr. Brusadelli disclaims beneficial ownership, as the shares are held by his wife.</w:t>
      </w:r>
    </w:p>
    <w:p>
      <w:pPr>
        <w:spacing w:after="0" w:line="45" w:lineRule="exact"/>
        <w:rPr>
          <w:rFonts w:ascii="Arial" w:cs="Arial" w:eastAsia="Arial" w:hAnsi="Arial"/>
          <w:sz w:val="16"/>
          <w:szCs w:val="16"/>
          <w:color w:val="auto"/>
        </w:rPr>
      </w:pPr>
    </w:p>
    <w:p>
      <w:pPr>
        <w:ind w:left="440" w:right="380" w:hanging="351"/>
        <w:spacing w:after="0" w:line="286" w:lineRule="auto"/>
        <w:tabs>
          <w:tab w:leader="none" w:pos="4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This group includes, in addition to the individuals named in the table, Paulette R. Alviti, Robin S. Hargrove, Sandra J. MacQuillan, and Gustavo C. Valle.</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22"/>
          <w:szCs w:val="22"/>
          <w:color w:val="auto"/>
        </w:rPr>
        <w:t>The following table displays information about persons we know were the beneficial owners of more than 5% of the issued and outstanding Common Stock as of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560" w:type="dxa"/>
            <w:vAlign w:val="bottom"/>
          </w:tcPr>
          <w:p>
            <w:pPr>
              <w:jc w:val="right"/>
              <w:ind w:right="32"/>
              <w:spacing w:after="0"/>
              <w:rPr>
                <w:sz w:val="20"/>
                <w:szCs w:val="20"/>
                <w:color w:val="auto"/>
              </w:rPr>
            </w:pPr>
            <w:r>
              <w:rPr>
                <w:rFonts w:ascii="Arial" w:cs="Arial" w:eastAsia="Arial" w:hAnsi="Arial"/>
                <w:sz w:val="18"/>
                <w:szCs w:val="18"/>
                <w:b w:val="1"/>
                <w:bCs w:val="1"/>
                <w:color w:val="auto"/>
              </w:rPr>
              <w:t>Percent of Class Calculated Based on</w:t>
            </w:r>
          </w:p>
        </w:tc>
      </w:tr>
      <w:tr>
        <w:trPr>
          <w:trHeight w:val="203"/>
        </w:trPr>
        <w:tc>
          <w:tcPr>
            <w:tcW w:w="4460" w:type="dxa"/>
            <w:vAlign w:val="bottom"/>
          </w:tcPr>
          <w:p>
            <w:pPr>
              <w:spacing w:after="0"/>
              <w:rPr>
                <w:sz w:val="17"/>
                <w:szCs w:val="17"/>
                <w:color w:val="auto"/>
              </w:rPr>
            </w:pPr>
          </w:p>
        </w:tc>
        <w:tc>
          <w:tcPr>
            <w:tcW w:w="322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Amount and Nature of</w:t>
            </w:r>
          </w:p>
        </w:tc>
        <w:tc>
          <w:tcPr>
            <w:tcW w:w="3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of the Issued and Outstanding</w:t>
            </w:r>
          </w:p>
        </w:tc>
      </w:tr>
      <w:tr>
        <w:trPr>
          <w:trHeight w:val="265"/>
        </w:trPr>
        <w:tc>
          <w:tcPr>
            <w:tcW w:w="446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Name and Address of Beneficial Owner</w:t>
            </w:r>
          </w:p>
        </w:tc>
        <w:tc>
          <w:tcPr>
            <w:tcW w:w="3220" w:type="dxa"/>
            <w:vAlign w:val="bottom"/>
            <w:tcBorders>
              <w:bottom w:val="single" w:sz="8" w:color="582C83"/>
            </w:tcBorders>
          </w:tcPr>
          <w:p>
            <w:pPr>
              <w:jc w:val="right"/>
              <w:ind w:right="192"/>
              <w:spacing w:after="0"/>
              <w:rPr>
                <w:sz w:val="20"/>
                <w:szCs w:val="20"/>
                <w:color w:val="auto"/>
              </w:rPr>
            </w:pPr>
            <w:r>
              <w:rPr>
                <w:rFonts w:ascii="Arial" w:cs="Arial" w:eastAsia="Arial" w:hAnsi="Arial"/>
                <w:sz w:val="18"/>
                <w:szCs w:val="18"/>
                <w:b w:val="1"/>
                <w:bCs w:val="1"/>
                <w:color w:val="auto"/>
              </w:rPr>
              <w:t>Beneficial Ownership</w:t>
            </w:r>
          </w:p>
        </w:tc>
        <w:tc>
          <w:tcPr>
            <w:tcW w:w="356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Common Stock as of March 14, 2022</w:t>
            </w:r>
          </w:p>
        </w:tc>
      </w:tr>
      <w:tr>
        <w:trPr>
          <w:trHeight w:val="326"/>
        </w:trPr>
        <w:tc>
          <w:tcPr>
            <w:tcW w:w="4460" w:type="dxa"/>
            <w:vAlign w:val="bottom"/>
            <w:shd w:val="clear" w:color="auto" w:fill="EBE6F0"/>
          </w:tcPr>
          <w:p>
            <w:pPr>
              <w:ind w:left="80"/>
              <w:spacing w:after="0" w:line="32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(1)</w:t>
            </w:r>
          </w:p>
        </w:tc>
        <w:tc>
          <w:tcPr>
            <w:tcW w:w="3220" w:type="dxa"/>
            <w:vAlign w:val="bottom"/>
            <w:shd w:val="clear" w:color="auto" w:fill="EBE6F0"/>
          </w:tcPr>
          <w:p>
            <w:pPr>
              <w:jc w:val="right"/>
              <w:ind w:right="192"/>
              <w:spacing w:after="0"/>
              <w:rPr>
                <w:sz w:val="20"/>
                <w:szCs w:val="20"/>
                <w:color w:val="auto"/>
              </w:rPr>
            </w:pPr>
            <w:r>
              <w:rPr>
                <w:rFonts w:ascii="Arial" w:cs="Arial" w:eastAsia="Arial" w:hAnsi="Arial"/>
                <w:sz w:val="18"/>
                <w:szCs w:val="18"/>
                <w:color w:val="auto"/>
              </w:rPr>
              <w:t>87,518,897</w:t>
            </w:r>
          </w:p>
        </w:tc>
        <w:tc>
          <w:tcPr>
            <w:tcW w:w="3560" w:type="dxa"/>
            <w:vAlign w:val="bottom"/>
            <w:shd w:val="clear" w:color="auto" w:fill="EBE6F0"/>
          </w:tcPr>
          <w:p>
            <w:pPr>
              <w:jc w:val="right"/>
              <w:spacing w:after="0"/>
              <w:rPr>
                <w:sz w:val="20"/>
                <w:szCs w:val="20"/>
                <w:color w:val="auto"/>
              </w:rPr>
            </w:pPr>
            <w:r>
              <w:rPr>
                <w:rFonts w:ascii="Arial" w:cs="Arial" w:eastAsia="Arial" w:hAnsi="Arial"/>
                <w:sz w:val="18"/>
                <w:szCs w:val="18"/>
                <w:color w:val="auto"/>
              </w:rPr>
              <w:t>6.3</w:t>
            </w:r>
          </w:p>
        </w:tc>
      </w:tr>
      <w:tr>
        <w:trPr>
          <w:trHeight w:val="282"/>
        </w:trPr>
        <w:tc>
          <w:tcPr>
            <w:tcW w:w="4460" w:type="dxa"/>
            <w:vAlign w:val="bottom"/>
            <w:shd w:val="clear" w:color="auto" w:fill="EBE6F0"/>
          </w:tcPr>
          <w:p>
            <w:pPr>
              <w:ind w:left="80"/>
              <w:spacing w:after="0" w:line="281" w:lineRule="exact"/>
              <w:rPr>
                <w:sz w:val="20"/>
                <w:szCs w:val="20"/>
                <w:color w:val="auto"/>
              </w:rPr>
            </w:pPr>
            <w:r>
              <w:rPr>
                <w:rFonts w:ascii="Arial" w:cs="Arial" w:eastAsia="Arial" w:hAnsi="Arial"/>
                <w:sz w:val="18"/>
                <w:szCs w:val="18"/>
                <w:color w:val="auto"/>
              </w:rPr>
              <w:t>55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3220" w:type="dxa"/>
            <w:vAlign w:val="bottom"/>
            <w:shd w:val="clear" w:color="auto" w:fill="EBE6F0"/>
          </w:tcPr>
          <w:p>
            <w:pPr>
              <w:spacing w:after="0"/>
              <w:rPr>
                <w:sz w:val="24"/>
                <w:szCs w:val="24"/>
                <w:color w:val="auto"/>
              </w:rPr>
            </w:pPr>
          </w:p>
        </w:tc>
        <w:tc>
          <w:tcPr>
            <w:tcW w:w="3560" w:type="dxa"/>
            <w:vAlign w:val="bottom"/>
            <w:shd w:val="clear" w:color="auto" w:fill="EBE6F0"/>
          </w:tcPr>
          <w:p>
            <w:pPr>
              <w:spacing w:after="0"/>
              <w:rPr>
                <w:sz w:val="24"/>
                <w:szCs w:val="24"/>
                <w:color w:val="auto"/>
              </w:rPr>
            </w:pPr>
          </w:p>
        </w:tc>
      </w:tr>
      <w:tr>
        <w:trPr>
          <w:trHeight w:val="274"/>
        </w:trPr>
        <w:tc>
          <w:tcPr>
            <w:tcW w:w="44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New York City, NY 10055</w:t>
            </w:r>
          </w:p>
        </w:tc>
        <w:tc>
          <w:tcPr>
            <w:tcW w:w="3220" w:type="dxa"/>
            <w:vAlign w:val="bottom"/>
            <w:tcBorders>
              <w:bottom w:val="single" w:sz="8" w:color="EBE6F0"/>
            </w:tcBorders>
            <w:shd w:val="clear" w:color="auto" w:fill="EBE6F0"/>
          </w:tcPr>
          <w:p>
            <w:pPr>
              <w:spacing w:after="0"/>
              <w:rPr>
                <w:sz w:val="23"/>
                <w:szCs w:val="23"/>
                <w:color w:val="auto"/>
              </w:rPr>
            </w:pPr>
          </w:p>
        </w:tc>
        <w:tc>
          <w:tcPr>
            <w:tcW w:w="3560" w:type="dxa"/>
            <w:vAlign w:val="bottom"/>
            <w:tcBorders>
              <w:bottom w:val="single" w:sz="8" w:color="EBE6F0"/>
            </w:tcBorders>
            <w:shd w:val="clear" w:color="auto" w:fill="EBE6F0"/>
          </w:tcPr>
          <w:p>
            <w:pPr>
              <w:spacing w:after="0"/>
              <w:rPr>
                <w:sz w:val="23"/>
                <w:szCs w:val="23"/>
                <w:color w:val="auto"/>
              </w:rPr>
            </w:pPr>
          </w:p>
        </w:tc>
      </w:tr>
      <w:tr>
        <w:trPr>
          <w:trHeight w:val="318"/>
        </w:trPr>
        <w:tc>
          <w:tcPr>
            <w:tcW w:w="4460" w:type="dxa"/>
            <w:vAlign w:val="bottom"/>
            <w:tcBorders>
              <w:top w:val="single" w:sz="8" w:color="572C83"/>
            </w:tcBorders>
          </w:tcPr>
          <w:p>
            <w:pPr>
              <w:ind w:left="80"/>
              <w:spacing w:after="0" w:line="317"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(2)</w:t>
            </w:r>
          </w:p>
        </w:tc>
        <w:tc>
          <w:tcPr>
            <w:tcW w:w="3220" w:type="dxa"/>
            <w:vAlign w:val="bottom"/>
            <w:tcBorders>
              <w:top w:val="single" w:sz="8" w:color="572C83"/>
            </w:tcBorders>
          </w:tcPr>
          <w:p>
            <w:pPr>
              <w:jc w:val="right"/>
              <w:ind w:right="192"/>
              <w:spacing w:after="0"/>
              <w:rPr>
                <w:sz w:val="20"/>
                <w:szCs w:val="20"/>
                <w:color w:val="auto"/>
              </w:rPr>
            </w:pPr>
            <w:r>
              <w:rPr>
                <w:rFonts w:ascii="Arial" w:cs="Arial" w:eastAsia="Arial" w:hAnsi="Arial"/>
                <w:sz w:val="18"/>
                <w:szCs w:val="18"/>
                <w:color w:val="auto"/>
              </w:rPr>
              <w:t>113,509,194</w:t>
            </w:r>
          </w:p>
        </w:tc>
        <w:tc>
          <w:tcPr>
            <w:tcW w:w="356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8.2</w:t>
            </w:r>
          </w:p>
        </w:tc>
      </w:tr>
      <w:tr>
        <w:trPr>
          <w:trHeight w:val="231"/>
        </w:trPr>
        <w:tc>
          <w:tcPr>
            <w:tcW w:w="4460" w:type="dxa"/>
            <w:vAlign w:val="bottom"/>
          </w:tcPr>
          <w:p>
            <w:pPr>
              <w:ind w:left="80"/>
              <w:spacing w:after="0"/>
              <w:rPr>
                <w:sz w:val="20"/>
                <w:szCs w:val="20"/>
                <w:color w:val="auto"/>
              </w:rPr>
            </w:pPr>
            <w:r>
              <w:rPr>
                <w:rFonts w:ascii="Arial" w:cs="Arial" w:eastAsia="Arial" w:hAnsi="Arial"/>
                <w:sz w:val="18"/>
                <w:szCs w:val="18"/>
                <w:color w:val="auto"/>
              </w:rPr>
              <w:t>100 Vanguard Blvd.</w:t>
            </w:r>
          </w:p>
        </w:tc>
        <w:tc>
          <w:tcPr>
            <w:tcW w:w="322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43"/>
        </w:trPr>
        <w:tc>
          <w:tcPr>
            <w:tcW w:w="4460" w:type="dxa"/>
            <w:vAlign w:val="bottom"/>
          </w:tcPr>
          <w:p>
            <w:pPr>
              <w:ind w:left="80"/>
              <w:spacing w:after="0"/>
              <w:rPr>
                <w:sz w:val="20"/>
                <w:szCs w:val="20"/>
                <w:color w:val="auto"/>
              </w:rPr>
            </w:pPr>
            <w:r>
              <w:rPr>
                <w:rFonts w:ascii="Arial" w:cs="Arial" w:eastAsia="Arial" w:hAnsi="Arial"/>
                <w:sz w:val="18"/>
                <w:szCs w:val="18"/>
                <w:color w:val="auto"/>
              </w:rPr>
              <w:t>Malvern, PA 19355</w:t>
            </w:r>
          </w:p>
        </w:tc>
        <w:tc>
          <w:tcPr>
            <w:tcW w:w="3220" w:type="dxa"/>
            <w:vAlign w:val="bottom"/>
          </w:tcPr>
          <w:p>
            <w:pPr>
              <w:spacing w:after="0"/>
              <w:rPr>
                <w:sz w:val="21"/>
                <w:szCs w:val="21"/>
                <w:color w:val="auto"/>
              </w:rPr>
            </w:pPr>
          </w:p>
        </w:tc>
        <w:tc>
          <w:tcPr>
            <w:tcW w:w="3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2" w:lineRule="exact"/>
        <w:rPr>
          <w:sz w:val="20"/>
          <w:szCs w:val="20"/>
          <w:color w:val="auto"/>
        </w:rPr>
      </w:pPr>
    </w:p>
    <w:p>
      <w:pPr>
        <w:ind w:left="440" w:right="220" w:hanging="351"/>
        <w:spacing w:after="0" w:line="264" w:lineRule="auto"/>
        <w:tabs>
          <w:tab w:leader="none" w:pos="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the Schedule 13G/A filed by BlackRock, Inc. on February 3, 2022 with the SEC. The Schedule 13G/A discloses that BlackRock, Inc., in its capacity as the parent holding company of certain subsidiaries, had sole voting power over 74,911,940 shares and sole dispositive power over 87,518,897 shares and shared voting and dispositive power over 0 shares.</w:t>
      </w:r>
    </w:p>
    <w:p>
      <w:pPr>
        <w:ind w:left="440" w:right="260" w:hanging="351"/>
        <w:spacing w:after="0" w:line="266" w:lineRule="auto"/>
        <w:tabs>
          <w:tab w:leader="none" w:pos="4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the Schedule 13G/A filed by The Vanguard Group on February 10, 2022 with the SEC. The Schedule 13G/A discloses that The Vanguard Group, as investment advisor, had sole voting power over 0 shares, shared voting power over 2,209,193 shares, sole dispositive power over 107,771,690 shares and shared dispositive power over 5,737,504 shares.</w:t>
      </w:r>
    </w:p>
    <w:p>
      <w:pPr>
        <w:spacing w:after="0" w:line="196"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Delinquent Section 16(a) Reports</w:t>
      </w:r>
    </w:p>
    <w:p>
      <w:pPr>
        <w:spacing w:after="0" w:line="241"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Section 16(a) of the Exchange Act requires executive officers, directors and persons who beneficially own more than 10% of our Common Stock to report to the SEC their ownership of Common Stock and changes in that ownership. We reviewed copies of reports filed pursuant to Section 16(a) of the Exchange Act and written representations from reporting persons. Based solely on that review, we believe that for the fiscal year ended December 31, 2021, all required reports under Section 16(a) were filed on a timely basis, except for two Form 4 reports that were filed late by Fredric Reynolds, one with respect to a withdrawal from a grantor retained annuity trust on December 9, 2021, and one for an open market sale of the Company’s common stock on December 14, 2021. A Form 4 covering these transactions was filed on December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5"/>
          <w:szCs w:val="45"/>
          <w:b w:val="1"/>
          <w:bCs w:val="1"/>
          <w:color w:val="58358F"/>
        </w:rPr>
        <w:t>ITEM 2. ADVISORY VOTE TO APPROVE</w:t>
      </w:r>
    </w:p>
    <w:p>
      <w:pPr>
        <w:spacing w:after="0" w:line="42" w:lineRule="exact"/>
        <w:rPr>
          <w:sz w:val="20"/>
          <w:szCs w:val="20"/>
          <w:color w:val="auto"/>
        </w:rPr>
      </w:pPr>
    </w:p>
    <w:p>
      <w:pPr>
        <w:ind w:left="2240"/>
        <w:spacing w:after="0"/>
        <w:rPr>
          <w:sz w:val="20"/>
          <w:szCs w:val="20"/>
          <w:color w:val="auto"/>
        </w:rPr>
      </w:pPr>
      <w:r>
        <w:rPr>
          <w:rFonts w:ascii="Arial" w:cs="Arial" w:eastAsia="Arial" w:hAnsi="Arial"/>
          <w:sz w:val="45"/>
          <w:szCs w:val="45"/>
          <w:b w:val="1"/>
          <w:bCs w:val="1"/>
          <w:color w:val="58358F"/>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right="400"/>
        <w:spacing w:after="0" w:line="236" w:lineRule="auto"/>
        <w:rPr>
          <w:sz w:val="20"/>
          <w:szCs w:val="20"/>
          <w:color w:val="auto"/>
        </w:rPr>
      </w:pPr>
      <w:r>
        <w:rPr>
          <w:rFonts w:ascii="Arial" w:cs="Arial" w:eastAsia="Arial" w:hAnsi="Arial"/>
          <w:sz w:val="22"/>
          <w:szCs w:val="22"/>
          <w:color w:val="auto"/>
        </w:rPr>
        <w:t>Our executives – including our NEOs – are critical to our success, and we design our executive compensation programs to attract, retain and motivate superior executive talent. At the same time, we expect our executives to deliver strong results, and we structure our executive compensation practices to focus on shareholders’ interests by incenting superior sustainable long-term performance. In so doing, we align pay and performance by making a significant portion of our NEOs’ compensation contingent on reaching specific annual and long-term performance measures and increasing shareholder value.</w:t>
      </w:r>
    </w:p>
    <w:p>
      <w:pPr>
        <w:spacing w:after="0" w:line="155" w:lineRule="exact"/>
        <w:rPr>
          <w:sz w:val="20"/>
          <w:szCs w:val="20"/>
          <w:color w:val="auto"/>
        </w:rPr>
      </w:pPr>
    </w:p>
    <w:p>
      <w:pPr>
        <w:ind w:left="360" w:right="380"/>
        <w:spacing w:after="0" w:line="251" w:lineRule="auto"/>
        <w:rPr>
          <w:sz w:val="20"/>
          <w:szCs w:val="20"/>
          <w:color w:val="auto"/>
        </w:rPr>
      </w:pPr>
      <w:r>
        <w:rPr>
          <w:rFonts w:ascii="Arial" w:cs="Arial" w:eastAsia="Arial" w:hAnsi="Arial"/>
          <w:sz w:val="21"/>
          <w:szCs w:val="21"/>
          <w:color w:val="auto"/>
        </w:rPr>
        <w:t>We have strong compensation-related design and governance practices to protect our shareholders’ interests. Our independent People and Compensation Committee regularly assesses our executive compensation program to hold executives accountable for delivering performance targets and driving shareholder value. Shareholders can find more information about these practices under “People and Compensation Committee” on page 51 and in the “Compensation Discussion and Analysis” beginning on page 64.</w:t>
      </w:r>
    </w:p>
    <w:p>
      <w:pPr>
        <w:spacing w:after="0" w:line="141" w:lineRule="exact"/>
        <w:rPr>
          <w:sz w:val="20"/>
          <w:szCs w:val="20"/>
          <w:color w:val="auto"/>
        </w:rPr>
      </w:pPr>
    </w:p>
    <w:p>
      <w:pPr>
        <w:ind w:left="360" w:right="380"/>
        <w:spacing w:after="0"/>
        <w:rPr>
          <w:sz w:val="20"/>
          <w:szCs w:val="20"/>
          <w:color w:val="auto"/>
        </w:rPr>
      </w:pPr>
      <w:r>
        <w:rPr>
          <w:rFonts w:ascii="Arial" w:cs="Arial" w:eastAsia="Arial" w:hAnsi="Arial"/>
          <w:sz w:val="22"/>
          <w:szCs w:val="22"/>
          <w:color w:val="auto"/>
        </w:rPr>
        <w:t>In addition, we value shareholder perspectives and feedback about our compensation program. We encourage you to read the “Compensation Discussion and Analysis” beginning on page 64 and the “Executive Compensation Tables” beginning on page 89 to learn more about our executive compensation program and details regarding how our 2021 pay aligned with 2021 performance.</w:t>
      </w:r>
    </w:p>
    <w:p>
      <w:pPr>
        <w:spacing w:after="0" w:line="149" w:lineRule="exact"/>
        <w:rPr>
          <w:sz w:val="20"/>
          <w:szCs w:val="20"/>
          <w:color w:val="auto"/>
        </w:rPr>
      </w:pPr>
    </w:p>
    <w:p>
      <w:pPr>
        <w:ind w:left="360" w:right="460"/>
        <w:spacing w:after="0" w:line="238" w:lineRule="auto"/>
        <w:rPr>
          <w:sz w:val="20"/>
          <w:szCs w:val="20"/>
          <w:color w:val="auto"/>
        </w:rPr>
      </w:pPr>
      <w:r>
        <w:rPr>
          <w:rFonts w:ascii="Arial" w:cs="Arial" w:eastAsia="Arial" w:hAnsi="Arial"/>
          <w:sz w:val="22"/>
          <w:szCs w:val="22"/>
          <w:color w:val="auto"/>
        </w:rPr>
        <w:t>The People and Compensation Committee and the Board believe that our executive compensation program serves our shareholders’ interests by linking pay with performance, and we will continue to refine our compensation program to align compensation with the Company’s business and talent strategies as well as the long-term interests of shareholders. Accordingly, and as required by SEC rules, we ask you to vote “FOR” the following resolution at the Annual Meeting:</w:t>
      </w:r>
    </w:p>
    <w:p>
      <w:pPr>
        <w:spacing w:after="0" w:line="150" w:lineRule="exact"/>
        <w:rPr>
          <w:sz w:val="20"/>
          <w:szCs w:val="20"/>
          <w:color w:val="auto"/>
        </w:rPr>
      </w:pPr>
    </w:p>
    <w:p>
      <w:pPr>
        <w:ind w:left="520" w:right="540"/>
        <w:spacing w:after="0"/>
        <w:rPr>
          <w:sz w:val="20"/>
          <w:szCs w:val="20"/>
          <w:color w:val="auto"/>
        </w:rPr>
      </w:pPr>
      <w:r>
        <w:rPr>
          <w:rFonts w:ascii="Arial" w:cs="Arial" w:eastAsia="Arial" w:hAnsi="Arial"/>
          <w:sz w:val="22"/>
          <w:szCs w:val="22"/>
          <w:color w:val="auto"/>
        </w:rPr>
        <w:t>“RESOLVED, that Mondelēz International’s shareholders approve, on an advisory basis, the compensation paid to Mondelēz International’s NEOs, as disclosed in this Proxy Statement pursuant to the SEC’s compensation disclosure rules, including the Compensation Discussion and Analysis, the Executive Compensation Tables and related narrative discussion.”</w:t>
      </w:r>
    </w:p>
    <w:p>
      <w:pPr>
        <w:spacing w:after="0" w:line="149" w:lineRule="exact"/>
        <w:rPr>
          <w:sz w:val="20"/>
          <w:szCs w:val="20"/>
          <w:color w:val="auto"/>
        </w:rPr>
      </w:pPr>
    </w:p>
    <w:p>
      <w:pPr>
        <w:ind w:left="360" w:right="440"/>
        <w:spacing w:after="0" w:line="236" w:lineRule="auto"/>
        <w:rPr>
          <w:sz w:val="20"/>
          <w:szCs w:val="20"/>
          <w:color w:val="auto"/>
        </w:rPr>
      </w:pPr>
      <w:r>
        <w:rPr>
          <w:rFonts w:ascii="Arial" w:cs="Arial" w:eastAsia="Arial" w:hAnsi="Arial"/>
          <w:sz w:val="22"/>
          <w:szCs w:val="22"/>
          <w:color w:val="auto"/>
        </w:rPr>
        <w:t>While the annual say-on-pay vote is advisory and therefore not binding on Mondelēz International, the People and Compensation Committee or the Board, we value the opinions of our shareholders. We carefully and thoughtfully consider our shareholders’ concerns and opinions in evaluating our executive compensation program. We believe the compensation paid to our NEOs for 2021 appropriately reflects and rewards their contribution to our performance. The next annual say-on-pay vote will be at our 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123190</wp:posOffset>
            </wp:positionV>
            <wp:extent cx="6858000" cy="5746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00" cy="574675"/>
                    </a:xfrm>
                    <a:prstGeom prst="rect">
                      <a:avLst/>
                    </a:prstGeom>
                    <a:noFill/>
                  </pic:spPr>
                </pic:pic>
              </a:graphicData>
            </a:graphic>
          </wp:anchor>
        </w:drawing>
      </w:r>
    </w:p>
    <w:p>
      <w:pPr>
        <w:spacing w:after="0" w:line="376" w:lineRule="exact"/>
        <w:rPr>
          <w:sz w:val="20"/>
          <w:szCs w:val="20"/>
          <w:color w:val="auto"/>
        </w:rPr>
      </w:pPr>
    </w:p>
    <w:p>
      <w:pPr>
        <w:ind w:left="1280" w:right="1740"/>
        <w:spacing w:after="0" w:line="272" w:lineRule="auto"/>
        <w:rPr>
          <w:sz w:val="20"/>
          <w:szCs w:val="20"/>
          <w:color w:val="auto"/>
        </w:rPr>
      </w:pPr>
      <w:r>
        <w:rPr>
          <w:rFonts w:ascii="Arial" w:cs="Arial" w:eastAsia="Arial" w:hAnsi="Arial"/>
          <w:sz w:val="22"/>
          <w:szCs w:val="22"/>
          <w:b w:val="1"/>
          <w:bCs w:val="1"/>
          <w:color w:val="FFFFFF"/>
        </w:rPr>
        <w:t>THE BOARD RECOMMENDS A VOTE FOR THE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40" w:right="760" w:hanging="1709"/>
        <w:spacing w:after="0" w:line="253" w:lineRule="auto"/>
        <w:rPr>
          <w:sz w:val="20"/>
          <w:szCs w:val="20"/>
          <w:color w:val="auto"/>
        </w:rPr>
      </w:pPr>
      <w:r>
        <w:rPr>
          <w:rFonts w:ascii="Arial" w:cs="Arial" w:eastAsia="Arial" w:hAnsi="Arial"/>
          <w:sz w:val="45"/>
          <w:szCs w:val="45"/>
          <w:b w:val="1"/>
          <w:bCs w:val="1"/>
          <w:color w:val="58358F"/>
        </w:rPr>
        <w:t>ITEM 3. RATIFICATION OF THE SELECTION OF INDEPENDENT REGISTERED PUBLIC ACCOUNTANTS FOR FISCAL YEAR 2022</w:t>
      </w:r>
    </w:p>
    <w:p>
      <w:pPr>
        <w:spacing w:after="0" w:line="347" w:lineRule="exact"/>
        <w:rPr>
          <w:sz w:val="20"/>
          <w:szCs w:val="20"/>
          <w:color w:val="auto"/>
        </w:rPr>
      </w:pPr>
    </w:p>
    <w:p>
      <w:pPr>
        <w:jc w:val="both"/>
        <w:ind w:left="360" w:right="380"/>
        <w:spacing w:after="0" w:line="245" w:lineRule="auto"/>
        <w:rPr>
          <w:sz w:val="20"/>
          <w:szCs w:val="20"/>
          <w:color w:val="auto"/>
        </w:rPr>
      </w:pPr>
      <w:r>
        <w:rPr>
          <w:rFonts w:ascii="Arial" w:cs="Arial" w:eastAsia="Arial" w:hAnsi="Arial"/>
          <w:sz w:val="22"/>
          <w:szCs w:val="22"/>
          <w:color w:val="auto"/>
        </w:rPr>
        <w:t>The Audit Committee is directly responsible for the selection, appointment, compensation, retention, oversight and termination of the independent registered public accountants. PricewaterhouseCoopers LLP has been the Company’s independent registered public accountants since 2001.</w:t>
      </w:r>
    </w:p>
    <w:p>
      <w:pPr>
        <w:spacing w:after="0" w:line="154"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Review of Independent Registered Public Accountants</w:t>
      </w:r>
    </w:p>
    <w:p>
      <w:pPr>
        <w:spacing w:after="0" w:line="241" w:lineRule="exact"/>
        <w:rPr>
          <w:sz w:val="20"/>
          <w:szCs w:val="20"/>
          <w:color w:val="auto"/>
        </w:rPr>
      </w:pPr>
    </w:p>
    <w:p>
      <w:pPr>
        <w:ind w:left="360" w:right="420"/>
        <w:spacing w:after="0"/>
        <w:rPr>
          <w:sz w:val="20"/>
          <w:szCs w:val="20"/>
          <w:color w:val="auto"/>
        </w:rPr>
      </w:pPr>
      <w:r>
        <w:rPr>
          <w:rFonts w:ascii="Arial" w:cs="Arial" w:eastAsia="Arial" w:hAnsi="Arial"/>
          <w:sz w:val="22"/>
          <w:szCs w:val="22"/>
          <w:color w:val="auto"/>
        </w:rPr>
        <w:t>The Audit Committee annually reviews the performance of the independent registered public accountants and considers whether to reappoint the firm for the following year or appoint a different firm. In determining which firm to appoint as the Company’s independent registered public accountants for 2022, the Audit Committee considered numerous factors, including:</w:t>
      </w:r>
    </w:p>
    <w:p>
      <w:pPr>
        <w:spacing w:after="0" w:line="68" w:lineRule="exact"/>
        <w:rPr>
          <w:sz w:val="20"/>
          <w:szCs w:val="20"/>
          <w:color w:val="auto"/>
        </w:rPr>
      </w:pPr>
    </w:p>
    <w:p>
      <w:pPr>
        <w:ind w:left="580" w:hanging="221"/>
        <w:spacing w:after="0"/>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firm capabilities, approach and fees;</w:t>
      </w:r>
    </w:p>
    <w:p>
      <w:pPr>
        <w:spacing w:after="0" w:line="98" w:lineRule="exact"/>
        <w:rPr>
          <w:rFonts w:ascii="Arial" w:cs="Arial" w:eastAsia="Arial" w:hAnsi="Arial"/>
          <w:sz w:val="22"/>
          <w:szCs w:val="22"/>
          <w:color w:val="582C83"/>
        </w:rPr>
      </w:pPr>
    </w:p>
    <w:p>
      <w:pPr>
        <w:ind w:left="580" w:hanging="221"/>
        <w:spacing w:after="0"/>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firm tenure as our independent registered public accountants;</w:t>
      </w:r>
    </w:p>
    <w:p>
      <w:pPr>
        <w:spacing w:after="0" w:line="98" w:lineRule="exact"/>
        <w:rPr>
          <w:rFonts w:ascii="Arial" w:cs="Arial" w:eastAsia="Arial" w:hAnsi="Arial"/>
          <w:sz w:val="22"/>
          <w:szCs w:val="22"/>
          <w:color w:val="582C83"/>
        </w:rPr>
      </w:pPr>
    </w:p>
    <w:p>
      <w:pPr>
        <w:ind w:left="580" w:right="500" w:hanging="221"/>
        <w:spacing w:after="0" w:line="259" w:lineRule="auto"/>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the quality of the work that PricewaterhouseCoopers LLP has performed for Mondelēz International and its communications with the Audit Committee and management;</w:t>
      </w:r>
    </w:p>
    <w:p>
      <w:pPr>
        <w:spacing w:after="0" w:line="48" w:lineRule="exact"/>
        <w:rPr>
          <w:rFonts w:ascii="Arial" w:cs="Arial" w:eastAsia="Arial" w:hAnsi="Arial"/>
          <w:sz w:val="22"/>
          <w:szCs w:val="22"/>
          <w:color w:val="582C83"/>
        </w:rPr>
      </w:pPr>
    </w:p>
    <w:p>
      <w:pPr>
        <w:ind w:left="580" w:right="580" w:hanging="221"/>
        <w:spacing w:after="0" w:line="259" w:lineRule="auto"/>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PricewaterhouseCoopers LLP’s qualifications and experience auditing companies of comparable size and complexity;</w:t>
      </w:r>
    </w:p>
    <w:p>
      <w:pPr>
        <w:spacing w:after="0" w:line="48" w:lineRule="exact"/>
        <w:rPr>
          <w:rFonts w:ascii="Arial" w:cs="Arial" w:eastAsia="Arial" w:hAnsi="Arial"/>
          <w:sz w:val="22"/>
          <w:szCs w:val="22"/>
          <w:color w:val="582C83"/>
        </w:rPr>
      </w:pPr>
    </w:p>
    <w:p>
      <w:pPr>
        <w:ind w:left="580" w:right="460" w:hanging="221"/>
        <w:spacing w:after="0" w:line="259" w:lineRule="auto"/>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PricewaterhouseCoopers LLP’s familiarity with our global business and operations, accounting policies and practices, and internal control over financial reporting;</w:t>
      </w:r>
    </w:p>
    <w:p>
      <w:pPr>
        <w:spacing w:after="0" w:line="48" w:lineRule="exact"/>
        <w:rPr>
          <w:rFonts w:ascii="Arial" w:cs="Arial" w:eastAsia="Arial" w:hAnsi="Arial"/>
          <w:sz w:val="22"/>
          <w:szCs w:val="22"/>
          <w:color w:val="582C83"/>
        </w:rPr>
      </w:pPr>
    </w:p>
    <w:p>
      <w:pPr>
        <w:ind w:left="580" w:right="880" w:hanging="221"/>
        <w:spacing w:after="0" w:line="245" w:lineRule="auto"/>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the potential impacts to Mondelēz International from selecting a different independent registered public accountant, including the significant time commitment and potential distraction of resources related to changing independent registered public accountants;</w:t>
      </w:r>
    </w:p>
    <w:p>
      <w:pPr>
        <w:spacing w:after="0" w:line="62" w:lineRule="exact"/>
        <w:rPr>
          <w:rFonts w:ascii="Arial" w:cs="Arial" w:eastAsia="Arial" w:hAnsi="Arial"/>
          <w:sz w:val="22"/>
          <w:szCs w:val="22"/>
          <w:color w:val="582C83"/>
        </w:rPr>
      </w:pPr>
    </w:p>
    <w:p>
      <w:pPr>
        <w:ind w:left="580" w:hanging="221"/>
        <w:spacing w:after="0"/>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external data on audit quality and performance; and</w:t>
      </w:r>
    </w:p>
    <w:p>
      <w:pPr>
        <w:spacing w:after="0" w:line="98" w:lineRule="exact"/>
        <w:rPr>
          <w:rFonts w:ascii="Arial" w:cs="Arial" w:eastAsia="Arial" w:hAnsi="Arial"/>
          <w:sz w:val="22"/>
          <w:szCs w:val="22"/>
          <w:color w:val="582C83"/>
        </w:rPr>
      </w:pPr>
    </w:p>
    <w:p>
      <w:pPr>
        <w:ind w:left="580" w:hanging="221"/>
        <w:spacing w:after="0"/>
        <w:tabs>
          <w:tab w:leader="none" w:pos="580" w:val="left"/>
        </w:tabs>
        <w:numPr>
          <w:ilvl w:val="0"/>
          <w:numId w:val="93"/>
        </w:numPr>
        <w:rPr>
          <w:rFonts w:ascii="Arial" w:cs="Arial" w:eastAsia="Arial" w:hAnsi="Arial"/>
          <w:sz w:val="22"/>
          <w:szCs w:val="22"/>
          <w:color w:val="582C83"/>
        </w:rPr>
      </w:pPr>
      <w:r>
        <w:rPr>
          <w:rFonts w:ascii="Arial" w:cs="Arial" w:eastAsia="Arial" w:hAnsi="Arial"/>
          <w:sz w:val="22"/>
          <w:szCs w:val="22"/>
          <w:color w:val="auto"/>
        </w:rPr>
        <w:t>firm independence.</w:t>
      </w:r>
    </w:p>
    <w:p>
      <w:pPr>
        <w:spacing w:after="0" w:line="179" w:lineRule="exact"/>
        <w:rPr>
          <w:sz w:val="20"/>
          <w:szCs w:val="20"/>
          <w:color w:val="auto"/>
        </w:rPr>
      </w:pPr>
    </w:p>
    <w:p>
      <w:pPr>
        <w:ind w:left="360" w:right="420"/>
        <w:spacing w:after="0" w:line="248" w:lineRule="auto"/>
        <w:rPr>
          <w:sz w:val="20"/>
          <w:szCs w:val="20"/>
          <w:color w:val="auto"/>
        </w:rPr>
      </w:pPr>
      <w:r>
        <w:rPr>
          <w:rFonts w:ascii="Arial" w:cs="Arial" w:eastAsia="Arial" w:hAnsi="Arial"/>
          <w:sz w:val="21"/>
          <w:szCs w:val="21"/>
          <w:color w:val="auto"/>
        </w:rPr>
        <w:t>In assessing the independence of the Company’s independent registered public accountants, the Audit Committee considered factors including the nature and amount of non-audit fees and services that the firm provides to Mondelēz International. We believe that the Audit Committee’s periodic consideration of whether there should be a change in our independent registered public accounting firm helps assure auditor independence. In conjunction with the required rotation of the auditing firm’s lead engagement partner at least every five years, the Audit Committee and its Chairman are involved in the selection of the independent registered public accountants’ lead engagement partner through a process that includes candidate interviews.</w:t>
      </w:r>
    </w:p>
    <w:p>
      <w:pPr>
        <w:spacing w:after="0" w:line="143" w:lineRule="exact"/>
        <w:rPr>
          <w:sz w:val="20"/>
          <w:szCs w:val="20"/>
          <w:color w:val="auto"/>
        </w:rPr>
      </w:pPr>
    </w:p>
    <w:p>
      <w:pPr>
        <w:ind w:left="360" w:right="380"/>
        <w:spacing w:after="0" w:line="236" w:lineRule="auto"/>
        <w:rPr>
          <w:sz w:val="20"/>
          <w:szCs w:val="20"/>
          <w:color w:val="auto"/>
        </w:rPr>
      </w:pPr>
      <w:r>
        <w:rPr>
          <w:rFonts w:ascii="Arial" w:cs="Arial" w:eastAsia="Arial" w:hAnsi="Arial"/>
          <w:sz w:val="22"/>
          <w:szCs w:val="22"/>
          <w:color w:val="auto"/>
        </w:rPr>
        <w:t>The Audit Committee discusses with the independent registered public accountants the scope of and plans for the audit and is also responsible for the audit fees associated with the retention of the independent registered public accountants. As part of determining what firm to appoint, the Audit Committee discussed audit fees and the audit process with PricewaterhouseCoopers LLP, including how to continue to increase efficiencies in the audit, leverage the benefits of PricewaterhouseCoopers LLP’s familiarity with Mondelēz International, and utilize PricewaterhouseCoopers LLP’s technological transformation and innovations.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Selection of Independent Registered Public Accountants</w:t>
      </w:r>
    </w:p>
    <w:p>
      <w:pPr>
        <w:spacing w:after="0" w:line="241"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Following its review and consideration of the potential benefits and costs of choosing a different auditor, the Audit Committee selected PricewaterhouseCoopers LLP as the Company’s independent registered public accountants for 2022. The Audit Committee and the Board believe that the continued retention of PricewaterhouseCoopers LLP as the independent external auditor is in our and our shareholders’ best interests and are requesting, as a matter of good corporate governance, that shareholders ratify this selection.</w:t>
      </w:r>
    </w:p>
    <w:p>
      <w:pPr>
        <w:spacing w:after="0" w:line="150"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The Audit Committee and the Board are not required to take any action as a result of the outcome of the vote on this proposal. However, if our shareholders do not ratify the selection, the Audit Committee may investigate the reasons for our shareholders’ rejection and may consider whether to retain PricewaterhouseCoopers LLP or appoint another independent registered public accountant. Even if the selection is ratified, the Audit Committee may appoint a different independent registered public accountant if, in its discretion, it determines that such a change would be in Mondelēz International’s and our shareholders’ best interests.</w:t>
      </w:r>
    </w:p>
    <w:p>
      <w:pPr>
        <w:spacing w:after="0" w:line="155"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We expect that a representative of PricewaterhouseCoopers LLP will be present at the Annual Meeting and will have an opportunity to make a statement if desired and to respond to appropriate questions from shareholders. Additional information about the independent registered public accountants, including the pre-approval policies and PricewaterhouseCoopers LLP’s aggregate fees for services rendered for 2021 and 2020, can be found in the section on the Audit Committee beginning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120650</wp:posOffset>
            </wp:positionV>
            <wp:extent cx="6858000" cy="5746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00" cy="574675"/>
                    </a:xfrm>
                    <a:prstGeom prst="rect">
                      <a:avLst/>
                    </a:prstGeom>
                    <a:noFill/>
                  </pic:spPr>
                </pic:pic>
              </a:graphicData>
            </a:graphic>
          </wp:anchor>
        </w:drawing>
      </w:r>
    </w:p>
    <w:p>
      <w:pPr>
        <w:spacing w:after="0" w:line="236" w:lineRule="exact"/>
        <w:rPr>
          <w:sz w:val="20"/>
          <w:szCs w:val="20"/>
          <w:color w:val="auto"/>
        </w:rPr>
      </w:pPr>
    </w:p>
    <w:p>
      <w:pPr>
        <w:ind w:left="1120" w:right="1140"/>
        <w:spacing w:after="0" w:line="251" w:lineRule="auto"/>
        <w:rPr>
          <w:sz w:val="20"/>
          <w:szCs w:val="20"/>
          <w:color w:val="auto"/>
        </w:rPr>
      </w:pPr>
      <w:r>
        <w:rPr>
          <w:rFonts w:ascii="Arial" w:cs="Arial" w:eastAsia="Arial" w:hAnsi="Arial"/>
          <w:sz w:val="22"/>
          <w:szCs w:val="22"/>
          <w:b w:val="1"/>
          <w:bCs w:val="1"/>
          <w:color w:val="FFFFFF"/>
        </w:rPr>
        <w:t>THE BOARD RECOMMENDS A VOTE FOR RATIFICATION OF THE SELECTION OF PRICEWATERHOUSECOOPERS LLP AS MONDELĒZ INTERNATIONAL’S INDEPENDENT REGISTERED PUBLIC ACCOUNTANTS FOR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5"/>
          <w:szCs w:val="45"/>
          <w:b w:val="1"/>
          <w:bCs w:val="1"/>
          <w:color w:val="58358F"/>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right="380"/>
        <w:spacing w:after="0" w:line="236" w:lineRule="auto"/>
        <w:rPr>
          <w:sz w:val="20"/>
          <w:szCs w:val="20"/>
          <w:color w:val="auto"/>
        </w:rPr>
      </w:pPr>
      <w:r>
        <w:rPr>
          <w:rFonts w:ascii="Arial" w:cs="Arial" w:eastAsia="Arial" w:hAnsi="Arial"/>
          <w:sz w:val="22"/>
          <w:szCs w:val="22"/>
          <w:color w:val="auto"/>
        </w:rPr>
        <w:t>In accordance with SEC rules, we are including the following shareholder proposals (Items 4 and 5), along with the supporting statements of the respective shareholder proponent. Mondelēz International is not responsible for any inaccuracies in these proposals and supporting statements. We have put a box around materials provided by the proponents so that readers can easily distinguish between materials provided by the proponent and materials provided by the Company. Each shareholder proposal is required to be submitted to a vote at the Annual Meeting only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123190</wp:posOffset>
            </wp:positionV>
            <wp:extent cx="6686550" cy="55753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686550" cy="557530"/>
                    </a:xfrm>
                    <a:prstGeom prst="rect">
                      <a:avLst/>
                    </a:prstGeom>
                    <a:noFill/>
                  </pic:spPr>
                </pic:pic>
              </a:graphicData>
            </a:graphic>
          </wp:anchor>
        </w:drawing>
      </w:r>
    </w:p>
    <w:p>
      <w:pPr>
        <w:spacing w:after="0" w:line="187" w:lineRule="exact"/>
        <w:rPr>
          <w:sz w:val="20"/>
          <w:szCs w:val="20"/>
          <w:color w:val="auto"/>
        </w:rPr>
      </w:pPr>
    </w:p>
    <w:p>
      <w:pPr>
        <w:ind w:left="1280" w:right="1400"/>
        <w:spacing w:after="0" w:line="251" w:lineRule="auto"/>
        <w:rPr>
          <w:sz w:val="20"/>
          <w:szCs w:val="20"/>
          <w:color w:val="auto"/>
        </w:rPr>
      </w:pPr>
      <w:r>
        <w:rPr>
          <w:rFonts w:ascii="Arial" w:cs="Arial" w:eastAsia="Arial" w:hAnsi="Arial"/>
          <w:sz w:val="22"/>
          <w:szCs w:val="22"/>
          <w:b w:val="1"/>
          <w:bCs w:val="1"/>
          <w:color w:val="FFFFFF"/>
        </w:rPr>
        <w:t>THE BOARD RECOMMENDS THAT YOU VOTE AGAINST THESE SHAREHOLDER PROPOSALS FOR THE REASONS SET FORTH IN THE STATEMENT IN OPPOSITION FOLLOWING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5"/>
          <w:szCs w:val="45"/>
          <w:b w:val="1"/>
          <w:bCs w:val="1"/>
          <w:color w:val="58358F"/>
        </w:rPr>
        <w:t>ITEM 4.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Conduct and Publish Racial Equity Audit</w:t>
      </w:r>
    </w:p>
    <w:p>
      <w:pPr>
        <w:spacing w:after="0" w:line="241" w:lineRule="exact"/>
        <w:rPr>
          <w:sz w:val="20"/>
          <w:szCs w:val="20"/>
          <w:color w:val="auto"/>
        </w:rPr>
      </w:pPr>
    </w:p>
    <w:p>
      <w:pPr>
        <w:ind w:left="360" w:right="520"/>
        <w:spacing w:after="0" w:line="238" w:lineRule="auto"/>
        <w:rPr>
          <w:sz w:val="20"/>
          <w:szCs w:val="20"/>
          <w:color w:val="auto"/>
        </w:rPr>
      </w:pPr>
      <w:r>
        <w:rPr>
          <w:rFonts w:ascii="Arial" w:cs="Arial" w:eastAsia="Arial" w:hAnsi="Arial"/>
          <w:sz w:val="22"/>
          <w:szCs w:val="22"/>
          <w:color w:val="auto"/>
        </w:rPr>
        <w:t>The Shareholder Association for Research &amp; Education (SHARE), Suite 257 – 401 Richmond Street West, Toronto, Ontario, Canada, M5V 3A8 as representative for Dragonfly Venture Holdings, Ltd., beneficial owner of at least $2,000 worth of the Company’s common stock held continuously since at least three years prior to November 25, 2021, is the proponent of the following shareholder proposal and has advised that a representative will present this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109855</wp:posOffset>
            </wp:positionV>
            <wp:extent cx="6690360" cy="53276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690360" cy="5327650"/>
                    </a:xfrm>
                    <a:prstGeom prst="rect">
                      <a:avLst/>
                    </a:prstGeom>
                    <a:noFill/>
                  </pic:spPr>
                </pic:pic>
              </a:graphicData>
            </a:graphic>
          </wp:anchor>
        </w:drawing>
      </w:r>
    </w:p>
    <w:p>
      <w:pPr>
        <w:spacing w:after="0" w:line="371" w:lineRule="exact"/>
        <w:rPr>
          <w:sz w:val="20"/>
          <w:szCs w:val="20"/>
          <w:color w:val="auto"/>
        </w:rPr>
      </w:pPr>
    </w:p>
    <w:p>
      <w:pPr>
        <w:ind w:left="500" w:right="980"/>
        <w:spacing w:after="0" w:line="256" w:lineRule="auto"/>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shareholders request Mondelēz International, Inc. (“Mondelēz”) conduct and publish (at</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cost and omitting proprietary information) a third-party audit analyzing Mondelēz’s adverse impacts on non-white stakeholders and communities of colour. Input from civil rights organizations, employees, and customers should be considered in determining the specific matters to be analyzed.</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SUPPORTING STATEMENT</w:t>
      </w:r>
    </w:p>
    <w:p>
      <w:pPr>
        <w:spacing w:after="0" w:line="181" w:lineRule="exact"/>
        <w:rPr>
          <w:sz w:val="20"/>
          <w:szCs w:val="20"/>
          <w:color w:val="auto"/>
        </w:rPr>
      </w:pPr>
    </w:p>
    <w:p>
      <w:pPr>
        <w:ind w:left="500" w:right="660"/>
        <w:spacing w:after="0" w:line="259" w:lineRule="auto"/>
        <w:rPr>
          <w:sz w:val="20"/>
          <w:szCs w:val="20"/>
          <w:color w:val="auto"/>
        </w:rPr>
      </w:pPr>
      <w:r>
        <w:rPr>
          <w:rFonts w:ascii="Arial" w:cs="Arial" w:eastAsia="Arial" w:hAnsi="Arial"/>
          <w:sz w:val="22"/>
          <w:szCs w:val="22"/>
          <w:color w:val="auto"/>
        </w:rPr>
        <w:t>The global racial justice movement, coupled with the disproportionate impacts of the COVID-19 pandemic on communities of colour, have amplified calls for institutions to address racial equity issues.</w:t>
      </w:r>
    </w:p>
    <w:p>
      <w:pPr>
        <w:spacing w:after="0" w:line="129" w:lineRule="exact"/>
        <w:rPr>
          <w:sz w:val="20"/>
          <w:szCs w:val="20"/>
          <w:color w:val="auto"/>
        </w:rPr>
      </w:pPr>
    </w:p>
    <w:p>
      <w:pPr>
        <w:ind w:left="500" w:right="520"/>
        <w:spacing w:after="0" w:line="245" w:lineRule="auto"/>
        <w:rPr>
          <w:sz w:val="20"/>
          <w:szCs w:val="20"/>
          <w:color w:val="auto"/>
        </w:rPr>
      </w:pPr>
      <w:r>
        <w:rPr>
          <w:rFonts w:ascii="Arial" w:cs="Arial" w:eastAsia="Arial" w:hAnsi="Arial"/>
          <w:sz w:val="21"/>
          <w:szCs w:val="21"/>
          <w:color w:val="auto"/>
        </w:rPr>
        <w:t>Mondelēz has announced a multi-year commitment to advance racial equity through its U.S. and global diversity and inclusion initiatives.</w:t>
      </w:r>
      <w:r>
        <w:rPr>
          <w:rFonts w:ascii="Arial" w:cs="Arial" w:eastAsia="Arial" w:hAnsi="Arial"/>
          <w:sz w:val="23"/>
          <w:szCs w:val="23"/>
          <w:color w:val="auto"/>
          <w:vertAlign w:val="superscript"/>
        </w:rPr>
        <w:t>1</w:t>
      </w:r>
      <w:r>
        <w:rPr>
          <w:rFonts w:ascii="Arial" w:cs="Arial" w:eastAsia="Arial" w:hAnsi="Arial"/>
          <w:sz w:val="21"/>
          <w:szCs w:val="21"/>
          <w:color w:val="auto"/>
        </w:rPr>
        <w:t xml:space="preserve"> However, its commitments do not address potential racial equity issues in its products and services. For example, a 2019 study conducted by the UConn Rudd Center for Food Policy &amp; Obesity found that Mondelēz spent USD$3.4 million on Black-targeted TV advertising and USD$9.2 million on Spanish-language TV advertising.</w:t>
      </w:r>
      <w:r>
        <w:rPr>
          <w:rFonts w:ascii="Arial" w:cs="Arial" w:eastAsia="Arial" w:hAnsi="Arial"/>
          <w:sz w:val="23"/>
          <w:szCs w:val="23"/>
          <w:color w:val="auto"/>
          <w:vertAlign w:val="superscript"/>
        </w:rPr>
        <w:t>2</w:t>
      </w:r>
      <w:r>
        <w:rPr>
          <w:rFonts w:ascii="Arial" w:cs="Arial" w:eastAsia="Arial" w:hAnsi="Arial"/>
          <w:sz w:val="21"/>
          <w:szCs w:val="21"/>
          <w:color w:val="auto"/>
        </w:rPr>
        <w:t xml:space="preserve"> The Company’s marketing strategies disproportionately impact communities of colour and increasing rates of diet-related diseases among these same communities have intensified calls for more robust and transparent responsible marketing practices.</w:t>
      </w:r>
      <w:r>
        <w:rPr>
          <w:rFonts w:ascii="Arial" w:cs="Arial" w:eastAsia="Arial" w:hAnsi="Arial"/>
          <w:sz w:val="23"/>
          <w:szCs w:val="23"/>
          <w:color w:val="auto"/>
          <w:vertAlign w:val="superscript"/>
        </w:rPr>
        <w:t>3</w:t>
      </w:r>
    </w:p>
    <w:p>
      <w:pPr>
        <w:spacing w:after="0" w:line="94" w:lineRule="exact"/>
        <w:rPr>
          <w:sz w:val="20"/>
          <w:szCs w:val="20"/>
          <w:color w:val="auto"/>
        </w:rPr>
      </w:pPr>
    </w:p>
    <w:p>
      <w:pPr>
        <w:ind w:left="500" w:right="800"/>
        <w:spacing w:after="0" w:line="236" w:lineRule="auto"/>
        <w:rPr>
          <w:sz w:val="20"/>
          <w:szCs w:val="20"/>
          <w:color w:val="auto"/>
        </w:rPr>
      </w:pPr>
      <w:r>
        <w:rPr>
          <w:rFonts w:ascii="Arial" w:cs="Arial" w:eastAsia="Arial" w:hAnsi="Arial"/>
          <w:sz w:val="22"/>
          <w:szCs w:val="22"/>
          <w:color w:val="auto"/>
        </w:rPr>
        <w:t>Additionally, Mondelēz current racial justice commitments lack transparency. For example, the Company indicated that it is “on track”</w:t>
      </w:r>
      <w:r>
        <w:rPr>
          <w:rFonts w:ascii="Arial" w:cs="Arial" w:eastAsia="Arial" w:hAnsi="Arial"/>
          <w:sz w:val="24"/>
          <w:szCs w:val="24"/>
          <w:color w:val="auto"/>
          <w:vertAlign w:val="superscript"/>
        </w:rPr>
        <w:t>4</w:t>
      </w:r>
      <w:r>
        <w:rPr>
          <w:rFonts w:ascii="Arial" w:cs="Arial" w:eastAsia="Arial" w:hAnsi="Arial"/>
          <w:sz w:val="22"/>
          <w:szCs w:val="22"/>
          <w:color w:val="auto"/>
        </w:rPr>
        <w:t xml:space="preserve"> to meeting its 2024 goal to “double the representation percentage of Black colleagues in U.S. management,”</w:t>
      </w:r>
      <w:r>
        <w:rPr>
          <w:rFonts w:ascii="Arial" w:cs="Arial" w:eastAsia="Arial" w:hAnsi="Arial"/>
          <w:sz w:val="24"/>
          <w:szCs w:val="24"/>
          <w:color w:val="auto"/>
          <w:vertAlign w:val="superscript"/>
        </w:rPr>
        <w:t>5</w:t>
      </w:r>
      <w:r>
        <w:rPr>
          <w:rFonts w:ascii="Arial" w:cs="Arial" w:eastAsia="Arial" w:hAnsi="Arial"/>
          <w:sz w:val="22"/>
          <w:szCs w:val="22"/>
          <w:color w:val="auto"/>
        </w:rPr>
        <w:t xml:space="preserve"> but it does not publish any meaningful metrics demonstrating the progress made by the Company so far and the merit on its investments.</w:t>
      </w:r>
      <w:r>
        <w:rPr>
          <w:rFonts w:ascii="Arial" w:cs="Arial" w:eastAsia="Arial" w:hAnsi="Arial"/>
          <w:sz w:val="24"/>
          <w:szCs w:val="24"/>
          <w:color w:val="auto"/>
          <w:vertAlign w:val="superscript"/>
        </w:rPr>
        <w:t>6</w:t>
      </w:r>
    </w:p>
    <w:p>
      <w:pPr>
        <w:spacing w:after="0" w:line="98" w:lineRule="exact"/>
        <w:rPr>
          <w:sz w:val="20"/>
          <w:szCs w:val="20"/>
          <w:color w:val="auto"/>
        </w:rPr>
      </w:pPr>
    </w:p>
    <w:p>
      <w:pPr>
        <w:ind w:left="500" w:right="720"/>
        <w:spacing w:after="0" w:line="231" w:lineRule="auto"/>
        <w:rPr>
          <w:sz w:val="20"/>
          <w:szCs w:val="20"/>
          <w:color w:val="auto"/>
        </w:rPr>
      </w:pPr>
      <w:r>
        <w:rPr>
          <w:rFonts w:ascii="Arial" w:cs="Arial" w:eastAsia="Arial" w:hAnsi="Arial"/>
          <w:sz w:val="22"/>
          <w:szCs w:val="22"/>
          <w:color w:val="auto"/>
        </w:rPr>
        <w:t>Mondelēz is a member of the Consumer Brands Association (CBA).</w:t>
      </w:r>
      <w:r>
        <w:rPr>
          <w:rFonts w:ascii="Arial" w:cs="Arial" w:eastAsia="Arial" w:hAnsi="Arial"/>
          <w:sz w:val="24"/>
          <w:szCs w:val="24"/>
          <w:color w:val="auto"/>
          <w:vertAlign w:val="superscript"/>
        </w:rPr>
        <w:t>7</w:t>
      </w:r>
      <w:r>
        <w:rPr>
          <w:rFonts w:ascii="Arial" w:cs="Arial" w:eastAsia="Arial" w:hAnsi="Arial"/>
          <w:sz w:val="22"/>
          <w:szCs w:val="22"/>
          <w:color w:val="auto"/>
        </w:rPr>
        <w:t xml:space="preserve"> More than half of the CBA’s total contributions targeted Republican candidates, including Senator Mitch McConnell,</w:t>
      </w:r>
      <w:r>
        <w:rPr>
          <w:rFonts w:ascii="Arial" w:cs="Arial" w:eastAsia="Arial" w:hAnsi="Arial"/>
          <w:sz w:val="24"/>
          <w:szCs w:val="24"/>
          <w:color w:val="auto"/>
          <w:vertAlign w:val="superscript"/>
        </w:rPr>
        <w:t>8</w:t>
      </w:r>
      <w:r>
        <w:rPr>
          <w:rFonts w:ascii="Arial" w:cs="Arial" w:eastAsia="Arial" w:hAnsi="Arial"/>
          <w:sz w:val="22"/>
          <w:szCs w:val="22"/>
          <w:color w:val="auto"/>
        </w:rPr>
        <w:t xml:space="preserve"> who, in a recent letter to the Secretary of Education, stated that the </w:t>
      </w:r>
      <w:r>
        <w:rPr>
          <w:rFonts w:ascii="Arial" w:cs="Arial" w:eastAsia="Arial" w:hAnsi="Arial"/>
          <w:sz w:val="22"/>
          <w:szCs w:val="22"/>
          <w:i w:val="1"/>
          <w:iCs w:val="1"/>
          <w:color w:val="auto"/>
        </w:rPr>
        <w:t>1619</w:t>
      </w:r>
      <w:r>
        <w:rPr>
          <w:rFonts w:ascii="Arial" w:cs="Arial" w:eastAsia="Arial" w:hAnsi="Arial"/>
          <w:sz w:val="22"/>
          <w:szCs w:val="22"/>
          <w:color w:val="auto"/>
        </w:rPr>
        <w:t xml:space="preserve"> project is “debunked advocacy” and should not be taught to students.</w:t>
      </w:r>
      <w:r>
        <w:rPr>
          <w:rFonts w:ascii="Arial" w:cs="Arial" w:eastAsia="Arial" w:hAnsi="Arial"/>
          <w:sz w:val="24"/>
          <w:szCs w:val="24"/>
          <w:color w:val="auto"/>
          <w:vertAlign w:val="superscript"/>
        </w:rPr>
        <w:t>9</w:t>
      </w:r>
      <w:r>
        <w:rPr>
          <w:rFonts w:ascii="Arial" w:cs="Arial" w:eastAsia="Arial" w:hAnsi="Arial"/>
          <w:sz w:val="22"/>
          <w:szCs w:val="22"/>
          <w:color w:val="auto"/>
        </w:rPr>
        <w:t xml:space="preserve"> Many racial justice advocates argue that attacks towards racial equity education fuel divisiveness and hinder progress towards racial justice.</w:t>
      </w:r>
      <w:r>
        <w:rPr>
          <w:rFonts w:ascii="Arial" w:cs="Arial" w:eastAsia="Arial" w:hAnsi="Arial"/>
          <w:sz w:val="24"/>
          <w:szCs w:val="24"/>
          <w:color w:val="auto"/>
          <w:vertAlign w:val="superscript"/>
        </w:rPr>
        <w:t>10 11</w:t>
      </w:r>
    </w:p>
    <w:p>
      <w:pPr>
        <w:spacing w:after="0" w:line="98" w:lineRule="exact"/>
        <w:rPr>
          <w:sz w:val="20"/>
          <w:szCs w:val="20"/>
          <w:color w:val="auto"/>
        </w:rPr>
      </w:pPr>
    </w:p>
    <w:p>
      <w:pPr>
        <w:ind w:left="500" w:right="620"/>
        <w:spacing w:after="0" w:line="235" w:lineRule="auto"/>
        <w:rPr>
          <w:sz w:val="20"/>
          <w:szCs w:val="20"/>
          <w:color w:val="auto"/>
        </w:rPr>
      </w:pPr>
      <w:r>
        <w:rPr>
          <w:rFonts w:ascii="Arial" w:cs="Arial" w:eastAsia="Arial" w:hAnsi="Arial"/>
          <w:sz w:val="22"/>
          <w:szCs w:val="22"/>
          <w:color w:val="auto"/>
        </w:rPr>
        <w:t>The adverse impacts of Mondelēz products go beyond the U.S. border. For instance, an audit published in October 2021 found that Mondelēz was one of the largest plastics polluters in the world—contributing to plastics pollution in at least 28 countries where it operates.</w:t>
      </w:r>
      <w:r>
        <w:rPr>
          <w:rFonts w:ascii="Arial" w:cs="Arial" w:eastAsia="Arial" w:hAnsi="Arial"/>
          <w:sz w:val="24"/>
          <w:szCs w:val="24"/>
          <w:color w:val="auto"/>
          <w:vertAlign w:val="superscript"/>
        </w:rPr>
        <w:t>12</w:t>
      </w:r>
      <w:r>
        <w:rPr>
          <w:rFonts w:ascii="Arial" w:cs="Arial" w:eastAsia="Arial" w:hAnsi="Arial"/>
          <w:sz w:val="22"/>
          <w:szCs w:val="22"/>
          <w:color w:val="auto"/>
        </w:rPr>
        <w:t xml:space="preserve"> Research shows that climate injustice, including plastic pollution, disproportionately burdens communities of colour.</w:t>
      </w:r>
      <w:r>
        <w:rPr>
          <w:rFonts w:ascii="Arial" w:cs="Arial" w:eastAsia="Arial" w:hAnsi="Arial"/>
          <w:sz w:val="24"/>
          <w:szCs w:val="24"/>
          <w:color w:val="auto"/>
          <w:vertAlign w:val="superscript"/>
        </w:rPr>
        <w:t>13</w:t>
      </w:r>
      <w:r>
        <w:rPr>
          <w:rFonts w:ascii="Arial" w:cs="Arial" w:eastAsia="Arial" w:hAnsi="Arial"/>
          <w:sz w:val="22"/>
          <w:szCs w:val="22"/>
          <w:color w:val="auto"/>
        </w:rPr>
        <w:t xml:space="preserve"> In 2020, the Company was even sued for its contribution to the global plastics pollution crisis.</w:t>
      </w:r>
      <w:r>
        <w:rPr>
          <w:rFonts w:ascii="Arial" w:cs="Arial" w:eastAsia="Arial" w:hAnsi="Arial"/>
          <w:sz w:val="24"/>
          <w:szCs w:val="24"/>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330200</wp:posOffset>
            </wp:positionV>
            <wp:extent cx="7136130" cy="591058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right="320"/>
        <w:spacing w:after="0" w:line="246" w:lineRule="auto"/>
        <w:rPr>
          <w:sz w:val="20"/>
          <w:szCs w:val="20"/>
          <w:color w:val="auto"/>
        </w:rPr>
      </w:pPr>
      <w:r>
        <w:rPr>
          <w:rFonts w:ascii="Arial" w:cs="Arial" w:eastAsia="Arial" w:hAnsi="Arial"/>
          <w:sz w:val="21"/>
          <w:szCs w:val="21"/>
          <w:color w:val="auto"/>
        </w:rPr>
        <w:t>Racial equity issues present significant legal, financial, regulatory, and reputational business risks. Dirk Van de Put, Chairman and CEO of Mondelēz said: “Mondelēz International is committed to building a more diverse, inclusive and equitable world, both socially and economically.”</w:t>
      </w:r>
      <w:r>
        <w:rPr>
          <w:rFonts w:ascii="Arial" w:cs="Arial" w:eastAsia="Arial" w:hAnsi="Arial"/>
          <w:sz w:val="23"/>
          <w:szCs w:val="23"/>
          <w:color w:val="auto"/>
          <w:vertAlign w:val="superscript"/>
        </w:rPr>
        <w:t>15</w:t>
      </w:r>
      <w:r>
        <w:rPr>
          <w:rFonts w:ascii="Arial" w:cs="Arial" w:eastAsia="Arial" w:hAnsi="Arial"/>
          <w:sz w:val="21"/>
          <w:szCs w:val="21"/>
          <w:color w:val="auto"/>
        </w:rPr>
        <w:t xml:space="preserve"> A racial equity audit is an important and effective step in establishing a more transparent system of accountability. Mondelēz should take this opportunity to ensure that its business model </w:t>
      </w:r>
      <w:r>
        <w:rPr>
          <w:rFonts w:ascii="Arial" w:cs="Arial" w:eastAsia="Arial" w:hAnsi="Arial"/>
          <w:sz w:val="21"/>
          <w:szCs w:val="21"/>
          <w:i w:val="1"/>
          <w:iCs w:val="1"/>
          <w:color w:val="auto"/>
        </w:rPr>
        <w:t>supports</w:t>
      </w:r>
      <w:r>
        <w:rPr>
          <w:rFonts w:ascii="Arial" w:cs="Arial" w:eastAsia="Arial" w:hAnsi="Arial"/>
          <w:sz w:val="21"/>
          <w:szCs w:val="21"/>
          <w:color w:val="auto"/>
        </w:rPr>
        <w:t xml:space="preserve"> the development of accountable, resilient, and inclusive economies.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22"/>
          <w:szCs w:val="22"/>
          <w:u w:val="single" w:color="auto"/>
          <w:color w:val="auto"/>
        </w:rPr>
        <w:t>https://ir.mondelezinternational.com/node/24521/pdf</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22"/>
          <w:szCs w:val="22"/>
          <w:u w:val="single" w:color="auto"/>
          <w:color w:val="auto"/>
        </w:rPr>
        <w:t>https://uconnruddcenter.org/wp-content/uploads/sites/2909/2020/09/TargetedMarketingReport2019.pdf</w:t>
      </w:r>
      <w:r>
        <w:rPr>
          <w:rFonts w:ascii="Arial" w:cs="Arial" w:eastAsia="Arial" w:hAnsi="Arial"/>
          <w:sz w:val="22"/>
          <w:szCs w:val="22"/>
          <w:color w:val="auto"/>
        </w:rPr>
        <w:t xml:space="preserve"> page 95</w:t>
      </w:r>
    </w:p>
    <w:p>
      <w:pPr>
        <w:spacing w:after="0" w:line="156" w:lineRule="exact"/>
        <w:rPr>
          <w:sz w:val="20"/>
          <w:szCs w:val="20"/>
          <w:color w:val="auto"/>
        </w:rPr>
      </w:pPr>
    </w:p>
    <w:p>
      <w:pPr>
        <w:ind w:left="160" w:right="1500"/>
        <w:spacing w:after="0" w:line="238" w:lineRule="auto"/>
        <w:rPr>
          <w:sz w:val="20"/>
          <w:szCs w:val="20"/>
          <w:color w:val="auto"/>
        </w:rPr>
      </w:pPr>
      <w:r>
        <w:rPr>
          <w:rFonts w:ascii="Arial" w:cs="Arial" w:eastAsia="Arial" w:hAnsi="Arial"/>
          <w:sz w:val="24"/>
          <w:szCs w:val="24"/>
          <w:color w:val="auto"/>
          <w:vertAlign w:val="superscript"/>
        </w:rPr>
        <w:t>3</w:t>
      </w:r>
      <w:r>
        <w:rPr>
          <w:rFonts w:ascii="Arial" w:cs="Arial" w:eastAsia="Arial" w:hAnsi="Arial"/>
          <w:sz w:val="22"/>
          <w:szCs w:val="22"/>
          <w:u w:val="single" w:color="auto"/>
          <w:color w:val="auto"/>
        </w:rPr>
        <w:t>https://www.brookings.edu/blog/up-front/2020/08/07/black-and-hispanic-americans-at-higher-risk-of-hypertension-diabetes-obesity-time-to-fix-our-broken-food-system/</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4</w:t>
      </w:r>
      <w:r>
        <w:rPr>
          <w:rFonts w:ascii="Arial" w:cs="Arial" w:eastAsia="Arial" w:hAnsi="Arial"/>
          <w:sz w:val="22"/>
          <w:szCs w:val="22"/>
          <w:u w:val="single" w:color="auto"/>
          <w:color w:val="auto"/>
        </w:rPr>
        <w:t>https://www.mondelezinternational.com/Snacking-Made-Right/Reporting-and-Disclosure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5</w:t>
      </w:r>
      <w:r>
        <w:rPr>
          <w:rFonts w:ascii="Arial" w:cs="Arial" w:eastAsia="Arial" w:hAnsi="Arial"/>
          <w:sz w:val="22"/>
          <w:szCs w:val="22"/>
          <w:u w:val="single" w:color="auto"/>
          <w:color w:val="auto"/>
        </w:rPr>
        <w:t>https://www.mondelezinternational.com/Snacking-Made-Right/Reporting-and-Disclosure</w:t>
      </w:r>
    </w:p>
    <w:p>
      <w:pPr>
        <w:spacing w:after="0" w:line="156" w:lineRule="exact"/>
        <w:rPr>
          <w:sz w:val="20"/>
          <w:szCs w:val="20"/>
          <w:color w:val="auto"/>
        </w:rPr>
      </w:pPr>
    </w:p>
    <w:p>
      <w:pPr>
        <w:ind w:left="160" w:right="180"/>
        <w:spacing w:after="0" w:line="238" w:lineRule="auto"/>
        <w:rPr>
          <w:sz w:val="20"/>
          <w:szCs w:val="20"/>
          <w:color w:val="auto"/>
        </w:rPr>
      </w:pPr>
      <w:r>
        <w:rPr>
          <w:rFonts w:ascii="Arial" w:cs="Arial" w:eastAsia="Arial" w:hAnsi="Arial"/>
          <w:sz w:val="24"/>
          <w:szCs w:val="24"/>
          <w:color w:val="auto"/>
          <w:vertAlign w:val="superscript"/>
        </w:rPr>
        <w:t>6</w:t>
      </w:r>
      <w:r>
        <w:rPr>
          <w:rFonts w:ascii="Arial" w:cs="Arial" w:eastAsia="Arial" w:hAnsi="Arial"/>
          <w:sz w:val="22"/>
          <w:szCs w:val="22"/>
          <w:u w:val="single" w:color="auto"/>
          <w:color w:val="auto"/>
        </w:rPr>
        <w:t>https://www.mondelezinternational.com/-/media/Mondelez/Snacking-Made-Right/SMR-Report/2020/2020_MDLZ_</w:t>
      </w:r>
      <w:r>
        <w:rPr>
          <w:rFonts w:ascii="Arial" w:cs="Arial" w:eastAsia="Arial" w:hAnsi="Arial"/>
          <w:sz w:val="22"/>
          <w:szCs w:val="22"/>
          <w:color w:val="auto"/>
        </w:rPr>
        <w:t xml:space="preserve"> </w:t>
      </w:r>
      <w:r>
        <w:rPr>
          <w:rFonts w:ascii="Arial" w:cs="Arial" w:eastAsia="Arial" w:hAnsi="Arial"/>
          <w:sz w:val="22"/>
          <w:szCs w:val="22"/>
          <w:u w:val="single" w:color="auto"/>
          <w:color w:val="auto"/>
        </w:rPr>
        <w:t>Snacking_Made_Right_Report.pdf</w:t>
      </w:r>
      <w:r>
        <w:rPr>
          <w:rFonts w:ascii="Arial" w:cs="Arial" w:eastAsia="Arial" w:hAnsi="Arial"/>
          <w:sz w:val="22"/>
          <w:szCs w:val="22"/>
          <w:color w:val="auto"/>
        </w:rPr>
        <w:t xml:space="preserve"> page 10</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22"/>
          <w:szCs w:val="22"/>
          <w:u w:val="single" w:color="auto"/>
          <w:color w:val="auto"/>
        </w:rPr>
        <w:t>https://www.mondelezinternational.com/-/media/Mondelez/PDFs/trade-associations.pdf</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8</w:t>
      </w:r>
      <w:r>
        <w:rPr>
          <w:rFonts w:ascii="Arial" w:cs="Arial" w:eastAsia="Arial" w:hAnsi="Arial"/>
          <w:sz w:val="22"/>
          <w:szCs w:val="22"/>
          <w:u w:val="single" w:color="auto"/>
          <w:color w:val="auto"/>
        </w:rPr>
        <w:t>https://feedthetruth.org/wp-content/uploads/2021/07/FeedtheTruth WhitePaper 210401.pdf</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9</w:t>
      </w:r>
      <w:r>
        <w:rPr>
          <w:rFonts w:ascii="Arial" w:cs="Arial" w:eastAsia="Arial" w:hAnsi="Arial"/>
          <w:sz w:val="22"/>
          <w:szCs w:val="22"/>
          <w:u w:val="single" w:color="auto"/>
          <w:color w:val="auto"/>
        </w:rPr>
        <w:t>https://www.republicanleader.senate.gov/imo/media/doc/FINAL%20DOE%20Civics%20Education%20Signed%</w:t>
      </w:r>
    </w:p>
    <w:p>
      <w:pPr>
        <w:ind w:left="160"/>
        <w:spacing w:after="0"/>
        <w:rPr>
          <w:sz w:val="20"/>
          <w:szCs w:val="20"/>
          <w:color w:val="auto"/>
        </w:rPr>
      </w:pPr>
      <w:r>
        <w:rPr>
          <w:rFonts w:ascii="Arial" w:cs="Arial" w:eastAsia="Arial" w:hAnsi="Arial"/>
          <w:sz w:val="22"/>
          <w:szCs w:val="22"/>
          <w:u w:val="single" w:color="auto"/>
          <w:color w:val="auto"/>
        </w:rPr>
        <w:t>204.29.21.pdf</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10</w:t>
      </w:r>
      <w:r>
        <w:rPr>
          <w:rFonts w:ascii="Arial" w:cs="Arial" w:eastAsia="Arial" w:hAnsi="Arial"/>
          <w:sz w:val="22"/>
          <w:szCs w:val="22"/>
          <w:u w:val="single" w:color="auto"/>
          <w:color w:val="auto"/>
        </w:rPr>
        <w:t>https://www.vanityfair.com/news/2021/05/mitch-mcconnell-dont-teach-our-kids-that-america-is-racist</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11</w:t>
      </w:r>
      <w:r>
        <w:rPr>
          <w:rFonts w:ascii="Arial" w:cs="Arial" w:eastAsia="Arial" w:hAnsi="Arial"/>
          <w:sz w:val="22"/>
          <w:szCs w:val="22"/>
          <w:u w:val="single" w:color="auto"/>
          <w:color w:val="auto"/>
        </w:rPr>
        <w:t>https://www.washingtonpost.com/education/2021/05/03/critical-race-theory-backlash/</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12</w:t>
      </w:r>
      <w:r>
        <w:rPr>
          <w:rFonts w:ascii="Arial" w:cs="Arial" w:eastAsia="Arial" w:hAnsi="Arial"/>
          <w:sz w:val="22"/>
          <w:szCs w:val="22"/>
          <w:u w:val="single" w:color="auto"/>
          <w:color w:val="auto"/>
        </w:rPr>
        <w:t>https://www.breakfreefromplastic.org/wp-content/uploads/2021/10/BRAND-AUDIT-REPORT-2021.pdf</w:t>
      </w:r>
      <w:r>
        <w:rPr>
          <w:rFonts w:ascii="Arial" w:cs="Arial" w:eastAsia="Arial" w:hAnsi="Arial"/>
          <w:sz w:val="22"/>
          <w:szCs w:val="22"/>
          <w:color w:val="auto"/>
        </w:rPr>
        <w:t xml:space="preserve"> page 16</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13</w:t>
      </w:r>
      <w:r>
        <w:rPr>
          <w:rFonts w:ascii="Arial" w:cs="Arial" w:eastAsia="Arial" w:hAnsi="Arial"/>
          <w:sz w:val="22"/>
          <w:szCs w:val="22"/>
          <w:u w:val="single" w:color="auto"/>
          <w:color w:val="auto"/>
        </w:rPr>
        <w:t>https://www.breakfreefromplastic.org/wp-content/uploads/2021/10/BRAND-AUDIT-REPORT-2021.pdf</w:t>
      </w:r>
      <w:r>
        <w:rPr>
          <w:rFonts w:ascii="Arial" w:cs="Arial" w:eastAsia="Arial" w:hAnsi="Arial"/>
          <w:sz w:val="22"/>
          <w:szCs w:val="22"/>
          <w:color w:val="auto"/>
        </w:rPr>
        <w:t xml:space="preserve"> page 11</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4"/>
          <w:szCs w:val="24"/>
          <w:color w:val="auto"/>
          <w:vertAlign w:val="superscript"/>
        </w:rPr>
        <w:t>14</w:t>
      </w:r>
      <w:r>
        <w:rPr>
          <w:rFonts w:ascii="Arial" w:cs="Arial" w:eastAsia="Arial" w:hAnsi="Arial"/>
          <w:sz w:val="22"/>
          <w:szCs w:val="22"/>
          <w:u w:val="single" w:color="auto"/>
          <w:color w:val="auto"/>
        </w:rPr>
        <w:t>https://www.reuters.com/article/us-health-minorities-food-ads-idUSKCN1PB2O5</w:t>
      </w:r>
    </w:p>
    <w:p>
      <w:pPr>
        <w:spacing w:after="0" w:line="156" w:lineRule="exact"/>
        <w:rPr>
          <w:sz w:val="20"/>
          <w:szCs w:val="20"/>
          <w:color w:val="auto"/>
        </w:rPr>
      </w:pPr>
    </w:p>
    <w:p>
      <w:pPr>
        <w:ind w:left="160" w:right="620"/>
        <w:spacing w:after="0" w:line="238" w:lineRule="auto"/>
        <w:rPr>
          <w:sz w:val="20"/>
          <w:szCs w:val="20"/>
          <w:color w:val="auto"/>
        </w:rPr>
      </w:pPr>
      <w:r>
        <w:rPr>
          <w:rFonts w:ascii="Arial" w:cs="Arial" w:eastAsia="Arial" w:hAnsi="Arial"/>
          <w:sz w:val="24"/>
          <w:szCs w:val="24"/>
          <w:color w:val="auto"/>
          <w:vertAlign w:val="superscript"/>
        </w:rPr>
        <w:t>15</w:t>
      </w:r>
      <w:r>
        <w:rPr>
          <w:rFonts w:ascii="Arial" w:cs="Arial" w:eastAsia="Arial" w:hAnsi="Arial"/>
          <w:sz w:val="22"/>
          <w:szCs w:val="22"/>
          <w:u w:val="single" w:color="auto"/>
          <w:color w:val="auto"/>
        </w:rPr>
        <w:t>https://ir.mondelezinternational.com/news-releases/news-release-details/mondelez-international-announces-multi-year-commitment-advance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582C83"/>
        </w:rPr>
        <w:t>BOARD OF DIRECTORS’ STATEMENT IN OPPOSITION TO ITEM 4.</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Mondelēz International takes seriously our commitment to advancing racial equality and diversity, equity and inclusion among our colleagues, culture and communities. We believe our well-established process and framework to address racial equality and DEI already fulfill the objectives of this proposal. We further believe that our robust approach, transparent disclosure and Board oversight provide more effective ways of addressing issues of racial inequality than commencing a new, wide-ranging global impact analysis as sought in this proposal.</w:t>
      </w:r>
    </w:p>
    <w:p>
      <w:pPr>
        <w:spacing w:after="0" w:line="148" w:lineRule="exact"/>
        <w:rPr>
          <w:sz w:val="20"/>
          <w:szCs w:val="20"/>
          <w:color w:val="auto"/>
        </w:rPr>
      </w:pPr>
    </w:p>
    <w:p>
      <w:pPr>
        <w:ind w:right="560"/>
        <w:spacing w:after="0"/>
        <w:rPr>
          <w:sz w:val="20"/>
          <w:szCs w:val="20"/>
          <w:color w:val="auto"/>
        </w:rPr>
      </w:pPr>
      <w:r>
        <w:rPr>
          <w:rFonts w:ascii="Arial" w:cs="Arial" w:eastAsia="Arial" w:hAnsi="Arial"/>
          <w:sz w:val="22"/>
          <w:szCs w:val="22"/>
          <w:b w:val="1"/>
          <w:bCs w:val="1"/>
          <w:color w:val="auto"/>
        </w:rPr>
        <w:t xml:space="preserve">Mondelēz International is dedicated to continuously evolving and enhancing our approach to advancing racial equality and DEI. </w:t>
      </w:r>
      <w:r>
        <w:rPr>
          <w:rFonts w:ascii="Arial" w:cs="Arial" w:eastAsia="Arial" w:hAnsi="Arial"/>
          <w:sz w:val="22"/>
          <w:szCs w:val="22"/>
          <w:color w:val="auto"/>
        </w:rPr>
        <w:t>We have engaged in numerous programs over many years to address racial justice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considerations across our operations and beyond. For example, our Cocoa Life sustainable sourcing program is celebrating its 10th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 xml:space="preserve">of work to help improve the livelihoods of cocoa farmers and their families in Ghana, Côte d’Ivoire, Indonesia, India, the Dominican Republic and Brazil. More recently, we completed a Diversity &amp; Inclusion Advisory Review in our U.S. business. Led by a third party, the review focused on assessing our progress in the areas of governance, talent acquisition and management, learning and development, and metrics and reporting. The results of the review have been shared with our Audit Committee and People and Compensation Committee, and a summary will be shared in our next </w:t>
      </w:r>
      <w:r>
        <w:rPr>
          <w:rFonts w:ascii="Arial" w:cs="Arial" w:eastAsia="Arial" w:hAnsi="Arial"/>
          <w:sz w:val="22"/>
          <w:szCs w:val="22"/>
          <w:i w:val="1"/>
          <w:iCs w:val="1"/>
          <w:color w:val="auto"/>
        </w:rPr>
        <w:t>Snacking Made Right</w:t>
      </w:r>
      <w:r>
        <w:rPr>
          <w:rFonts w:ascii="Arial" w:cs="Arial" w:eastAsia="Arial" w:hAnsi="Arial"/>
          <w:sz w:val="22"/>
          <w:szCs w:val="22"/>
          <w:color w:val="auto"/>
        </w:rPr>
        <w:t xml:space="preserve"> report. In addition, we have published a robust Human Rights Policy detailing our approach to respecting the rights of people in our value chain, using the U.N. Guiding Principles on Business and Human Rights as a framework, and we have joined the Sustainable Trade Initiative (IDH) Roadmap to help advance living wages in global supply chains. Going forward, we will continue to evolve and advance our racial equality and DEI initiatives.</w:t>
      </w:r>
    </w:p>
    <w:p>
      <w:pPr>
        <w:spacing w:after="0" w:line="151" w:lineRule="exact"/>
        <w:rPr>
          <w:sz w:val="20"/>
          <w:szCs w:val="20"/>
          <w:color w:val="auto"/>
        </w:rPr>
      </w:pPr>
    </w:p>
    <w:p>
      <w:pPr>
        <w:spacing w:after="0" w:line="233" w:lineRule="auto"/>
        <w:rPr>
          <w:sz w:val="20"/>
          <w:szCs w:val="20"/>
          <w:color w:val="auto"/>
        </w:rPr>
      </w:pPr>
      <w:r>
        <w:rPr>
          <w:rFonts w:ascii="Arial" w:cs="Arial" w:eastAsia="Arial" w:hAnsi="Arial"/>
          <w:sz w:val="22"/>
          <w:szCs w:val="22"/>
          <w:b w:val="1"/>
          <w:bCs w:val="1"/>
          <w:color w:val="auto"/>
        </w:rPr>
        <w:t xml:space="preserve">Mondelēz International has strong oversight of our racial equality and DEI efforts. </w:t>
      </w:r>
      <w:r>
        <w:rPr>
          <w:rFonts w:ascii="Arial" w:cs="Arial" w:eastAsia="Arial" w:hAnsi="Arial"/>
          <w:sz w:val="22"/>
          <w:szCs w:val="22"/>
          <w:color w:val="auto"/>
        </w:rPr>
        <w:t>Our Board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conducts bi-annual reviews of our DEI strategy, stakeholder interests, risks and progress with our SVP, Chief Global Diversity Officer. Additionally, our SVP, Chief Global Diversity Officer reports progress to the People and Compensation Committee. To enhance our Board’s DEI skillset, the Board recently appointed a new Director who brings extensive experience in food sustainability and equity issues. The Governance, Membership and Sustainability Committee oversees our ESG framework, including regularly discussing consumer Well-being and sustainability enterprise risk management topics, as well as our political contributions – which are bipartisan and focused on our key business issues and the communities in which we operate. The Company has been recognized as “Trendsetter” by the CPA-Zicklin Index of Corporate Political Disclosure and Accountability for multiple years. We also have a robust process for investor engagement on ESG topics, including DEI, and we provide the Board with regular updates on investor feedback. In addition, our Board is a member of the Board Diversity Action Alliance, which seeks to increase the number of racially and ethnically diverse directors on boards. The Board has adopted a policy requiring gender and racially diverse candidates in director candidate slates.</w:t>
      </w:r>
    </w:p>
    <w:p>
      <w:pPr>
        <w:spacing w:after="0" w:line="155"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b w:val="1"/>
          <w:bCs w:val="1"/>
          <w:color w:val="auto"/>
        </w:rPr>
        <w:t>Mondelēz International is committed to transparently reporting on our progress to advance racial equality and meet our DEI goals</w:t>
      </w:r>
      <w:r>
        <w:rPr>
          <w:rFonts w:ascii="Arial" w:cs="Arial" w:eastAsia="Arial" w:hAnsi="Arial"/>
          <w:sz w:val="21"/>
          <w:szCs w:val="21"/>
          <w:color w:val="auto"/>
        </w:rPr>
        <w:t>. We maintain short- and long-term goals against three strategic DEI pillars -- colleagues,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communities and culture -- in each of our business units, and DEI metrics are among the key performance indicators measured as part of our compensation program for senior executives. In September 2020, we announced our goal to double Black representation in our U.S. management team by 2024, and we are exceeding our expected annual progress toward that goal. We also are focused on improving Black representation in our early career programs. We report progress on each of our goals in our annual </w:t>
      </w:r>
      <w:r>
        <w:rPr>
          <w:rFonts w:ascii="Arial" w:cs="Arial" w:eastAsia="Arial" w:hAnsi="Arial"/>
          <w:sz w:val="21"/>
          <w:szCs w:val="21"/>
          <w:i w:val="1"/>
          <w:iCs w:val="1"/>
          <w:color w:val="auto"/>
        </w:rPr>
        <w:t>Snacking Made Right</w:t>
      </w:r>
      <w:r>
        <w:rPr>
          <w:rFonts w:ascii="Arial" w:cs="Arial" w:eastAsia="Arial" w:hAnsi="Arial"/>
          <w:sz w:val="21"/>
          <w:szCs w:val="21"/>
          <w:color w:val="auto"/>
        </w:rPr>
        <w:t xml:space="preserve"> report, and in 2021, we enhanced our disclosure by publicly reporting our consolidated EEO-1 statement of the race and gender of U.S.-based employees. We will continue this practice when we issue this year’s report in May 2022, as well as providing a summary of our D&amp;I Advisory Review. Additionally, we conduct annual global reviews of gender pay equity, as well as reviews of pay equity by race in the United States, among our salaried employees – and we are committed to eliminating unaccounted for pay disparities. Our latest U.S. independent pay equity audit found no systemic issues and no negative pay gap between non-white and white employees performing substantially similar work.</w:t>
      </w:r>
    </w:p>
    <w:p>
      <w:pPr>
        <w:spacing w:after="0" w:line="14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b w:val="1"/>
          <w:bCs w:val="1"/>
          <w:color w:val="auto"/>
        </w:rPr>
        <w:t>Mondelēz International is a leader in responsive and inclusive marketing and supports programs that advance health and Well-being for underrepresented communities</w:t>
      </w:r>
      <w:r>
        <w:rPr>
          <w:rFonts w:ascii="Arial" w:cs="Arial" w:eastAsia="Arial" w:hAnsi="Arial"/>
          <w:sz w:val="22"/>
          <w:szCs w:val="22"/>
          <w:color w:val="auto"/>
        </w:rPr>
        <w:t>. As a founding member of the International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Food &amp; Beverage Alliance, Mondelēz International has made global commitments to the World Health Organization on nutrition and responsible food marketing. The Board oversees and supports our efforts to not only promote responsible marketing to underserved communities, but also to improve DEI representation within the food marketing industry. Our brands sponsor numerous consumer campaigns celebrating diversity and inclusion. Additionally, our marketing efforts promote Mindful Snacking, including portion control pack formats and Well-being consumer education. We also are investing in partnerships with FREE THE WORK and Unstereotype Alliance to help us drive inclusive representation and fight stereotypes in front of and behind the camera.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b w:val="1"/>
          <w:bCs w:val="1"/>
          <w:color w:val="auto"/>
        </w:rPr>
        <w:t xml:space="preserve">Mondelez International is committed to reducing our environmental impact, including tackling plastic waste. </w:t>
      </w:r>
      <w:r>
        <w:rPr>
          <w:rFonts w:ascii="Arial" w:cs="Arial" w:eastAsia="Arial" w:hAnsi="Arial"/>
          <w:sz w:val="21"/>
          <w:szCs w:val="21"/>
          <w:color w:val="auto"/>
        </w:rPr>
        <w:t>Our approach includes optimizing packaging formats while reducing food waste; continuing to simplify our material choices; and using innovative packaging materials to facilitate recycling. We have eliminated 68,000 tons of food waste since 2013, and approximately 95% of our packaging is currently designed to be recyclable. We are currently on track to meet our publicly stated goal of 100% of packaging designed to be recyclable. We also work with several coalitions to support improved recycling infrastructure and greater harmonization of packaging formats.</w:t>
      </w:r>
    </w:p>
    <w:p>
      <w:pPr>
        <w:spacing w:after="0" w:line="138"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b w:val="1"/>
          <w:bCs w:val="1"/>
          <w:color w:val="auto"/>
        </w:rPr>
        <w:t xml:space="preserve">Mondelēz International and our employees engage on DEI issues internally and externally, including supporting impacted communities through philanthropy and volunteering initiatives. </w:t>
      </w:r>
      <w:r>
        <w:rPr>
          <w:rFonts w:ascii="Arial" w:cs="Arial" w:eastAsia="Arial" w:hAnsi="Arial"/>
          <w:sz w:val="22"/>
          <w:szCs w:val="22"/>
          <w:color w:val="auto"/>
        </w:rPr>
        <w:t>In 2021, we contributed</w:t>
      </w:r>
      <w:r>
        <w:rPr>
          <w:rFonts w:ascii="Arial" w:cs="Arial" w:eastAsia="Arial" w:hAnsi="Arial"/>
          <w:sz w:val="22"/>
          <w:szCs w:val="22"/>
          <w:b w:val="1"/>
          <w:bCs w:val="1"/>
          <w:color w:val="auto"/>
        </w:rPr>
        <w:t xml:space="preserve"> </w:t>
      </w:r>
      <w:r>
        <w:rPr>
          <w:rFonts w:ascii="Arial" w:cs="Arial" w:eastAsia="Arial" w:hAnsi="Arial"/>
          <w:sz w:val="22"/>
          <w:szCs w:val="22"/>
          <w:color w:val="auto"/>
        </w:rPr>
        <w:t>$2.7 million to scholarships, internships and community support to advance racial equality through diversity and inclusion initiatives. The Company partners with numerous nonprofits focused on nutrition and equity in vulnerable communities across many countries and provides pro bono services to support DEI, among other volunteering initiatives. We also encourage our colleagues to engage and drive change through participation in our Employee Resource Groups.</w:t>
      </w:r>
    </w:p>
    <w:p>
      <w:pPr>
        <w:spacing w:after="0" w:line="151"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In summary, Mondelēz International is committed to and engaged in advancing the cause of DEI and racial equality on numerous fronts, and the Company already provides transparent disclosure across numerous DEI measures. We believe our robust, multifaceted approach renders the impact of the analysis sought in this broad global proposal unnecessary and duplicative.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120015</wp:posOffset>
            </wp:positionV>
            <wp:extent cx="6686550" cy="55753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686550" cy="55753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THE BOARD RECOMMENDS THAT YOU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5"/>
          <w:szCs w:val="45"/>
          <w:b w:val="1"/>
          <w:bCs w:val="1"/>
          <w:color w:val="58358F"/>
        </w:rPr>
        <w:t>ITEM 5.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Require Independent Chair of the Board</w:t>
      </w:r>
    </w:p>
    <w:p>
      <w:pPr>
        <w:spacing w:after="0" w:line="241" w:lineRule="exact"/>
        <w:rPr>
          <w:sz w:val="20"/>
          <w:szCs w:val="20"/>
          <w:color w:val="auto"/>
        </w:rPr>
      </w:pPr>
    </w:p>
    <w:p>
      <w:pPr>
        <w:ind w:left="360" w:right="380"/>
        <w:spacing w:after="0"/>
        <w:rPr>
          <w:sz w:val="20"/>
          <w:szCs w:val="20"/>
          <w:color w:val="auto"/>
        </w:rPr>
      </w:pPr>
      <w:r>
        <w:rPr>
          <w:rFonts w:ascii="Arial" w:cs="Arial" w:eastAsia="Arial" w:hAnsi="Arial"/>
          <w:sz w:val="22"/>
          <w:szCs w:val="22"/>
          <w:color w:val="auto"/>
        </w:rPr>
        <w:t>National Legal and Policy Center, 107 Park Washington Court, Falls Church, VA 22046, beneficial owner of 83 shares of the Company’s Common Stock held continuously for at least one year as of January 4, 2021 and through December 20, 2021, is the proponent of the following shareholder proposal and has advised that a representative will present this proposal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109220</wp:posOffset>
            </wp:positionV>
            <wp:extent cx="6690360" cy="42989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690360" cy="4298950"/>
                    </a:xfrm>
                    <a:prstGeom prst="rect">
                      <a:avLst/>
                    </a:prstGeom>
                    <a:noFill/>
                  </pic:spPr>
                </pic:pic>
              </a:graphicData>
            </a:graphic>
          </wp:anchor>
        </w:drawing>
      </w:r>
    </w:p>
    <w:p>
      <w:pPr>
        <w:spacing w:after="0" w:line="3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RESOLVED:</w:t>
      </w:r>
    </w:p>
    <w:p>
      <w:pPr>
        <w:spacing w:after="0" w:line="119" w:lineRule="exact"/>
        <w:rPr>
          <w:sz w:val="20"/>
          <w:szCs w:val="20"/>
          <w:color w:val="auto"/>
        </w:rPr>
      </w:pPr>
    </w:p>
    <w:p>
      <w:pPr>
        <w:ind w:left="500" w:right="620"/>
        <w:spacing w:after="0" w:line="238" w:lineRule="auto"/>
        <w:rPr>
          <w:sz w:val="20"/>
          <w:szCs w:val="20"/>
          <w:color w:val="auto"/>
        </w:rPr>
      </w:pPr>
      <w:r>
        <w:rPr>
          <w:rFonts w:ascii="Arial" w:cs="Arial" w:eastAsia="Arial" w:hAnsi="Arial"/>
          <w:sz w:val="22"/>
          <w:szCs w:val="22"/>
          <w:color w:val="auto"/>
        </w:rPr>
        <w:t>Shareholders request the Board of Directors adopt as policy, and amend the bylaws as necessary, to require hereafter that the Chair of the Board of Directors be an independent member of the Board, consistent with applicable law and existing contracts. If the Board determines that a Chair who was independent when selected is no longer independent, the Board shall select a new Chair who satisfies the requirements of the policy within a reasonable amount of time.</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SUPPORTING STATEMENT</w:t>
      </w:r>
    </w:p>
    <w:p>
      <w:pPr>
        <w:spacing w:after="0" w:line="119" w:lineRule="exact"/>
        <w:rPr>
          <w:sz w:val="20"/>
          <w:szCs w:val="20"/>
          <w:color w:val="auto"/>
        </w:rPr>
      </w:pPr>
    </w:p>
    <w:p>
      <w:pPr>
        <w:ind w:left="500" w:right="1020"/>
        <w:spacing w:after="0"/>
        <w:rPr>
          <w:sz w:val="20"/>
          <w:szCs w:val="20"/>
          <w:color w:val="auto"/>
        </w:rPr>
      </w:pPr>
      <w:r>
        <w:rPr>
          <w:rFonts w:ascii="Arial" w:cs="Arial" w:eastAsia="Arial" w:hAnsi="Arial"/>
          <w:sz w:val="22"/>
          <w:szCs w:val="22"/>
          <w:color w:val="auto"/>
        </w:rPr>
        <w:t>The Chief Executive Officer of Mondelez International, Inc., is also Board Chairman. We believe these roles – each with separate, different responsibilities that are critical to the health of a successful corporation – are greatly diminished when held by a singular company official, thus weakening its governance structure.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Expert perspectives substantiate our position:</w:t>
      </w:r>
    </w:p>
    <w:p>
      <w:pPr>
        <w:spacing w:after="0" w:line="179" w:lineRule="exact"/>
        <w:rPr>
          <w:sz w:val="20"/>
          <w:szCs w:val="20"/>
          <w:color w:val="auto"/>
        </w:rPr>
      </w:pPr>
    </w:p>
    <w:p>
      <w:pPr>
        <w:ind w:left="880" w:right="660" w:hanging="211"/>
        <w:spacing w:after="0" w:line="255" w:lineRule="auto"/>
        <w:tabs>
          <w:tab w:leader="none" w:pos="880" w:val="left"/>
        </w:tabs>
        <w:numPr>
          <w:ilvl w:val="0"/>
          <w:numId w:val="94"/>
        </w:numPr>
        <w:rPr>
          <w:rFonts w:ascii="Arial" w:cs="Arial" w:eastAsia="Arial" w:hAnsi="Arial"/>
          <w:sz w:val="21"/>
          <w:szCs w:val="21"/>
          <w:color w:val="582C83"/>
        </w:rPr>
      </w:pPr>
      <w:r>
        <w:rPr>
          <w:rFonts w:ascii="Arial" w:cs="Arial" w:eastAsia="Arial" w:hAnsi="Arial"/>
          <w:sz w:val="21"/>
          <w:szCs w:val="21"/>
          <w:color w:val="auto"/>
        </w:rPr>
        <w:t xml:space="preserve">According to the Council of Institutional Investors ( </w:t>
      </w:r>
      <w:r>
        <w:rPr>
          <w:rFonts w:ascii="Arial" w:cs="Arial" w:eastAsia="Arial" w:hAnsi="Arial"/>
          <w:sz w:val="21"/>
          <w:szCs w:val="21"/>
          <w:u w:val="single" w:color="auto"/>
          <w:color w:val="auto"/>
        </w:rPr>
        <w:t>https://bit.ly/3pKrtJK</w:t>
      </w:r>
      <w:r>
        <w:rPr>
          <w:rFonts w:ascii="Arial" w:cs="Arial" w:eastAsia="Arial" w:hAnsi="Arial"/>
          <w:sz w:val="21"/>
          <w:szCs w:val="21"/>
          <w:color w:val="auto"/>
        </w:rPr>
        <w:t xml:space="preserve"> ), “A CEO who also serves as chair can exert excessive influence on the board and its agenda, weakening the Board’s oversight of management. Separating the chair and CEO positions reduces this conflict, and an independent chair provides the clearest separation of power between the CEO and the rest of the board.”</w:t>
      </w:r>
    </w:p>
    <w:p>
      <w:pPr>
        <w:spacing w:after="0" w:line="53" w:lineRule="exact"/>
        <w:rPr>
          <w:rFonts w:ascii="Arial" w:cs="Arial" w:eastAsia="Arial" w:hAnsi="Arial"/>
          <w:sz w:val="21"/>
          <w:szCs w:val="21"/>
          <w:color w:val="582C83"/>
        </w:rPr>
      </w:pPr>
    </w:p>
    <w:p>
      <w:pPr>
        <w:ind w:left="880" w:right="660" w:hanging="211"/>
        <w:spacing w:after="0" w:line="245" w:lineRule="auto"/>
        <w:tabs>
          <w:tab w:leader="none" w:pos="880" w:val="left"/>
        </w:tabs>
        <w:numPr>
          <w:ilvl w:val="0"/>
          <w:numId w:val="94"/>
        </w:numPr>
        <w:rPr>
          <w:rFonts w:ascii="Arial" w:cs="Arial" w:eastAsia="Arial" w:hAnsi="Arial"/>
          <w:sz w:val="22"/>
          <w:szCs w:val="22"/>
          <w:color w:val="582C83"/>
        </w:rPr>
      </w:pPr>
      <w:r>
        <w:rPr>
          <w:rFonts w:ascii="Arial" w:cs="Arial" w:eastAsia="Arial" w:hAnsi="Arial"/>
          <w:sz w:val="22"/>
          <w:szCs w:val="22"/>
          <w:color w:val="auto"/>
        </w:rPr>
        <w:t xml:space="preserve">A 2014 report from Deloitte ( </w:t>
      </w:r>
      <w:r>
        <w:rPr>
          <w:rFonts w:ascii="Arial" w:cs="Arial" w:eastAsia="Arial" w:hAnsi="Arial"/>
          <w:sz w:val="22"/>
          <w:szCs w:val="22"/>
          <w:u w:val="single" w:color="auto"/>
          <w:color w:val="auto"/>
        </w:rPr>
        <w:t>https://bit.ly/3vQGqe1</w:t>
      </w:r>
      <w:r>
        <w:rPr>
          <w:rFonts w:ascii="Arial" w:cs="Arial" w:eastAsia="Arial" w:hAnsi="Arial"/>
          <w:sz w:val="22"/>
          <w:szCs w:val="22"/>
          <w:color w:val="auto"/>
        </w:rPr>
        <w:t xml:space="preserve"> ) concluded, “The chairman should lead the board and there should be a clear division of responsibilities between the chairman and the chief executive officer (CEO).”</w:t>
      </w:r>
    </w:p>
    <w:p>
      <w:pPr>
        <w:spacing w:after="0" w:line="62" w:lineRule="exact"/>
        <w:rPr>
          <w:rFonts w:ascii="Arial" w:cs="Arial" w:eastAsia="Arial" w:hAnsi="Arial"/>
          <w:sz w:val="22"/>
          <w:szCs w:val="22"/>
          <w:color w:val="582C83"/>
        </w:rPr>
      </w:pPr>
    </w:p>
    <w:p>
      <w:pPr>
        <w:ind w:left="880" w:right="820" w:hanging="211"/>
        <w:spacing w:after="0" w:line="245" w:lineRule="auto"/>
        <w:tabs>
          <w:tab w:leader="none" w:pos="880" w:val="left"/>
        </w:tabs>
        <w:numPr>
          <w:ilvl w:val="0"/>
          <w:numId w:val="94"/>
        </w:numPr>
        <w:rPr>
          <w:rFonts w:ascii="Arial" w:cs="Arial" w:eastAsia="Arial" w:hAnsi="Arial"/>
          <w:sz w:val="22"/>
          <w:szCs w:val="22"/>
          <w:color w:val="582C83"/>
        </w:rPr>
      </w:pPr>
      <w:r>
        <w:rPr>
          <w:rFonts w:ascii="Arial" w:cs="Arial" w:eastAsia="Arial" w:hAnsi="Arial"/>
          <w:sz w:val="22"/>
          <w:szCs w:val="22"/>
          <w:color w:val="auto"/>
        </w:rPr>
        <w:t xml:space="preserve">Proxy adviser Glass Lewis advised ( </w:t>
      </w:r>
      <w:r>
        <w:rPr>
          <w:rFonts w:ascii="Arial" w:cs="Arial" w:eastAsia="Arial" w:hAnsi="Arial"/>
          <w:sz w:val="22"/>
          <w:szCs w:val="22"/>
          <w:u w:val="single" w:color="auto"/>
          <w:color w:val="auto"/>
        </w:rPr>
        <w:t>https://bit.ly/2ZD4l59</w:t>
      </w:r>
      <w:r>
        <w:rPr>
          <w:rFonts w:ascii="Arial" w:cs="Arial" w:eastAsia="Arial" w:hAnsi="Arial"/>
          <w:sz w:val="22"/>
          <w:szCs w:val="22"/>
          <w:color w:val="auto"/>
        </w:rPr>
        <w:t xml:space="preserve"> ) in 2016, “an independent chairman...is better able to oversee the executives of the Company and set a pro-shareholder agenda without the management conflicts that exist when a CEO or other executives also serves as chairman.”</w:t>
      </w:r>
    </w:p>
    <w:p>
      <w:pPr>
        <w:spacing w:after="0" w:line="200" w:lineRule="exact"/>
        <w:rPr>
          <w:sz w:val="20"/>
          <w:szCs w:val="20"/>
          <w:color w:val="auto"/>
        </w:rPr>
      </w:pPr>
    </w:p>
    <w:p>
      <w:pPr>
        <w:spacing w:after="0" w:line="279"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582C83"/>
        </w:rPr>
        <w:t>BOARD OF DIRECTORS’ STATEMENT IN OPPOSITION TO ITEM 5.</w:t>
      </w:r>
    </w:p>
    <w:p>
      <w:pPr>
        <w:spacing w:after="0" w:line="103" w:lineRule="exact"/>
        <w:rPr>
          <w:sz w:val="20"/>
          <w:szCs w:val="20"/>
          <w:color w:val="auto"/>
        </w:rPr>
      </w:pPr>
    </w:p>
    <w:p>
      <w:pPr>
        <w:ind w:left="360" w:right="800"/>
        <w:spacing w:after="0"/>
        <w:rPr>
          <w:sz w:val="20"/>
          <w:szCs w:val="20"/>
          <w:color w:val="auto"/>
        </w:rPr>
      </w:pPr>
      <w:r>
        <w:rPr>
          <w:rFonts w:ascii="Arial" w:cs="Arial" w:eastAsia="Arial" w:hAnsi="Arial"/>
          <w:sz w:val="22"/>
          <w:szCs w:val="22"/>
          <w:color w:val="auto"/>
        </w:rPr>
        <w:t>Our Board has a duty to act as it believes to be in the best interests of the Company and its shareholders, including by determining the Board leadership structure that will best serve those interests. Forcing the Company to adopt an inflexible, one-size-fits-all approach to Board leadership would hamper the Board’s ability to effectively promote shareholder interests.</w:t>
      </w:r>
    </w:p>
    <w:p>
      <w:pPr>
        <w:spacing w:after="0" w:line="147" w:lineRule="exact"/>
        <w:rPr>
          <w:sz w:val="20"/>
          <w:szCs w:val="20"/>
          <w:color w:val="auto"/>
        </w:rPr>
      </w:pPr>
    </w:p>
    <w:p>
      <w:pPr>
        <w:ind w:left="360" w:right="380"/>
        <w:spacing w:after="0" w:line="238" w:lineRule="auto"/>
        <w:rPr>
          <w:sz w:val="20"/>
          <w:szCs w:val="20"/>
          <w:color w:val="auto"/>
        </w:rPr>
      </w:pPr>
      <w:r>
        <w:rPr>
          <w:rFonts w:ascii="Arial" w:cs="Arial" w:eastAsia="Arial" w:hAnsi="Arial"/>
          <w:sz w:val="22"/>
          <w:szCs w:val="22"/>
          <w:b w:val="1"/>
          <w:bCs w:val="1"/>
          <w:color w:val="auto"/>
        </w:rPr>
        <w:t xml:space="preserve">Our current By-Laws provide the necessary flexibility for the Board to make thoughtful decisions about the appropriate leadership structure for the Company. </w:t>
      </w:r>
      <w:r>
        <w:rPr>
          <w:rFonts w:ascii="Arial" w:cs="Arial" w:eastAsia="Arial" w:hAnsi="Arial"/>
          <w:sz w:val="22"/>
          <w:szCs w:val="22"/>
          <w:color w:val="auto"/>
        </w:rPr>
        <w:t>Our current By-Laws provide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flexibility in determining the appropriate leadership structure at a given time in light of the Company’s needs and circumstances. The Board takes several factors into account when considering which leadership structure will allow it to carry out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466"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most effectively and best represent shareholders’ interests. These factors include our specific business needs, our operating and financial performance, industry conditions, economic and regulatory environments, the results of Board and committee annual self-assessments, the advantages and disadvantages of alternative leadership structures based on circumstances at that time, investor feedback, and our corporate governance practices. Removing this flexibility would restrict the Board’s ability to adapt to circumstances and select a leadership structure that it believes to be in the best interests of shareholders at the time.</w:t>
      </w:r>
    </w:p>
    <w:p>
      <w:pPr>
        <w:spacing w:after="0" w:line="153"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b w:val="1"/>
          <w:bCs w:val="1"/>
          <w:color w:val="auto"/>
        </w:rPr>
        <w:t xml:space="preserve">We have a robust independent Lead Director role with substantive leadership responsibilities. </w:t>
      </w:r>
      <w:r>
        <w:rPr>
          <w:rFonts w:ascii="Arial" w:cs="Arial" w:eastAsia="Arial" w:hAnsi="Arial"/>
          <w:sz w:val="22"/>
          <w:szCs w:val="22"/>
          <w:color w:val="auto"/>
        </w:rPr>
        <w:t>At any time that</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determines it is in the best interests of the Company and its shareholders to have a non-independent Chairman, our Corporate Governance Guidelines require the Board to select an independent Lead Director with substantive duties and responsibilities. The independent directors select the Lead Director for a one-year term. The independent Lead Director duties and responsibilities are broad and have considerable overlap with those of an independent Board Chair. The independent Lead Director engages in planning and approving meeting schedules and agendas, including the review of briefing materials, and has the power to call meetings of the independent directors or the Board as needed. As part of the Board’s regular agenda, the independent Lead Director presides over executive sessions of the independent directors without the participation of the Chairman and Chief Executive Officer. The independent Lead Director also serves as a direct point of contact for shareholders, and in Fall 2021 led engagements with investors holding approximately 30% of our outstanding shares. The independent Lead Director also frequently confers with the other independent directors on various Board and Company matters. Finally, the independent directors also may assign to the independent Lead Director any additional duties over and above these fixed responsibilities as they deem appropriate.</w:t>
      </w:r>
    </w:p>
    <w:p>
      <w:pPr>
        <w:spacing w:after="0" w:line="153" w:lineRule="exact"/>
        <w:rPr>
          <w:sz w:val="20"/>
          <w:szCs w:val="20"/>
          <w:color w:val="auto"/>
        </w:rPr>
      </w:pPr>
    </w:p>
    <w:p>
      <w:pPr>
        <w:ind w:right="180"/>
        <w:spacing w:after="0" w:line="247" w:lineRule="auto"/>
        <w:rPr>
          <w:sz w:val="20"/>
          <w:szCs w:val="20"/>
          <w:color w:val="auto"/>
        </w:rPr>
      </w:pPr>
      <w:r>
        <w:rPr>
          <w:rFonts w:ascii="Arial" w:cs="Arial" w:eastAsia="Arial" w:hAnsi="Arial"/>
          <w:sz w:val="21"/>
          <w:szCs w:val="21"/>
          <w:b w:val="1"/>
          <w:bCs w:val="1"/>
          <w:color w:val="auto"/>
        </w:rPr>
        <w:t xml:space="preserve">Our corporate governance structures and processes are consistent with best practices that promote effective oversight and accountability. </w:t>
      </w:r>
      <w:r>
        <w:rPr>
          <w:rFonts w:ascii="Arial" w:cs="Arial" w:eastAsia="Arial" w:hAnsi="Arial"/>
          <w:sz w:val="21"/>
          <w:szCs w:val="21"/>
          <w:color w:val="auto"/>
        </w:rPr>
        <w:t>Our corporate governance practices reinforce the Board’s alignment with,</w:t>
      </w:r>
      <w:r>
        <w:rPr>
          <w:rFonts w:ascii="Arial" w:cs="Arial" w:eastAsia="Arial" w:hAnsi="Arial"/>
          <w:sz w:val="21"/>
          <w:szCs w:val="21"/>
          <w:b w:val="1"/>
          <w:bCs w:val="1"/>
          <w:color w:val="auto"/>
        </w:rPr>
        <w:t xml:space="preserve"> </w:t>
      </w:r>
      <w:r>
        <w:rPr>
          <w:rFonts w:ascii="Arial" w:cs="Arial" w:eastAsia="Arial" w:hAnsi="Arial"/>
          <w:sz w:val="21"/>
          <w:szCs w:val="21"/>
          <w:color w:val="auto"/>
        </w:rPr>
        <w:t>and accountability to, shareholders, and promote effective Board oversight of management. In addition to the governance practices discussed above, directors are elected annually by majority vote, directors and committees engage in an annual evaluation process, shareholders have the right to call special meetings at which they can nominate director candidates or propose other business, and shareholders can communicate directly with the Board in addition to the independent Lead Director. Each Board committee is comprised entirely of independent directors and each committee has a clearly defined area of oversight regarding key risks and Company functions.</w:t>
      </w:r>
    </w:p>
    <w:p>
      <w:pPr>
        <w:spacing w:after="0" w:line="145" w:lineRule="exact"/>
        <w:rPr>
          <w:sz w:val="20"/>
          <w:szCs w:val="20"/>
          <w:color w:val="auto"/>
        </w:rPr>
      </w:pPr>
    </w:p>
    <w:p>
      <w:pPr>
        <w:spacing w:after="0" w:line="236" w:lineRule="auto"/>
        <w:rPr>
          <w:sz w:val="20"/>
          <w:szCs w:val="20"/>
          <w:color w:val="auto"/>
        </w:rPr>
      </w:pPr>
      <w:r>
        <w:rPr>
          <w:rFonts w:ascii="Arial" w:cs="Arial" w:eastAsia="Arial" w:hAnsi="Arial"/>
          <w:sz w:val="22"/>
          <w:szCs w:val="22"/>
          <w:b w:val="1"/>
          <w:bCs w:val="1"/>
          <w:color w:val="auto"/>
        </w:rPr>
        <w:t xml:space="preserve">We have delivered strong performance under our existing leadership structure. </w:t>
      </w:r>
      <w:r>
        <w:rPr>
          <w:rFonts w:ascii="Arial" w:cs="Arial" w:eastAsia="Arial" w:hAnsi="Arial"/>
          <w:sz w:val="22"/>
          <w:szCs w:val="22"/>
          <w:color w:val="auto"/>
        </w:rPr>
        <w:t>Mondelēz International has</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strong results for our shareholders under Mr. Van de Put’s leadership as Chairman and Chief Executive Officer, even throughout the unprecedented challenges of the COVID-19 pandemic. Since the launch of our strategy in 2018, we have delivered strong total shareholder returns, outpacing most of our peers, and we have made sustained progress against our ESG goals. During this time the Board has also benefited from the guidance of independent Lead Directors with experience as executives at the highest levels in their respective organizations, all of whom brought strong independent leadership and oversight to the Board.</w:t>
      </w:r>
    </w:p>
    <w:p>
      <w:pPr>
        <w:spacing w:after="0" w:line="151"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summary, our Board should retain the flexibility to select the leadership structure that is best suited to meet the needs of the Company and its shareholders at any given time. Adopting a rigid policy as requested by this proposal would impair the Board’s ability to structure its leadership in the manner it believes most effectively serves Company and shareholder interests. The proposal is unnecessary due to our strong governance practices, including our robust and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120650</wp:posOffset>
            </wp:positionV>
            <wp:extent cx="6686550" cy="5575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686550" cy="55753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THE BOARD RECOMMENDS THAT YOU VOTE AGAINST THIS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right="960"/>
        <w:spacing w:after="0" w:line="283" w:lineRule="auto"/>
        <w:rPr>
          <w:sz w:val="20"/>
          <w:szCs w:val="20"/>
          <w:color w:val="auto"/>
        </w:rPr>
      </w:pPr>
      <w:r>
        <w:rPr>
          <w:rFonts w:ascii="Arial" w:cs="Arial" w:eastAsia="Arial" w:hAnsi="Arial"/>
          <w:sz w:val="45"/>
          <w:szCs w:val="45"/>
          <w:b w:val="1"/>
          <w:bCs w:val="1"/>
          <w:color w:val="58358F"/>
        </w:rPr>
        <w:t>OTHER MATTERS THAT MAY BE 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0" w:right="440"/>
        <w:spacing w:after="0" w:line="236" w:lineRule="auto"/>
        <w:rPr>
          <w:sz w:val="20"/>
          <w:szCs w:val="20"/>
          <w:color w:val="auto"/>
        </w:rPr>
      </w:pPr>
      <w:r>
        <w:rPr>
          <w:rFonts w:ascii="Arial" w:cs="Arial" w:eastAsia="Arial" w:hAnsi="Arial"/>
          <w:sz w:val="22"/>
          <w:szCs w:val="22"/>
          <w:color w:val="auto"/>
        </w:rPr>
        <w:t>Other than Items 1 through 5, we do not expect any matters to be presented for action at the Annual Meeting. The requirements for shareholders to properly submit proposals and nominations at the Annual Meeting were described in the proxy statement for the 2021 Annual Meeting of shareholders. (They are similar to those described below under “2023 Annual Meeting of Shareholders.”) The Chairman of the Annual Meeting may refuse to allow the presentation of a proposal or a nomination for the Board at the Annual Meeting if it is not properly submitted.</w:t>
      </w:r>
    </w:p>
    <w:p>
      <w:pPr>
        <w:spacing w:after="0" w:line="155" w:lineRule="exact"/>
        <w:rPr>
          <w:sz w:val="20"/>
          <w:szCs w:val="20"/>
          <w:color w:val="auto"/>
        </w:rPr>
      </w:pPr>
    </w:p>
    <w:p>
      <w:pPr>
        <w:ind w:left="360" w:right="700"/>
        <w:spacing w:after="0" w:line="259" w:lineRule="auto"/>
        <w:rPr>
          <w:sz w:val="20"/>
          <w:szCs w:val="20"/>
          <w:color w:val="auto"/>
        </w:rPr>
      </w:pPr>
      <w:r>
        <w:rPr>
          <w:rFonts w:ascii="Arial" w:cs="Arial" w:eastAsia="Arial" w:hAnsi="Arial"/>
          <w:sz w:val="22"/>
          <w:szCs w:val="22"/>
          <w:color w:val="auto"/>
        </w:rPr>
        <w:t>If any other matters properly come before the Annual Meeting, your proxy gives authority to the designated proxies to vote on such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right="560"/>
        <w:spacing w:after="0" w:line="283" w:lineRule="auto"/>
        <w:rPr>
          <w:sz w:val="20"/>
          <w:szCs w:val="20"/>
          <w:color w:val="auto"/>
        </w:rPr>
      </w:pPr>
      <w:r>
        <w:rPr>
          <w:rFonts w:ascii="Arial" w:cs="Arial" w:eastAsia="Arial" w:hAnsi="Arial"/>
          <w:sz w:val="45"/>
          <w:szCs w:val="45"/>
          <w:b w:val="1"/>
          <w:bCs w:val="1"/>
          <w:color w:val="58358F"/>
        </w:rPr>
        <w:t>FREQUENTLY ASKED QUESTIONS ABOUT THE ANNUAL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Voting Instructions to Proxies</w:t>
      </w:r>
    </w:p>
    <w:p>
      <w:pPr>
        <w:spacing w:after="0" w:line="241" w:lineRule="exact"/>
        <w:rPr>
          <w:sz w:val="20"/>
          <w:szCs w:val="20"/>
          <w:color w:val="auto"/>
        </w:rPr>
      </w:pPr>
    </w:p>
    <w:p>
      <w:pPr>
        <w:ind w:left="360" w:right="420"/>
        <w:spacing w:after="0" w:line="236" w:lineRule="auto"/>
        <w:rPr>
          <w:sz w:val="20"/>
          <w:szCs w:val="20"/>
          <w:color w:val="auto"/>
        </w:rPr>
      </w:pPr>
      <w:r>
        <w:rPr>
          <w:rFonts w:ascii="Arial" w:cs="Arial" w:eastAsia="Arial" w:hAnsi="Arial"/>
          <w:sz w:val="22"/>
          <w:szCs w:val="22"/>
          <w:color w:val="auto"/>
        </w:rPr>
        <w:t>At the Annual Meeting, the individuals named as proxies on each shareholder’s proxy card will vote the shares represented by the proxy card FOR or AGAINST or ABSTAIN from voting with respect to each of the nominees listed in Item 1 and with respect to Items 2, 3, 4 and 5, as indicated in the shareholder’s voting instructions. If a properly executed proxy card does not include voting instructions, proxies will vote FOR each of the director nominees listed in Item 1, FOR Items 2 and 3, AGAINST Items 4 and 5 and in their discretion upon such other business as properly comes before the meeting.</w:t>
      </w:r>
    </w:p>
    <w:p>
      <w:pPr>
        <w:spacing w:after="0" w:line="165"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Attending and Voting at the Annual Meeting</w:t>
      </w:r>
    </w:p>
    <w:p>
      <w:pPr>
        <w:spacing w:after="0" w:line="241" w:lineRule="exact"/>
        <w:rPr>
          <w:sz w:val="20"/>
          <w:szCs w:val="20"/>
          <w:color w:val="auto"/>
        </w:rPr>
      </w:pPr>
    </w:p>
    <w:p>
      <w:pPr>
        <w:ind w:left="360" w:right="420"/>
        <w:spacing w:after="0" w:line="234" w:lineRule="auto"/>
        <w:rPr>
          <w:sz w:val="20"/>
          <w:szCs w:val="20"/>
          <w:color w:val="auto"/>
        </w:rPr>
      </w:pPr>
      <w:r>
        <w:rPr>
          <w:rFonts w:ascii="Arial" w:cs="Arial" w:eastAsia="Arial" w:hAnsi="Arial"/>
          <w:sz w:val="22"/>
          <w:szCs w:val="22"/>
          <w:color w:val="auto"/>
        </w:rPr>
        <w:t xml:space="preserve">The Annual Meeting will be a virtual meeting of shareholders. All shareholders of record as of March 14, 2022 may attend, vote and submit questions during the Annual Meeting by visiting </w:t>
      </w:r>
      <w:r>
        <w:rPr>
          <w:rFonts w:ascii="Arial" w:cs="Arial" w:eastAsia="Arial" w:hAnsi="Arial"/>
          <w:sz w:val="22"/>
          <w:szCs w:val="22"/>
          <w:i w:val="1"/>
          <w:iCs w:val="1"/>
          <w:color w:val="582C83"/>
        </w:rPr>
        <w:t xml:space="preserve">www.virtualshareholdermeeting.com/MDLZ2022 </w:t>
      </w:r>
      <w:r>
        <w:rPr>
          <w:rFonts w:ascii="Arial" w:cs="Arial" w:eastAsia="Arial" w:hAnsi="Arial"/>
          <w:sz w:val="22"/>
          <w:szCs w:val="22"/>
          <w:color w:val="000000"/>
        </w:rPr>
        <w:t>and using the 16-digit control number that is shown on your</w:t>
      </w:r>
      <w:r>
        <w:rPr>
          <w:rFonts w:ascii="Arial" w:cs="Arial" w:eastAsia="Arial" w:hAnsi="Arial"/>
          <w:sz w:val="22"/>
          <w:szCs w:val="22"/>
          <w:i w:val="1"/>
          <w:iCs w:val="1"/>
          <w:color w:val="582C83"/>
        </w:rPr>
        <w:t xml:space="preserve"> </w:t>
      </w:r>
      <w:r>
        <w:rPr>
          <w:rFonts w:ascii="Arial" w:cs="Arial" w:eastAsia="Arial" w:hAnsi="Arial"/>
          <w:sz w:val="22"/>
          <w:szCs w:val="22"/>
          <w:color w:val="000000"/>
        </w:rPr>
        <w:t xml:space="preserve">Notice of Internet Availability of Proxy Materials (“Notice”), proxy card or VIF. If you are not a shareholder or do not have a control number, you may still access the meeting as a guest but you will not be able to submit questions. See Question 12 on page 121 and Question 21 on page 123 for detailed information. If you do not have a control number, you will be able to log in as a guest. To access the Annual Meeting visit </w:t>
      </w:r>
      <w:r>
        <w:rPr>
          <w:rFonts w:ascii="Arial" w:cs="Arial" w:eastAsia="Arial" w:hAnsi="Arial"/>
          <w:sz w:val="22"/>
          <w:szCs w:val="22"/>
          <w:i w:val="1"/>
          <w:iCs w:val="1"/>
          <w:color w:val="582C83"/>
        </w:rPr>
        <w:t xml:space="preserve">www.virtualshareholdermeeting.com/MDLZ2022 </w:t>
      </w:r>
      <w:r>
        <w:rPr>
          <w:rFonts w:ascii="Arial" w:cs="Arial" w:eastAsia="Arial" w:hAnsi="Arial"/>
          <w:sz w:val="22"/>
          <w:szCs w:val="22"/>
          <w:color w:val="000000"/>
        </w:rPr>
        <w:t>and register as a guest. If you log in as a guest, you will not</w:t>
      </w:r>
      <w:r>
        <w:rPr>
          <w:rFonts w:ascii="Arial" w:cs="Arial" w:eastAsia="Arial" w:hAnsi="Arial"/>
          <w:sz w:val="22"/>
          <w:szCs w:val="22"/>
          <w:i w:val="1"/>
          <w:iCs w:val="1"/>
          <w:color w:val="582C83"/>
        </w:rPr>
        <w:t xml:space="preserve"> </w:t>
      </w:r>
      <w:r>
        <w:rPr>
          <w:rFonts w:ascii="Arial" w:cs="Arial" w:eastAsia="Arial" w:hAnsi="Arial"/>
          <w:sz w:val="22"/>
          <w:szCs w:val="22"/>
          <w:color w:val="000000"/>
        </w:rPr>
        <w:t>be able to vote or submit questions during the Annual Meeting.</w:t>
      </w:r>
    </w:p>
    <w:p>
      <w:pPr>
        <w:spacing w:after="0" w:line="383" w:lineRule="exact"/>
        <w:rPr>
          <w:sz w:val="20"/>
          <w:szCs w:val="20"/>
          <w:color w:val="auto"/>
        </w:rPr>
      </w:pPr>
    </w:p>
    <w:p>
      <w:pPr>
        <w:ind w:left="340"/>
        <w:spacing w:after="0"/>
        <w:rPr>
          <w:sz w:val="20"/>
          <w:szCs w:val="20"/>
          <w:color w:val="auto"/>
        </w:rPr>
      </w:pPr>
      <w:r>
        <w:rPr>
          <w:sz w:val="1"/>
          <w:szCs w:val="1"/>
          <w:color w:val="auto"/>
        </w:rPr>
        <w:drawing>
          <wp:inline distT="0" distB="0" distL="0" distR="0">
            <wp:extent cx="171450" cy="17145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Asking Questions During the Annual Meeting</w:t>
      </w:r>
    </w:p>
    <w:p>
      <w:pPr>
        <w:spacing w:after="0" w:line="241" w:lineRule="exact"/>
        <w:rPr>
          <w:sz w:val="20"/>
          <w:szCs w:val="20"/>
          <w:color w:val="auto"/>
        </w:rPr>
      </w:pPr>
    </w:p>
    <w:p>
      <w:pPr>
        <w:ind w:left="360" w:right="360"/>
        <w:spacing w:after="0" w:line="233" w:lineRule="auto"/>
        <w:rPr>
          <w:sz w:val="20"/>
          <w:szCs w:val="20"/>
          <w:color w:val="auto"/>
        </w:rPr>
      </w:pPr>
      <w:r>
        <w:rPr>
          <w:rFonts w:ascii="Arial" w:cs="Arial" w:eastAsia="Arial" w:hAnsi="Arial"/>
          <w:sz w:val="22"/>
          <w:szCs w:val="22"/>
          <w:color w:val="auto"/>
        </w:rPr>
        <w:t xml:space="preserve">An online portal is available to shareholders of record as of March 14, 2022, at </w:t>
      </w:r>
      <w:r>
        <w:rPr>
          <w:rFonts w:ascii="Arial" w:cs="Arial" w:eastAsia="Arial" w:hAnsi="Arial"/>
          <w:sz w:val="22"/>
          <w:szCs w:val="22"/>
          <w:i w:val="1"/>
          <w:iCs w:val="1"/>
          <w:color w:val="582C83"/>
        </w:rPr>
        <w:t>www.proxyvote.com</w:t>
      </w:r>
      <w:r>
        <w:rPr>
          <w:rFonts w:ascii="Arial" w:cs="Arial" w:eastAsia="Arial" w:hAnsi="Arial"/>
          <w:sz w:val="22"/>
          <w:szCs w:val="22"/>
          <w:color w:val="auto"/>
        </w:rPr>
        <w:t xml:space="preserve"> where you can view and download our proxy materials and 2021 Form 10-K and vote your shares. On the day of and during the Annual Meeting, you can view our agenda and meeting procedures and submit questions on </w:t>
      </w:r>
      <w:r>
        <w:rPr>
          <w:rFonts w:ascii="Arial" w:cs="Arial" w:eastAsia="Arial" w:hAnsi="Arial"/>
          <w:sz w:val="22"/>
          <w:szCs w:val="22"/>
          <w:i w:val="1"/>
          <w:iCs w:val="1"/>
          <w:color w:val="582C83"/>
        </w:rPr>
        <w:t>www.virtualshareholdermeeting.com/MDLZ2022</w:t>
      </w:r>
      <w:r>
        <w:rPr>
          <w:rFonts w:ascii="Arial" w:cs="Arial" w:eastAsia="Arial" w:hAnsi="Arial"/>
          <w:sz w:val="22"/>
          <w:szCs w:val="22"/>
          <w:color w:val="000000"/>
        </w:rPr>
        <w:t>. Shareholders must have their 16-digit control number to</w:t>
      </w:r>
      <w:r>
        <w:rPr>
          <w:rFonts w:ascii="Arial" w:cs="Arial" w:eastAsia="Arial" w:hAnsi="Arial"/>
          <w:sz w:val="22"/>
          <w:szCs w:val="22"/>
          <w:i w:val="1"/>
          <w:iCs w:val="1"/>
          <w:color w:val="582C83"/>
        </w:rPr>
        <w:t xml:space="preserve"> </w:t>
      </w:r>
      <w:r>
        <w:rPr>
          <w:rFonts w:ascii="Arial" w:cs="Arial" w:eastAsia="Arial" w:hAnsi="Arial"/>
          <w:sz w:val="22"/>
          <w:szCs w:val="22"/>
          <w:color w:val="000000"/>
        </w:rPr>
        <w:t>submit questions. Shareholders will have an opportunity to raise questions about the items of business for the meeting. In addition, after the business portion of the Annual Meeting concludes and the meeting is adjourned, shareholders will have another opportunity to raise questions of a more general nature. We intend to answer all questions submitted during the Annual Meeting that are pertinent to the Company and the items being voted on by shareholders, as time permits and in accordance with our meeting procedures. Answers to questions not addressed during the Annual Meeting will be posted following the meeting on the investor relations section of our website. Questions and answers will be grouped by topic and substantially similar questions will be answered only once. To promote fairness, efficiently use the Company’s resources and address all shareholder questions, we will respond to no more than three questions from any single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Frequently Asked Questions About the Annual Meeting and Voting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  When and where is the Annual Meeting?</w:t>
      </w:r>
    </w:p>
    <w:p>
      <w:pPr>
        <w:spacing w:after="0" w:line="100"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 xml:space="preserve">The Board has determined we will hold a virtual Annual Meeting conducted via webcast. We will hold the Annual Meeting at 9:00 a.m. CDT on May 18, 2022. Shareholders may attend, vote and submit questions by visiting </w:t>
      </w:r>
      <w:r>
        <w:rPr>
          <w:rFonts w:ascii="Arial" w:cs="Arial" w:eastAsia="Arial" w:hAnsi="Arial"/>
          <w:sz w:val="22"/>
          <w:szCs w:val="22"/>
          <w:i w:val="1"/>
          <w:iCs w:val="1"/>
          <w:color w:val="582C83"/>
        </w:rPr>
        <w:t xml:space="preserve">www.virtualshareholdermeeting.com/MDLZ2022 </w:t>
      </w:r>
      <w:r>
        <w:rPr>
          <w:rFonts w:ascii="Arial" w:cs="Arial" w:eastAsia="Arial" w:hAnsi="Arial"/>
          <w:sz w:val="22"/>
          <w:szCs w:val="22"/>
          <w:color w:val="000000"/>
        </w:rPr>
        <w:t>and using the 16-digit control number shown on your Notice, Proxy</w:t>
      </w:r>
      <w:r>
        <w:rPr>
          <w:rFonts w:ascii="Arial" w:cs="Arial" w:eastAsia="Arial" w:hAnsi="Arial"/>
          <w:sz w:val="22"/>
          <w:szCs w:val="22"/>
          <w:i w:val="1"/>
          <w:iCs w:val="1"/>
          <w:color w:val="582C83"/>
        </w:rPr>
        <w:t xml:space="preserve"> </w:t>
      </w:r>
      <w:r>
        <w:rPr>
          <w:rFonts w:ascii="Arial" w:cs="Arial" w:eastAsia="Arial" w:hAnsi="Arial"/>
          <w:sz w:val="22"/>
          <w:szCs w:val="22"/>
          <w:color w:val="000000"/>
        </w:rPr>
        <w:t>card or VIF.</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2.  Who is entitled to vote at the Annual Meeting?</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22"/>
          <w:szCs w:val="22"/>
          <w:color w:val="auto"/>
        </w:rPr>
        <w:t>The Board established March 14, 2022, as the record date (the “Record Date”) for the Annual Meeting. Each shareholder (registered or beneficial) who held shares of Common Stock at the close of business on the Record Date is entitled to receive notice of the Annual Meeting, to attend the Annual Meeting and to vote on all matters that properly come before the Annual Meeting.</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At the close of business on the Record Date 1,383,111,404 shares of Common Stock were outstanding and entitled to vote. Each share is entitled to one vote on each matter to be voted upon at the Annual Meeting.</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3.  Why did I receive these proxy materials?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You received these proxy materials because as of the Record Date, you directly or indirectly held, and had the right to vote, shares of Common Stock. In connection with the Board’s solicitation of proxies to be voted at the Annual Meeting, we are providing shareholders entitled to vote at the Annual Meeting with this Proxy Statement, the 2021 Form 10-K and a proxy card or VIF. We are providing your proxy card or VIF in the form of a paper card or a unique control number that allows you to give your proxy voting instructions online or by phone. We refer to these materials collectively as the “proxy materials.” These materials provide important information about Mondelēz International and describe the voting procedures and the matters to be voted on at the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4.  What is the difference between registered shareholders and beneficial shareholders?</w:t>
      </w:r>
    </w:p>
    <w:p>
      <w:pPr>
        <w:spacing w:after="0" w:line="100" w:lineRule="exact"/>
        <w:rPr>
          <w:sz w:val="20"/>
          <w:szCs w:val="20"/>
          <w:color w:val="auto"/>
        </w:rPr>
      </w:pPr>
    </w:p>
    <w:p>
      <w:pPr>
        <w:ind w:right="520"/>
        <w:spacing w:after="0" w:line="245" w:lineRule="auto"/>
        <w:rPr>
          <w:sz w:val="20"/>
          <w:szCs w:val="20"/>
          <w:color w:val="auto"/>
        </w:rPr>
      </w:pPr>
      <w:r>
        <w:rPr>
          <w:rFonts w:ascii="Arial" w:cs="Arial" w:eastAsia="Arial" w:hAnsi="Arial"/>
          <w:sz w:val="22"/>
          <w:szCs w:val="22"/>
          <w:color w:val="auto"/>
        </w:rPr>
        <w:t xml:space="preserve">Shareholders who hold Mondelēz International stock directly with our stock registrar and transfer agent, EQ Shareowner Services, are </w:t>
      </w:r>
      <w:r>
        <w:rPr>
          <w:rFonts w:ascii="Arial" w:cs="Arial" w:eastAsia="Arial" w:hAnsi="Arial"/>
          <w:sz w:val="22"/>
          <w:szCs w:val="22"/>
          <w:i w:val="1"/>
          <w:iCs w:val="1"/>
          <w:color w:val="auto"/>
        </w:rPr>
        <w:t>registered shareholders</w:t>
      </w:r>
      <w:r>
        <w:rPr>
          <w:rFonts w:ascii="Arial" w:cs="Arial" w:eastAsia="Arial" w:hAnsi="Arial"/>
          <w:sz w:val="22"/>
          <w:szCs w:val="22"/>
          <w:color w:val="auto"/>
        </w:rPr>
        <w:t>. If you are a registered shareholder, the proxy distributors will send the proxy materials directly to you, and your vote instructs the proxies how to vote your shares.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Shareholders who hold stock indirectly through an account with an institutional or other nominee holder of stock, such as a broker or bank, are referred to as </w:t>
      </w:r>
      <w:r>
        <w:rPr>
          <w:rFonts w:ascii="Arial" w:cs="Arial" w:eastAsia="Arial" w:hAnsi="Arial"/>
          <w:sz w:val="22"/>
          <w:szCs w:val="22"/>
          <w:i w:val="1"/>
          <w:iCs w:val="1"/>
          <w:color w:val="auto"/>
        </w:rPr>
        <w:t>beneficial shareholders</w:t>
      </w:r>
      <w:r>
        <w:rPr>
          <w:rFonts w:ascii="Arial" w:cs="Arial" w:eastAsia="Arial" w:hAnsi="Arial"/>
          <w:sz w:val="22"/>
          <w:szCs w:val="22"/>
          <w:color w:val="auto"/>
        </w:rPr>
        <w:t xml:space="preserve"> or shareholders “in street name.” If you are a beneficial shareholder, your broker, bank or other nominee delivers the proxy materials to you, and your vote instructs your nominee how to vote your shares; your nominee in turn instructs the proxies how to vote your shares.</w:t>
      </w:r>
    </w:p>
    <w:p>
      <w:pPr>
        <w:spacing w:after="0" w:line="149"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 xml:space="preserve">If you hold your shares </w:t>
      </w:r>
      <w:r>
        <w:rPr>
          <w:rFonts w:ascii="Arial" w:cs="Arial" w:eastAsia="Arial" w:hAnsi="Arial"/>
          <w:sz w:val="22"/>
          <w:szCs w:val="22"/>
          <w:i w:val="1"/>
          <w:iCs w:val="1"/>
          <w:color w:val="auto"/>
        </w:rPr>
        <w:t>beneficially in an employee benefit plan</w:t>
      </w:r>
      <w:r>
        <w:rPr>
          <w:rFonts w:ascii="Arial" w:cs="Arial" w:eastAsia="Arial" w:hAnsi="Arial"/>
          <w:sz w:val="22"/>
          <w:szCs w:val="22"/>
          <w:color w:val="auto"/>
        </w:rPr>
        <w:t>, your shares are voted by the trustee of the plan per your instructions. If you do not give instructions, your shares will be voted in accordance with the plan’s governing documents and applicable law.</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5.  How is Mondelēz International distributing proxy materials?</w:t>
      </w:r>
    </w:p>
    <w:p>
      <w:pPr>
        <w:spacing w:after="0" w:line="100" w:lineRule="exact"/>
        <w:rPr>
          <w:sz w:val="20"/>
          <w:szCs w:val="20"/>
          <w:color w:val="auto"/>
        </w:rPr>
      </w:pPr>
    </w:p>
    <w:p>
      <w:pPr>
        <w:jc w:val="both"/>
        <w:ind w:right="120"/>
        <w:spacing w:after="0" w:line="245" w:lineRule="auto"/>
        <w:rPr>
          <w:sz w:val="20"/>
          <w:szCs w:val="20"/>
          <w:color w:val="auto"/>
        </w:rPr>
      </w:pPr>
      <w:r>
        <w:rPr>
          <w:rFonts w:ascii="Arial" w:cs="Arial" w:eastAsia="Arial" w:hAnsi="Arial"/>
          <w:sz w:val="22"/>
          <w:szCs w:val="22"/>
          <w:color w:val="auto"/>
        </w:rPr>
        <w:t>We are furnishing proxy materials to our shareholders primarily via “Notice and Access” delivery. On or about April 6, 2022, we mailed to our shareholders (other than those who previously requested email or paper delivery) the Notice containing instructions on how to access the proxy materials electronically.</w:t>
      </w:r>
    </w:p>
    <w:p>
      <w:pPr>
        <w:spacing w:after="0" w:line="143" w:lineRule="exact"/>
        <w:rPr>
          <w:sz w:val="20"/>
          <w:szCs w:val="20"/>
          <w:color w:val="auto"/>
        </w:rPr>
      </w:pPr>
    </w:p>
    <w:p>
      <w:pPr>
        <w:ind w:right="240"/>
        <w:spacing w:after="0" w:line="245" w:lineRule="auto"/>
        <w:rPr>
          <w:sz w:val="20"/>
          <w:szCs w:val="20"/>
          <w:color w:val="auto"/>
        </w:rPr>
      </w:pPr>
      <w:r>
        <w:rPr>
          <w:rFonts w:ascii="Arial" w:cs="Arial" w:eastAsia="Arial" w:hAnsi="Arial"/>
          <w:sz w:val="22"/>
          <w:szCs w:val="22"/>
          <w:color w:val="auto"/>
        </w:rPr>
        <w:t>If you receive the Notice by mail, you will not receive a printed copy of the proxy materials. Instead, the Notice instructs you on how to access the proxy materials and vote by going to a secure website. However, if you received the Notice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7"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mail and would like to receive paper copies of the proxy materials in the mail on a one-time or ongoing basis, or if you would like to receive an electronic copy of the proxy materials by email on a one-time or ongoing basis, follow the instructions in the Notice for making such a request.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Notice is not a proxy card. You cannot use it to vote your shares.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6.  How may I request printed copies of the proxy materials?</w:t>
      </w:r>
    </w:p>
    <w:p>
      <w:pPr>
        <w:spacing w:after="0" w:line="98" w:lineRule="exact"/>
        <w:rPr>
          <w:sz w:val="20"/>
          <w:szCs w:val="20"/>
          <w:color w:val="auto"/>
        </w:rPr>
      </w:pPr>
    </w:p>
    <w:p>
      <w:pPr>
        <w:jc w:val="both"/>
        <w:ind w:right="400"/>
        <w:spacing w:after="0" w:line="251" w:lineRule="auto"/>
        <w:rPr>
          <w:sz w:val="20"/>
          <w:szCs w:val="20"/>
          <w:color w:val="auto"/>
        </w:rPr>
      </w:pPr>
      <w:r>
        <w:rPr>
          <w:rFonts w:ascii="Arial" w:cs="Arial" w:eastAsia="Arial" w:hAnsi="Arial"/>
          <w:sz w:val="22"/>
          <w:szCs w:val="22"/>
          <w:b w:val="1"/>
          <w:bCs w:val="1"/>
          <w:color w:val="auto"/>
        </w:rPr>
        <w:t>We will send printed, paper copies of proxy materials, including the 2021 Form 10-K, free of charge to any shareholder who requests copies in writing to: Investor Relations, Mondelēz International, Inc., 905 West Fulton Market, Suite 200, Chicago, Illinois 60607.</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Shareholders may also request copies of these materials using one of the following methods:</w:t>
      </w:r>
    </w:p>
    <w:p>
      <w:pPr>
        <w:spacing w:after="0" w:line="177" w:lineRule="exact"/>
        <w:rPr>
          <w:sz w:val="20"/>
          <w:szCs w:val="20"/>
          <w:color w:val="auto"/>
        </w:rPr>
      </w:pPr>
    </w:p>
    <w:p>
      <w:pPr>
        <w:ind w:left="220" w:hanging="212"/>
        <w:spacing w:after="0"/>
        <w:tabs>
          <w:tab w:leader="none" w:pos="220" w:val="left"/>
        </w:tabs>
        <w:numPr>
          <w:ilvl w:val="0"/>
          <w:numId w:val="95"/>
        </w:numPr>
        <w:rPr>
          <w:rFonts w:ascii="Arial" w:cs="Arial" w:eastAsia="Arial" w:hAnsi="Arial"/>
          <w:sz w:val="22"/>
          <w:szCs w:val="22"/>
          <w:color w:val="582C83"/>
        </w:rPr>
      </w:pPr>
      <w:r>
        <w:rPr>
          <w:rFonts w:ascii="Arial" w:cs="Arial" w:eastAsia="Arial" w:hAnsi="Arial"/>
          <w:sz w:val="22"/>
          <w:szCs w:val="22"/>
          <w:b w:val="1"/>
          <w:bCs w:val="1"/>
          <w:color w:val="auto"/>
        </w:rPr>
        <w:t xml:space="preserve">By telephone: </w:t>
      </w:r>
      <w:r>
        <w:rPr>
          <w:rFonts w:ascii="Arial" w:cs="Arial" w:eastAsia="Arial" w:hAnsi="Arial"/>
          <w:sz w:val="22"/>
          <w:szCs w:val="22"/>
          <w:color w:val="auto"/>
        </w:rPr>
        <w:t>Call free of charge 1-800-579-1639 in the United States and Canada.</w:t>
      </w:r>
    </w:p>
    <w:p>
      <w:pPr>
        <w:spacing w:after="0" w:line="98" w:lineRule="exact"/>
        <w:rPr>
          <w:rFonts w:ascii="Arial" w:cs="Arial" w:eastAsia="Arial" w:hAnsi="Arial"/>
          <w:sz w:val="22"/>
          <w:szCs w:val="22"/>
          <w:color w:val="582C83"/>
        </w:rPr>
      </w:pPr>
    </w:p>
    <w:p>
      <w:pPr>
        <w:ind w:left="220" w:right="200" w:hanging="212"/>
        <w:spacing w:after="0" w:line="261" w:lineRule="auto"/>
        <w:tabs>
          <w:tab w:leader="none" w:pos="220" w:val="left"/>
        </w:tabs>
        <w:numPr>
          <w:ilvl w:val="0"/>
          <w:numId w:val="95"/>
        </w:numPr>
        <w:rPr>
          <w:rFonts w:ascii="Arial" w:cs="Arial" w:eastAsia="Arial" w:hAnsi="Arial"/>
          <w:sz w:val="22"/>
          <w:szCs w:val="22"/>
          <w:color w:val="582C83"/>
        </w:rPr>
      </w:pPr>
      <w:r>
        <w:rPr>
          <w:rFonts w:ascii="Arial" w:cs="Arial" w:eastAsia="Arial" w:hAnsi="Arial"/>
          <w:sz w:val="22"/>
          <w:szCs w:val="22"/>
          <w:b w:val="1"/>
          <w:bCs w:val="1"/>
          <w:color w:val="auto"/>
        </w:rPr>
        <w:t xml:space="preserve">Via the Internet: </w:t>
      </w:r>
      <w:r>
        <w:rPr>
          <w:rFonts w:ascii="Arial" w:cs="Arial" w:eastAsia="Arial" w:hAnsi="Arial"/>
          <w:sz w:val="22"/>
          <w:szCs w:val="22"/>
          <w:color w:val="auto"/>
        </w:rPr>
        <w:t>Access the Internet and go to</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582C83"/>
        </w:rPr>
        <w:t>www.proxyvote.com</w:t>
      </w:r>
      <w:r>
        <w:rPr>
          <w:rFonts w:ascii="Arial" w:cs="Arial" w:eastAsia="Arial" w:hAnsi="Arial"/>
          <w:sz w:val="22"/>
          <w:szCs w:val="22"/>
          <w:b w:val="1"/>
          <w:bCs w:val="1"/>
          <w:color w:val="auto"/>
        </w:rPr>
        <w:t xml:space="preserve"> </w:t>
      </w:r>
      <w:r>
        <w:rPr>
          <w:rFonts w:ascii="Arial" w:cs="Arial" w:eastAsia="Arial" w:hAnsi="Arial"/>
          <w:sz w:val="22"/>
          <w:szCs w:val="22"/>
          <w:color w:val="auto"/>
        </w:rPr>
        <w:t>and follow the instructions to log in and order</w:t>
      </w:r>
      <w:r>
        <w:rPr>
          <w:rFonts w:ascii="Arial" w:cs="Arial" w:eastAsia="Arial" w:hAnsi="Arial"/>
          <w:sz w:val="22"/>
          <w:szCs w:val="22"/>
          <w:b w:val="1"/>
          <w:bCs w:val="1"/>
          <w:color w:val="auto"/>
        </w:rPr>
        <w:t xml:space="preserve"> </w:t>
      </w:r>
      <w:r>
        <w:rPr>
          <w:rFonts w:ascii="Arial" w:cs="Arial" w:eastAsia="Arial" w:hAnsi="Arial"/>
          <w:sz w:val="22"/>
          <w:szCs w:val="22"/>
          <w:color w:val="auto"/>
        </w:rPr>
        <w:t>copies. You can select from the following:</w:t>
      </w:r>
    </w:p>
    <w:p>
      <w:pPr>
        <w:spacing w:after="0" w:line="59" w:lineRule="exact"/>
        <w:rPr>
          <w:rFonts w:ascii="Arial" w:cs="Arial" w:eastAsia="Arial" w:hAnsi="Arial"/>
          <w:sz w:val="22"/>
          <w:szCs w:val="22"/>
          <w:color w:val="582C83"/>
        </w:rPr>
      </w:pPr>
    </w:p>
    <w:p>
      <w:pPr>
        <w:ind w:left="220"/>
        <w:spacing w:after="0"/>
        <w:rPr>
          <w:rFonts w:ascii="Arial" w:cs="Arial" w:eastAsia="Arial" w:hAnsi="Arial"/>
          <w:sz w:val="22"/>
          <w:szCs w:val="22"/>
          <w:color w:val="582C83"/>
        </w:rPr>
      </w:pPr>
      <w:r>
        <w:rPr>
          <w:rFonts w:ascii="Arial" w:cs="Arial" w:eastAsia="Arial" w:hAnsi="Arial"/>
          <w:sz w:val="18"/>
          <w:szCs w:val="18"/>
          <w:color w:val="582C83"/>
        </w:rPr>
        <w:t xml:space="preserve">—  </w:t>
      </w:r>
      <w:r>
        <w:rPr>
          <w:rFonts w:ascii="Arial" w:cs="Arial" w:eastAsia="Arial" w:hAnsi="Arial"/>
          <w:sz w:val="18"/>
          <w:szCs w:val="18"/>
          <w:color w:val="000000"/>
        </w:rPr>
        <w:t>your preference to receive (a) printed materials via mail or (b) an e-mail with links to the electronic materials; and</w:t>
      </w:r>
    </w:p>
    <w:p>
      <w:pPr>
        <w:spacing w:after="0" w:line="103" w:lineRule="exact"/>
        <w:rPr>
          <w:rFonts w:ascii="Arial" w:cs="Arial" w:eastAsia="Arial" w:hAnsi="Arial"/>
          <w:sz w:val="22"/>
          <w:szCs w:val="22"/>
          <w:color w:val="582C83"/>
        </w:rPr>
      </w:pPr>
    </w:p>
    <w:p>
      <w:pPr>
        <w:ind w:left="220"/>
        <w:spacing w:after="0"/>
        <w:rPr>
          <w:rFonts w:ascii="Arial" w:cs="Arial" w:eastAsia="Arial" w:hAnsi="Arial"/>
          <w:sz w:val="22"/>
          <w:szCs w:val="22"/>
          <w:color w:val="582C83"/>
        </w:rPr>
      </w:pPr>
      <w:r>
        <w:rPr>
          <w:rFonts w:ascii="Arial" w:cs="Arial" w:eastAsia="Arial" w:hAnsi="Arial"/>
          <w:sz w:val="18"/>
          <w:szCs w:val="18"/>
          <w:color w:val="582C83"/>
        </w:rPr>
        <w:t xml:space="preserve">—  </w:t>
      </w:r>
      <w:r>
        <w:rPr>
          <w:rFonts w:ascii="Arial" w:cs="Arial" w:eastAsia="Arial" w:hAnsi="Arial"/>
          <w:sz w:val="18"/>
          <w:szCs w:val="18"/>
          <w:color w:val="000000"/>
        </w:rPr>
        <w:t>if you would like your election to apply to the delivery of materials for all future meetings.</w:t>
      </w:r>
    </w:p>
    <w:p>
      <w:pPr>
        <w:spacing w:after="0" w:line="87" w:lineRule="exact"/>
        <w:rPr>
          <w:rFonts w:ascii="Arial" w:cs="Arial" w:eastAsia="Arial" w:hAnsi="Arial"/>
          <w:sz w:val="22"/>
          <w:szCs w:val="22"/>
          <w:color w:val="582C83"/>
        </w:rPr>
      </w:pPr>
    </w:p>
    <w:p>
      <w:pPr>
        <w:ind w:left="220" w:right="240" w:hanging="212"/>
        <w:spacing w:after="0" w:line="261" w:lineRule="auto"/>
        <w:tabs>
          <w:tab w:leader="none" w:pos="220" w:val="left"/>
        </w:tabs>
        <w:numPr>
          <w:ilvl w:val="0"/>
          <w:numId w:val="95"/>
        </w:numPr>
        <w:rPr>
          <w:rFonts w:ascii="Arial" w:cs="Arial" w:eastAsia="Arial" w:hAnsi="Arial"/>
          <w:sz w:val="22"/>
          <w:szCs w:val="22"/>
          <w:color w:val="582C83"/>
        </w:rPr>
      </w:pPr>
      <w:r>
        <w:rPr>
          <w:rFonts w:ascii="Arial" w:cs="Arial" w:eastAsia="Arial" w:hAnsi="Arial"/>
          <w:sz w:val="22"/>
          <w:szCs w:val="22"/>
          <w:b w:val="1"/>
          <w:bCs w:val="1"/>
          <w:color w:val="auto"/>
        </w:rPr>
        <w:t xml:space="preserve">Via e-mail: </w:t>
      </w:r>
      <w:r>
        <w:rPr>
          <w:rFonts w:ascii="Arial" w:cs="Arial" w:eastAsia="Arial" w:hAnsi="Arial"/>
          <w:sz w:val="22"/>
          <w:szCs w:val="22"/>
          <w:color w:val="auto"/>
        </w:rPr>
        <w:t>Please send a blank e-mail to</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582C83"/>
        </w:rPr>
        <w:t>sendmaterial@proxyvote.com</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control number that is printed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box marked by the arrow in the subject line.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These materials are also available at </w:t>
      </w:r>
      <w:r>
        <w:rPr>
          <w:rFonts w:ascii="Arial" w:cs="Arial" w:eastAsia="Arial" w:hAnsi="Arial"/>
          <w:sz w:val="22"/>
          <w:szCs w:val="22"/>
          <w:b w:val="1"/>
          <w:bCs w:val="1"/>
          <w:i w:val="1"/>
          <w:iCs w:val="1"/>
          <w:color w:val="auto"/>
        </w:rPr>
        <w:t>http://materials.proxyvote.com/609207</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-13335</wp:posOffset>
            </wp:positionV>
            <wp:extent cx="381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59" w:lineRule="exact"/>
        <w:rPr>
          <w:sz w:val="20"/>
          <w:szCs w:val="20"/>
          <w:color w:val="auto"/>
        </w:rPr>
      </w:pPr>
    </w:p>
    <w:p>
      <w:pPr>
        <w:ind w:left="360" w:right="80" w:hanging="352"/>
        <w:spacing w:after="0" w:line="244" w:lineRule="auto"/>
        <w:tabs>
          <w:tab w:leader="none" w:pos="360" w:val="left"/>
        </w:tabs>
        <w:numPr>
          <w:ilvl w:val="0"/>
          <w:numId w:val="96"/>
        </w:numPr>
        <w:rPr>
          <w:rFonts w:ascii="Arial" w:cs="Arial" w:eastAsia="Arial" w:hAnsi="Arial"/>
          <w:sz w:val="22"/>
          <w:szCs w:val="22"/>
          <w:b w:val="1"/>
          <w:bCs w:val="1"/>
          <w:color w:val="582C83"/>
        </w:rPr>
      </w:pPr>
      <w:r>
        <w:rPr>
          <w:rFonts w:ascii="Arial" w:cs="Arial" w:eastAsia="Arial" w:hAnsi="Arial"/>
          <w:sz w:val="22"/>
          <w:szCs w:val="22"/>
          <w:b w:val="1"/>
          <w:bCs w:val="1"/>
          <w:color w:val="582C83"/>
        </w:rPr>
        <w:t>I am a participant in the Altria Deferred Profit Sharing Plan for Hourly Employees, the Altria Deferred Profit Sharing Plan for Salaried Employees, the Philip Morris International Deferred Profit-Sharing Plan or the Miller Coors LLC Employees Retirement &amp; Savings Plan and have investments in the Mondelēz International Stock Fund(s). Can I vote? If so, how do I vote?</w:t>
      </w:r>
    </w:p>
    <w:p>
      <w:pPr>
        <w:spacing w:after="0" w:line="53"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color w:val="auto"/>
        </w:rPr>
        <w:t>Yes, you are entitled to vote. Your proxy card or control number for voting electronically includes all shares allocated to your Mondelēz International Stock Fund account(s). With regard to each plan in which you hold the stock, your vote directs the plan trustee how to vote the shares allocated to you.</w:t>
      </w:r>
    </w:p>
    <w:p>
      <w:pPr>
        <w:spacing w:after="0" w:line="143"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In order to direct the plan trustee how to vote the shares held in your Mondelēz International Stock Fund account(s), you must vote these plan shares (whether by Internet, QR barcode, telephone or mailed proxy card) by 11:59 p.m. EDT on May 13, 2022. If the trustee(s) does not receive your voting instructions or proxy card by that time, the trustee(s) will vote the shares allocated to your account(s) in the same proportion as the respective plan shares for which the trustee timely received voting instructions, unless doing so would be contrary to the Employee Retirement Income Security Act of 1974. Please follow the instructions for registered shareholders described in Question 12 below to cast your vote. Note that although you may attend the Annual Meeting online, you may not vote shares held in your Mondelēz International Stock Fund account(s) at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8.  How do I vote if I participate in Mondelēz International’s Direct Purchase Plan?</w:t>
      </w:r>
    </w:p>
    <w:p>
      <w:pPr>
        <w:spacing w:after="0" w:line="100" w:lineRule="exact"/>
        <w:rPr>
          <w:sz w:val="20"/>
          <w:szCs w:val="20"/>
          <w:color w:val="auto"/>
        </w:rPr>
      </w:pPr>
    </w:p>
    <w:p>
      <w:pPr>
        <w:ind w:right="100"/>
        <w:spacing w:after="0" w:line="268" w:lineRule="auto"/>
        <w:rPr>
          <w:sz w:val="20"/>
          <w:szCs w:val="20"/>
          <w:color w:val="auto"/>
        </w:rPr>
      </w:pPr>
      <w:r>
        <w:rPr>
          <w:rFonts w:ascii="Arial" w:cs="Arial" w:eastAsia="Arial" w:hAnsi="Arial"/>
          <w:sz w:val="21"/>
          <w:szCs w:val="21"/>
          <w:color w:val="auto"/>
        </w:rPr>
        <w:t xml:space="preserve">If you hold shares in the Direct Purchase Plan, follow the instructions for registered shareholders described in Question 12 below to vote your shares. When you vote those shares, you will be voting all the shares you hold at our transfer agent as a registered shareholder. If you do not vote your shares, they will not be voted. </w:t>
      </w:r>
      <w:r>
        <w:rPr>
          <w:rFonts w:ascii="Arial" w:cs="Arial" w:eastAsia="Arial" w:hAnsi="Arial"/>
          <w:sz w:val="21"/>
          <w:szCs w:val="21"/>
          <w:b w:val="1"/>
          <w:bCs w:val="1"/>
          <w:color w:val="auto"/>
        </w:rPr>
        <w:t>PLEASE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ind w:left="360" w:right="60" w:hanging="352"/>
        <w:spacing w:after="0" w:line="251" w:lineRule="auto"/>
        <w:tabs>
          <w:tab w:leader="none" w:pos="360" w:val="left"/>
        </w:tabs>
        <w:numPr>
          <w:ilvl w:val="0"/>
          <w:numId w:val="97"/>
        </w:numPr>
        <w:rPr>
          <w:rFonts w:ascii="Arial" w:cs="Arial" w:eastAsia="Arial" w:hAnsi="Arial"/>
          <w:sz w:val="22"/>
          <w:szCs w:val="22"/>
          <w:b w:val="1"/>
          <w:bCs w:val="1"/>
          <w:color w:val="582C83"/>
        </w:rPr>
      </w:pPr>
      <w:r>
        <w:rPr>
          <w:rFonts w:ascii="Arial" w:cs="Arial" w:eastAsia="Arial" w:hAnsi="Arial"/>
          <w:sz w:val="22"/>
          <w:szCs w:val="22"/>
          <w:b w:val="1"/>
          <w:bCs w:val="1"/>
          <w:color w:val="582C83"/>
        </w:rPr>
        <w:t>I hold CREST Depository Interests (“CDIs”) that represent entitlements to shares of Common Stock as a result of Mondelēz International’s acquisition of Cadbury in 2010. Can I vote the shares of Common Stock underlying my CDIs? If so, how do I vote?</w:t>
      </w:r>
    </w:p>
    <w:p>
      <w:pPr>
        <w:spacing w:after="0" w:line="45"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Computershare Investor Services Plc (“Computershare”) will send all CREST Participants (including nominee companies and sponsored individuals) that hold CDIs a notice and Form of Proxy that allow these participants to vote prior to the Annual Meeting. If you hold your CDIs in CREST, you can vote the underlying shares by completing and sending the Form of Proxy to the Voting Agent, Computershare, or via CREST as detailed on the Form of Proxy. Computershare must receive your vote by 3:00 p.m. London time on May 13, 2022. Computershare will then notify the Registrar of the vote for the underlying shares and your vote will be included in the final tally for the Annual Meeting. If you wish to attend the meeting and/or vote at the Annual Meeting, you must notify the Depository 48 hours prior to the Annual Meeting in writing or email at </w:t>
      </w:r>
      <w:r>
        <w:rPr>
          <w:rFonts w:ascii="Arial" w:cs="Arial" w:eastAsia="Arial" w:hAnsi="Arial"/>
          <w:sz w:val="22"/>
          <w:szCs w:val="22"/>
          <w:color w:val="582C83"/>
        </w:rPr>
        <w:t>c</w:t>
      </w:r>
      <w:r>
        <w:rPr>
          <w:rFonts w:ascii="Arial" w:cs="Arial" w:eastAsia="Arial" w:hAnsi="Arial"/>
          <w:sz w:val="22"/>
          <w:szCs w:val="22"/>
          <w:i w:val="1"/>
          <w:iCs w:val="1"/>
          <w:color w:val="582C83"/>
        </w:rPr>
        <w:t>snditeam@computershare.co.uk</w:t>
      </w:r>
      <w:r>
        <w:rPr>
          <w:rFonts w:ascii="Arial" w:cs="Arial" w:eastAsia="Arial" w:hAnsi="Arial"/>
          <w:sz w:val="22"/>
          <w:szCs w:val="22"/>
          <w:color w:val="auto"/>
        </w:rPr>
        <w:t xml:space="preserve"> who will issue you a 16-digit pin number for the meeting.</w:t>
      </w:r>
    </w:p>
    <w:p>
      <w:pPr>
        <w:spacing w:after="0" w:line="156"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If Computershare holds your CDIs on your behalf within Mondelēz International Corporate Sponsored Nominee Service, Computershare, as the international nominee for your CDIs, will send you a notice and Form of Direction. You may direct Computershare how to vote your underlying shares online or by returning your Form of Direction according to the instructions in the notice and Form of Direction by 3:00 p.m. London time on May 12, 2022. Computershare will then arrange to vote your underlying shares according to your instructions. If you wish to attend or vote at the Annual Meeting, please inform Computershare 48 hours prior to the meeting, they will provide you with a letter of representation with respect to your CDI holding that will contain the 16-digit pin number that will enable you to attend, submit a question or vote your underlying shares at the Annual Meeting on Computershare’s behalf. You can notify Computershare by emailing them at </w:t>
      </w:r>
      <w:r>
        <w:rPr>
          <w:rFonts w:ascii="Arial" w:cs="Arial" w:eastAsia="Arial" w:hAnsi="Arial"/>
          <w:sz w:val="22"/>
          <w:szCs w:val="22"/>
          <w:i w:val="1"/>
          <w:iCs w:val="1"/>
          <w:color w:val="582C83"/>
        </w:rPr>
        <w:t>csnditeam@computershare.co.uk</w:t>
      </w:r>
      <w:r>
        <w:rPr>
          <w:rFonts w:ascii="Arial" w:cs="Arial" w:eastAsia="Arial" w:hAnsi="Arial"/>
          <w:sz w:val="22"/>
          <w:szCs w:val="22"/>
          <w:color w:val="auto"/>
        </w:rPr>
        <w:t xml:space="preserve"> or by calling the helpline on 0344 472 6005.</w:t>
      </w:r>
    </w:p>
    <w:p>
      <w:pPr>
        <w:spacing w:after="0" w:line="15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If another international nominee holds your CDIs on your behalf, your nominee may have its own arrangements in place to provide you with a separate notice of the Annual Meeting and proxy voting card with respect to your underlying shares. In that case, please follow your nominee’s voting instructions to direct your nominee how to vote your underlying shares. Please vote by the deadline stated on the nominee’s notice and proxy voting card.</w:t>
      </w:r>
    </w:p>
    <w:p>
      <w:pPr>
        <w:spacing w:after="0" w:line="149" w:lineRule="exact"/>
        <w:rPr>
          <w:sz w:val="20"/>
          <w:szCs w:val="20"/>
          <w:color w:val="auto"/>
        </w:rPr>
      </w:pPr>
    </w:p>
    <w:p>
      <w:pPr>
        <w:ind w:right="720"/>
        <w:spacing w:after="0" w:line="259" w:lineRule="auto"/>
        <w:rPr>
          <w:sz w:val="20"/>
          <w:szCs w:val="20"/>
          <w:color w:val="auto"/>
        </w:rPr>
      </w:pPr>
      <w:r>
        <w:rPr>
          <w:rFonts w:ascii="Arial" w:cs="Arial" w:eastAsia="Arial" w:hAnsi="Arial"/>
          <w:sz w:val="22"/>
          <w:szCs w:val="22"/>
          <w:color w:val="auto"/>
        </w:rPr>
        <w:t>If you hold CDIs and have questions about voting your shares of Common Stock underlying your CDIs, please contact Computershare at +44 (0)344 472 6005.</w:t>
      </w:r>
    </w:p>
    <w:p>
      <w:pPr>
        <w:spacing w:after="0" w:line="127" w:lineRule="exact"/>
        <w:rPr>
          <w:sz w:val="20"/>
          <w:szCs w:val="20"/>
          <w:color w:val="auto"/>
        </w:rPr>
      </w:pPr>
    </w:p>
    <w:p>
      <w:pPr>
        <w:ind w:right="7480" w:firstLine="8"/>
        <w:spacing w:after="0" w:line="363" w:lineRule="auto"/>
        <w:tabs>
          <w:tab w:leader="none" w:pos="351" w:val="left"/>
        </w:tabs>
        <w:numPr>
          <w:ilvl w:val="0"/>
          <w:numId w:val="98"/>
        </w:numPr>
        <w:rPr>
          <w:rFonts w:ascii="Arial" w:cs="Arial" w:eastAsia="Arial" w:hAnsi="Arial"/>
          <w:sz w:val="22"/>
          <w:szCs w:val="22"/>
          <w:b w:val="1"/>
          <w:bCs w:val="1"/>
          <w:color w:val="582C83"/>
        </w:rPr>
      </w:pPr>
      <w:r>
        <w:rPr>
          <w:rFonts w:ascii="Arial" w:cs="Arial" w:eastAsia="Arial" w:hAnsi="Arial"/>
          <w:sz w:val="22"/>
          <w:szCs w:val="22"/>
          <w:b w:val="1"/>
          <w:bCs w:val="1"/>
          <w:color w:val="582C83"/>
        </w:rPr>
        <w:t xml:space="preserve">May I change or revoke my vote? </w:t>
      </w:r>
      <w:r>
        <w:rPr>
          <w:rFonts w:ascii="Arial" w:cs="Arial" w:eastAsia="Arial" w:hAnsi="Arial"/>
          <w:sz w:val="22"/>
          <w:szCs w:val="22"/>
          <w:color w:val="000000"/>
        </w:rPr>
        <w:t>Yes.</w:t>
      </w:r>
    </w:p>
    <w:p>
      <w:pPr>
        <w:spacing w:after="0" w:line="2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If you are a </w:t>
      </w:r>
      <w:r>
        <w:rPr>
          <w:rFonts w:ascii="Arial" w:cs="Arial" w:eastAsia="Arial" w:hAnsi="Arial"/>
          <w:sz w:val="22"/>
          <w:szCs w:val="22"/>
          <w:i w:val="1"/>
          <w:iCs w:val="1"/>
          <w:color w:val="auto"/>
        </w:rPr>
        <w:t>registered shareholder</w:t>
      </w:r>
      <w:r>
        <w:rPr>
          <w:rFonts w:ascii="Arial" w:cs="Arial" w:eastAsia="Arial" w:hAnsi="Arial"/>
          <w:sz w:val="22"/>
          <w:szCs w:val="22"/>
          <w:color w:val="auto"/>
        </w:rPr>
        <w:t>, any subsequent vote you cast will replace your earlier vote. This applies whether you vote by mailing a proxy card or via QR barcode, telephone or the Internet. You may also revoke an earlier vote by voting in person or online at the Annual Meeting prior to the closing of the polls. Alternatively, you may revoke your proxy by submitting a written revocation to the Corporate Secretary at Mondelēz International, Inc., 905 West Fulton Market, Suite 200, Chicago, Illinois 60607.</w:t>
      </w:r>
    </w:p>
    <w:p>
      <w:pPr>
        <w:spacing w:after="0" w:line="150" w:lineRule="exact"/>
        <w:rPr>
          <w:sz w:val="20"/>
          <w:szCs w:val="20"/>
          <w:color w:val="auto"/>
        </w:rPr>
      </w:pPr>
    </w:p>
    <w:p>
      <w:pPr>
        <w:ind w:right="260"/>
        <w:spacing w:after="0" w:line="259" w:lineRule="auto"/>
        <w:rPr>
          <w:sz w:val="20"/>
          <w:szCs w:val="20"/>
          <w:color w:val="auto"/>
        </w:rPr>
      </w:pPr>
      <w:r>
        <w:rPr>
          <w:rFonts w:ascii="Arial" w:cs="Arial" w:eastAsia="Arial" w:hAnsi="Arial"/>
          <w:sz w:val="22"/>
          <w:szCs w:val="22"/>
          <w:color w:val="auto"/>
        </w:rPr>
        <w:t xml:space="preserve">If you are a </w:t>
      </w:r>
      <w:r>
        <w:rPr>
          <w:rFonts w:ascii="Arial" w:cs="Arial" w:eastAsia="Arial" w:hAnsi="Arial"/>
          <w:sz w:val="22"/>
          <w:szCs w:val="22"/>
          <w:i w:val="1"/>
          <w:iCs w:val="1"/>
          <w:color w:val="auto"/>
        </w:rPr>
        <w:t>beneficial shareholder</w:t>
      </w:r>
      <w:r>
        <w:rPr>
          <w:rFonts w:ascii="Arial" w:cs="Arial" w:eastAsia="Arial" w:hAnsi="Arial"/>
          <w:sz w:val="22"/>
          <w:szCs w:val="22"/>
          <w:color w:val="auto"/>
        </w:rPr>
        <w:t>, you must contact your broker, bank or other nominee for specific instructions on how to change or revoke your vote.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11. What is the quorum requirement for the Annual Meeting?</w:t>
      </w:r>
    </w:p>
    <w:p>
      <w:pPr>
        <w:spacing w:after="0" w:line="100" w:lineRule="exact"/>
        <w:rPr>
          <w:sz w:val="20"/>
          <w:szCs w:val="20"/>
          <w:color w:val="auto"/>
        </w:rPr>
      </w:pPr>
    </w:p>
    <w:p>
      <w:pPr>
        <w:jc w:val="both"/>
        <w:ind w:right="300"/>
        <w:spacing w:after="0" w:line="245" w:lineRule="auto"/>
        <w:rPr>
          <w:sz w:val="20"/>
          <w:szCs w:val="20"/>
          <w:color w:val="auto"/>
        </w:rPr>
      </w:pPr>
      <w:r>
        <w:rPr>
          <w:rFonts w:ascii="Arial" w:cs="Arial" w:eastAsia="Arial" w:hAnsi="Arial"/>
          <w:sz w:val="22"/>
          <w:szCs w:val="22"/>
          <w:color w:val="auto"/>
        </w:rPr>
        <w:t>We need a quorum of shareholders to validly hold the Annual Meeting. A quorum will be present if a majority of the outstanding shares of Common Stock entitled to vote as of the Record Date is represented at the Annual Meeting, either online or by proxy.</w:t>
      </w:r>
    </w:p>
    <w:p>
      <w:pPr>
        <w:spacing w:after="0" w:line="143" w:lineRule="exact"/>
        <w:rPr>
          <w:sz w:val="20"/>
          <w:szCs w:val="20"/>
          <w:color w:val="auto"/>
        </w:rPr>
      </w:pPr>
    </w:p>
    <w:p>
      <w:pPr>
        <w:ind w:right="360"/>
        <w:spacing w:after="0" w:line="259" w:lineRule="auto"/>
        <w:rPr>
          <w:sz w:val="20"/>
          <w:szCs w:val="20"/>
          <w:color w:val="auto"/>
        </w:rPr>
      </w:pPr>
      <w:r>
        <w:rPr>
          <w:rFonts w:ascii="Arial" w:cs="Arial" w:eastAsia="Arial" w:hAnsi="Arial"/>
          <w:sz w:val="22"/>
          <w:szCs w:val="22"/>
          <w:color w:val="auto"/>
        </w:rPr>
        <w:t>Abstentions and broker non-votes (described in Question 15 below) will be counted for the purpose of determining whether a quorum is present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12. How do I vote my shares?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you are a </w:t>
      </w:r>
      <w:r>
        <w:rPr>
          <w:rFonts w:ascii="Arial" w:cs="Arial" w:eastAsia="Arial" w:hAnsi="Arial"/>
          <w:sz w:val="22"/>
          <w:szCs w:val="22"/>
          <w:i w:val="1"/>
          <w:iCs w:val="1"/>
          <w:color w:val="auto"/>
        </w:rPr>
        <w:t>registered shareholder</w:t>
      </w:r>
      <w:r>
        <w:rPr>
          <w:rFonts w:ascii="Arial" w:cs="Arial" w:eastAsia="Arial" w:hAnsi="Arial"/>
          <w:sz w:val="22"/>
          <w:szCs w:val="22"/>
          <w:color w:val="auto"/>
        </w:rPr>
        <w:t>, you may vote any of these four ways:</w:t>
      </w:r>
    </w:p>
    <w:p>
      <w:pPr>
        <w:spacing w:after="0" w:line="179" w:lineRule="exact"/>
        <w:rPr>
          <w:sz w:val="20"/>
          <w:szCs w:val="20"/>
          <w:color w:val="auto"/>
        </w:rPr>
      </w:pPr>
    </w:p>
    <w:p>
      <w:pPr>
        <w:ind w:left="220" w:right="600" w:hanging="212"/>
        <w:spacing w:after="0" w:line="283" w:lineRule="auto"/>
        <w:tabs>
          <w:tab w:leader="none" w:pos="220" w:val="left"/>
        </w:tabs>
        <w:numPr>
          <w:ilvl w:val="0"/>
          <w:numId w:val="99"/>
        </w:numPr>
        <w:rPr>
          <w:rFonts w:ascii="Arial" w:cs="Arial" w:eastAsia="Arial" w:hAnsi="Arial"/>
          <w:sz w:val="21"/>
          <w:szCs w:val="21"/>
          <w:color w:val="582C83"/>
        </w:rPr>
      </w:pPr>
      <w:r>
        <w:rPr>
          <w:rFonts w:ascii="Arial" w:cs="Arial" w:eastAsia="Arial" w:hAnsi="Arial"/>
          <w:sz w:val="21"/>
          <w:szCs w:val="21"/>
          <w:color w:val="auto"/>
        </w:rPr>
        <w:t xml:space="preserve">online before the Annual Meeting at </w:t>
      </w:r>
      <w:r>
        <w:rPr>
          <w:rFonts w:ascii="Arial" w:cs="Arial" w:eastAsia="Arial" w:hAnsi="Arial"/>
          <w:sz w:val="21"/>
          <w:szCs w:val="21"/>
          <w:i w:val="1"/>
          <w:iCs w:val="1"/>
          <w:color w:val="582C83"/>
        </w:rPr>
        <w:t>www.proxyvote.com</w:t>
      </w:r>
      <w:r>
        <w:rPr>
          <w:rFonts w:ascii="Arial" w:cs="Arial" w:eastAsia="Arial" w:hAnsi="Arial"/>
          <w:sz w:val="21"/>
          <w:szCs w:val="21"/>
          <w:color w:val="auto"/>
        </w:rPr>
        <w:t xml:space="preserve"> or scan the QR barcode provided (control number is required). The Internet voting system will be available 24 hours a day until 11:59 p.m. EDT on May 17, 2022;</w:t>
      </w:r>
    </w:p>
    <w:p>
      <w:pPr>
        <w:spacing w:after="0" w:line="24" w:lineRule="exact"/>
        <w:rPr>
          <w:rFonts w:ascii="Arial" w:cs="Arial" w:eastAsia="Arial" w:hAnsi="Arial"/>
          <w:sz w:val="21"/>
          <w:szCs w:val="21"/>
          <w:color w:val="582C83"/>
        </w:rPr>
      </w:pPr>
    </w:p>
    <w:p>
      <w:pPr>
        <w:ind w:left="220" w:right="100" w:hanging="212"/>
        <w:spacing w:after="0" w:line="245" w:lineRule="auto"/>
        <w:tabs>
          <w:tab w:leader="none" w:pos="220" w:val="left"/>
        </w:tabs>
        <w:numPr>
          <w:ilvl w:val="0"/>
          <w:numId w:val="99"/>
        </w:numPr>
        <w:rPr>
          <w:rFonts w:ascii="Arial" w:cs="Arial" w:eastAsia="Arial" w:hAnsi="Arial"/>
          <w:sz w:val="22"/>
          <w:szCs w:val="22"/>
          <w:color w:val="582C83"/>
        </w:rPr>
      </w:pPr>
      <w:r>
        <w:rPr>
          <w:rFonts w:ascii="Arial" w:cs="Arial" w:eastAsia="Arial" w:hAnsi="Arial"/>
          <w:sz w:val="22"/>
          <w:szCs w:val="22"/>
          <w:color w:val="auto"/>
        </w:rPr>
        <w:t>by telephone, if you are located within the United States and Canada. Call 1-800-690-6903 (toll-free) from a touch-tone telephone. The telephone voting system will be available 24 hours a day until 11:59 p.m. EDT on May 17, 2022;</w:t>
      </w:r>
    </w:p>
    <w:p>
      <w:pPr>
        <w:spacing w:after="0" w:line="62" w:lineRule="exact"/>
        <w:rPr>
          <w:rFonts w:ascii="Arial" w:cs="Arial" w:eastAsia="Arial" w:hAnsi="Arial"/>
          <w:sz w:val="22"/>
          <w:szCs w:val="22"/>
          <w:color w:val="582C83"/>
        </w:rPr>
      </w:pPr>
    </w:p>
    <w:p>
      <w:pPr>
        <w:ind w:left="220" w:right="140" w:hanging="212"/>
        <w:spacing w:after="0" w:line="259" w:lineRule="auto"/>
        <w:tabs>
          <w:tab w:leader="none" w:pos="220" w:val="left"/>
        </w:tabs>
        <w:numPr>
          <w:ilvl w:val="0"/>
          <w:numId w:val="99"/>
        </w:numPr>
        <w:rPr>
          <w:rFonts w:ascii="Arial" w:cs="Arial" w:eastAsia="Arial" w:hAnsi="Arial"/>
          <w:sz w:val="22"/>
          <w:szCs w:val="22"/>
          <w:color w:val="582C83"/>
        </w:rPr>
      </w:pPr>
      <w:r>
        <w:rPr>
          <w:rFonts w:ascii="Arial" w:cs="Arial" w:eastAsia="Arial" w:hAnsi="Arial"/>
          <w:sz w:val="22"/>
          <w:szCs w:val="22"/>
          <w:color w:val="auto"/>
        </w:rPr>
        <w:t>by returning a properly executed proxy card. We must receive your proxy card before the polls close at the Annual Meeting on May 18, 2022; or</w:t>
      </w:r>
    </w:p>
    <w:p>
      <w:pPr>
        <w:spacing w:after="0" w:line="48" w:lineRule="exact"/>
        <w:rPr>
          <w:rFonts w:ascii="Arial" w:cs="Arial" w:eastAsia="Arial" w:hAnsi="Arial"/>
          <w:sz w:val="22"/>
          <w:szCs w:val="22"/>
          <w:color w:val="582C83"/>
        </w:rPr>
      </w:pPr>
    </w:p>
    <w:p>
      <w:pPr>
        <w:ind w:left="220" w:right="180" w:hanging="212"/>
        <w:spacing w:after="0" w:line="245" w:lineRule="auto"/>
        <w:tabs>
          <w:tab w:leader="none" w:pos="220" w:val="left"/>
        </w:tabs>
        <w:numPr>
          <w:ilvl w:val="0"/>
          <w:numId w:val="99"/>
        </w:numPr>
        <w:rPr>
          <w:rFonts w:ascii="Arial" w:cs="Arial" w:eastAsia="Arial" w:hAnsi="Arial"/>
          <w:sz w:val="22"/>
          <w:szCs w:val="22"/>
          <w:color w:val="582C83"/>
        </w:rPr>
      </w:pPr>
      <w:r>
        <w:rPr>
          <w:rFonts w:ascii="Arial" w:cs="Arial" w:eastAsia="Arial" w:hAnsi="Arial"/>
          <w:sz w:val="22"/>
          <w:szCs w:val="22"/>
          <w:color w:val="auto"/>
        </w:rPr>
        <w:t xml:space="preserve">online during the Annual Meeting through the online portal hosting the virtual Annual Meeting. Please log in to </w:t>
      </w:r>
      <w:r>
        <w:rPr>
          <w:rFonts w:ascii="Arial" w:cs="Arial" w:eastAsia="Arial" w:hAnsi="Arial"/>
          <w:sz w:val="22"/>
          <w:szCs w:val="22"/>
          <w:i w:val="1"/>
          <w:iCs w:val="1"/>
          <w:color w:val="582C83"/>
        </w:rPr>
        <w:t>www.virtualshareholdermeeting.com/MDLZ202</w:t>
      </w:r>
      <w:r>
        <w:rPr>
          <w:rFonts w:ascii="Arial" w:cs="Arial" w:eastAsia="Arial" w:hAnsi="Arial"/>
          <w:sz w:val="22"/>
          <w:szCs w:val="22"/>
          <w:color w:val="000000"/>
        </w:rPr>
        <w:t>2 using the 16-digit control number that is shown on your Notice or</w:t>
      </w:r>
      <w:r>
        <w:rPr>
          <w:rFonts w:ascii="Arial" w:cs="Arial" w:eastAsia="Arial" w:hAnsi="Arial"/>
          <w:sz w:val="22"/>
          <w:szCs w:val="22"/>
          <w:i w:val="1"/>
          <w:iCs w:val="1"/>
          <w:color w:val="582C83"/>
        </w:rPr>
        <w:t xml:space="preserve"> </w:t>
      </w:r>
      <w:r>
        <w:rPr>
          <w:rFonts w:ascii="Arial" w:cs="Arial" w:eastAsia="Arial" w:hAnsi="Arial"/>
          <w:sz w:val="22"/>
          <w:szCs w:val="22"/>
          <w:color w:val="000000"/>
        </w:rPr>
        <w:t>proxy card.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you are a </w:t>
      </w:r>
      <w:r>
        <w:rPr>
          <w:rFonts w:ascii="Arial" w:cs="Arial" w:eastAsia="Arial" w:hAnsi="Arial"/>
          <w:sz w:val="22"/>
          <w:szCs w:val="22"/>
          <w:i w:val="1"/>
          <w:iCs w:val="1"/>
          <w:color w:val="auto"/>
        </w:rPr>
        <w:t>beneficial shareholder</w:t>
      </w:r>
      <w:r>
        <w:rPr>
          <w:rFonts w:ascii="Arial" w:cs="Arial" w:eastAsia="Arial" w:hAnsi="Arial"/>
          <w:sz w:val="22"/>
          <w:szCs w:val="22"/>
          <w:color w:val="auto"/>
        </w:rPr>
        <w:t>, you may vote any of these four ways:</w:t>
      </w:r>
    </w:p>
    <w:p>
      <w:pPr>
        <w:spacing w:after="0" w:line="179" w:lineRule="exact"/>
        <w:rPr>
          <w:sz w:val="20"/>
          <w:szCs w:val="20"/>
          <w:color w:val="auto"/>
        </w:rPr>
      </w:pPr>
    </w:p>
    <w:p>
      <w:pPr>
        <w:ind w:left="220" w:right="200" w:hanging="212"/>
        <w:spacing w:after="0" w:line="245" w:lineRule="auto"/>
        <w:tabs>
          <w:tab w:leader="none" w:pos="220" w:val="left"/>
        </w:tabs>
        <w:numPr>
          <w:ilvl w:val="0"/>
          <w:numId w:val="100"/>
        </w:numPr>
        <w:rPr>
          <w:rFonts w:ascii="Arial" w:cs="Arial" w:eastAsia="Arial" w:hAnsi="Arial"/>
          <w:sz w:val="22"/>
          <w:szCs w:val="22"/>
          <w:color w:val="582C83"/>
        </w:rPr>
      </w:pPr>
      <w:r>
        <w:rPr>
          <w:rFonts w:ascii="Arial" w:cs="Arial" w:eastAsia="Arial" w:hAnsi="Arial"/>
          <w:sz w:val="22"/>
          <w:szCs w:val="22"/>
          <w:color w:val="auto"/>
        </w:rPr>
        <w:t xml:space="preserve">online before the Annual Meeting at </w:t>
      </w:r>
      <w:r>
        <w:rPr>
          <w:rFonts w:ascii="Arial" w:cs="Arial" w:eastAsia="Arial" w:hAnsi="Arial"/>
          <w:sz w:val="22"/>
          <w:szCs w:val="22"/>
          <w:i w:val="1"/>
          <w:iCs w:val="1"/>
          <w:color w:val="582C83"/>
        </w:rPr>
        <w:t>www.proxyvote.com</w:t>
      </w:r>
      <w:r>
        <w:rPr>
          <w:rFonts w:ascii="Arial" w:cs="Arial" w:eastAsia="Arial" w:hAnsi="Arial"/>
          <w:sz w:val="22"/>
          <w:szCs w:val="22"/>
          <w:color w:val="auto"/>
        </w:rPr>
        <w:t xml:space="preserve"> or scan the QR barcode provided (control number is required). The Internet voting system will be available 24 hours a day until 11:59 p.m. EDT on May 17, 2022 (May 13, 2022 for plan participants);</w:t>
      </w:r>
    </w:p>
    <w:p>
      <w:pPr>
        <w:spacing w:after="0" w:line="62" w:lineRule="exact"/>
        <w:rPr>
          <w:rFonts w:ascii="Arial" w:cs="Arial" w:eastAsia="Arial" w:hAnsi="Arial"/>
          <w:sz w:val="22"/>
          <w:szCs w:val="22"/>
          <w:color w:val="582C83"/>
        </w:rPr>
      </w:pPr>
    </w:p>
    <w:p>
      <w:pPr>
        <w:ind w:left="220" w:right="40" w:hanging="212"/>
        <w:spacing w:after="0" w:line="259" w:lineRule="auto"/>
        <w:tabs>
          <w:tab w:leader="none" w:pos="220" w:val="left"/>
        </w:tabs>
        <w:numPr>
          <w:ilvl w:val="0"/>
          <w:numId w:val="100"/>
        </w:numPr>
        <w:rPr>
          <w:rFonts w:ascii="Arial" w:cs="Arial" w:eastAsia="Arial" w:hAnsi="Arial"/>
          <w:sz w:val="22"/>
          <w:szCs w:val="22"/>
          <w:color w:val="582C83"/>
        </w:rPr>
      </w:pPr>
      <w:r>
        <w:rPr>
          <w:rFonts w:ascii="Arial" w:cs="Arial" w:eastAsia="Arial" w:hAnsi="Arial"/>
          <w:sz w:val="22"/>
          <w:szCs w:val="22"/>
          <w:color w:val="auto"/>
        </w:rPr>
        <w:t>by telephone, if you are located within the United States and Canada call 1-800-454-8683 (toll-free) or by the “vote-by-phone” number indicated on your VIF as instructed by your bank or broker;</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100"/>
        </w:numPr>
        <w:rPr>
          <w:rFonts w:ascii="Arial" w:cs="Arial" w:eastAsia="Arial" w:hAnsi="Arial"/>
          <w:sz w:val="22"/>
          <w:szCs w:val="22"/>
          <w:color w:val="582C83"/>
        </w:rPr>
      </w:pPr>
      <w:r>
        <w:rPr>
          <w:rFonts w:ascii="Arial" w:cs="Arial" w:eastAsia="Arial" w:hAnsi="Arial"/>
          <w:sz w:val="22"/>
          <w:szCs w:val="22"/>
          <w:color w:val="auto"/>
        </w:rPr>
        <w:t>by returning a properly executed VIF by mail specified by your broker, bank or other nominee; or</w:t>
      </w:r>
    </w:p>
    <w:p>
      <w:pPr>
        <w:spacing w:after="0" w:line="98" w:lineRule="exact"/>
        <w:rPr>
          <w:rFonts w:ascii="Arial" w:cs="Arial" w:eastAsia="Arial" w:hAnsi="Arial"/>
          <w:sz w:val="22"/>
          <w:szCs w:val="22"/>
          <w:color w:val="582C83"/>
        </w:rPr>
      </w:pPr>
    </w:p>
    <w:p>
      <w:pPr>
        <w:ind w:left="220" w:right="380" w:hanging="212"/>
        <w:spacing w:after="0" w:line="245" w:lineRule="auto"/>
        <w:tabs>
          <w:tab w:leader="none" w:pos="220" w:val="left"/>
        </w:tabs>
        <w:numPr>
          <w:ilvl w:val="0"/>
          <w:numId w:val="100"/>
        </w:numPr>
        <w:rPr>
          <w:rFonts w:ascii="Arial" w:cs="Arial" w:eastAsia="Arial" w:hAnsi="Arial"/>
          <w:sz w:val="22"/>
          <w:szCs w:val="22"/>
          <w:color w:val="582C83"/>
        </w:rPr>
      </w:pPr>
      <w:r>
        <w:rPr>
          <w:rFonts w:ascii="Arial" w:cs="Arial" w:eastAsia="Arial" w:hAnsi="Arial"/>
          <w:sz w:val="22"/>
          <w:szCs w:val="22"/>
          <w:color w:val="auto"/>
        </w:rPr>
        <w:t xml:space="preserve">online during the Annual Meeting through the online portal hosting the virtual Annual Meeting. Please log in to </w:t>
      </w:r>
      <w:r>
        <w:rPr>
          <w:rFonts w:ascii="Arial" w:cs="Arial" w:eastAsia="Arial" w:hAnsi="Arial"/>
          <w:sz w:val="22"/>
          <w:szCs w:val="22"/>
          <w:i w:val="1"/>
          <w:iCs w:val="1"/>
          <w:color w:val="582C83"/>
        </w:rPr>
        <w:t xml:space="preserve">www.virtualshareholdermeeting.com/MDLZ2022 </w:t>
      </w:r>
      <w:r>
        <w:rPr>
          <w:rFonts w:ascii="Arial" w:cs="Arial" w:eastAsia="Arial" w:hAnsi="Arial"/>
          <w:sz w:val="22"/>
          <w:szCs w:val="22"/>
          <w:color w:val="000000"/>
        </w:rPr>
        <w:t>using the 16-digit control number that is shown on your Notice,</w:t>
      </w:r>
      <w:r>
        <w:rPr>
          <w:rFonts w:ascii="Arial" w:cs="Arial" w:eastAsia="Arial" w:hAnsi="Arial"/>
          <w:sz w:val="22"/>
          <w:szCs w:val="22"/>
          <w:i w:val="1"/>
          <w:iCs w:val="1"/>
          <w:color w:val="582C83"/>
        </w:rPr>
        <w:t xml:space="preserve"> </w:t>
      </w:r>
      <w:r>
        <w:rPr>
          <w:rFonts w:ascii="Arial" w:cs="Arial" w:eastAsia="Arial" w:hAnsi="Arial"/>
          <w:sz w:val="22"/>
          <w:szCs w:val="22"/>
          <w:color w:val="000000"/>
        </w:rPr>
        <w:t>your VIF or your power of attorney issued by your bank or broker.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13. What vote is needed to elect directors?</w:t>
      </w:r>
    </w:p>
    <w:p>
      <w:pPr>
        <w:spacing w:after="0" w:line="100" w:lineRule="exact"/>
        <w:rPr>
          <w:sz w:val="20"/>
          <w:szCs w:val="20"/>
          <w:color w:val="auto"/>
        </w:rPr>
      </w:pPr>
    </w:p>
    <w:p>
      <w:pPr>
        <w:jc w:val="both"/>
        <w:ind w:right="100"/>
        <w:spacing w:after="0" w:line="262" w:lineRule="auto"/>
        <w:rPr>
          <w:sz w:val="20"/>
          <w:szCs w:val="20"/>
          <w:color w:val="auto"/>
        </w:rPr>
      </w:pPr>
      <w:r>
        <w:rPr>
          <w:rFonts w:ascii="Arial" w:cs="Arial" w:eastAsia="Arial" w:hAnsi="Arial"/>
          <w:sz w:val="21"/>
          <w:szCs w:val="21"/>
          <w:color w:val="auto"/>
        </w:rPr>
        <w:t>To be elected in an uncontested election such as at this Annual Meeting, a director nominee must receive a majority of the votes cast – i.e., more votes FOR than AGAINST. Abstentions and broker non-votes (described in Question 15 below) are not considered as votes cast and will have no effect on the vote outcome for these matters.</w:t>
      </w:r>
    </w:p>
    <w:p>
      <w:pPr>
        <w:spacing w:after="0" w:line="127"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In an uncontested election, if an incumbent director nominated for re-election receives a greater number of votes AGAINST than votes FOR, the director must tender his or her resignation to the Governance Committee for its consideration following certification of the election results. The Governance Committee then will recommend to the Board whether to accept the resignation. The director will continue to serve until the Board decides whether to accept the resignation but will not participate in the committee’s recommendation or the Board’s action regarding whether to accept the resignation offer. The Board considers all factors it deems relevant to the Company’s best interests and will publicly disclose its decision and rationale within 90 days after certification of the election results. If the Board does not accept the director’s resignation, the director will continue to serve until the next annual meeting of shareholders or until the director’s successor is duly elected and qualified.</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14. What vote is needed to approve the other proposals?</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21"/>
          <w:szCs w:val="21"/>
          <w:color w:val="auto"/>
        </w:rPr>
        <w:t>Approval of each of Item 2 (Advisory Vote to Approve Executive Compensation), Item 3 (Ratification of the Selection of the Independent Registered Public Accountants) and Items 4 and 5 (Shareholder Proposals) also require a majority of votes cast – i.e., more votes FOR than AGAINST. Abstentions and broker non-votes (described in Question 15 below) are not considered as votes cast and will have no effect on the vote outcome for Items 2, 4 and 5. There should not be any broker non-votes with respect to Item 3 (as explained in Question 15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15. What are broker non-votes?</w:t>
      </w:r>
    </w:p>
    <w:p>
      <w:pPr>
        <w:spacing w:after="0" w:line="100"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If you are a beneficial shareholder, your vote instructs your broker, bank or other nominee, as the holder of record, how to vote your shares. If you do not provide voting instructions to your broker, bank or other nominee, your nominee has discretion to vote your shares only on matters classified as “routine” under stock exchange rules. The ratification of the selection of the independent registered public accountants (Item 3) is the only item on the agenda for the Annual Meeting that is considered routine. If you do not provide voting instructions to your broker or other nominee, your nominee may vote your shares only on Item 3. In that case, your shares will count toward the quorum for the Annual Meeting and be voted on Item 3, but they will not be voted on Items 1, 2, 4 and 5 and any other matters that may come to vote at the Annual Meeting, resulting in “broker non-votes.”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16. Who bears the cost of soliciting votes for the Annual Meeting?</w:t>
      </w:r>
    </w:p>
    <w:p>
      <w:pPr>
        <w:spacing w:after="0" w:line="100" w:lineRule="exact"/>
        <w:rPr>
          <w:sz w:val="20"/>
          <w:szCs w:val="20"/>
          <w:color w:val="auto"/>
        </w:rPr>
      </w:pPr>
    </w:p>
    <w:p>
      <w:pPr>
        <w:ind w:right="620"/>
        <w:spacing w:after="0" w:line="245" w:lineRule="auto"/>
        <w:rPr>
          <w:sz w:val="20"/>
          <w:szCs w:val="20"/>
          <w:color w:val="auto"/>
        </w:rPr>
      </w:pPr>
      <w:r>
        <w:rPr>
          <w:rFonts w:ascii="Arial" w:cs="Arial" w:eastAsia="Arial" w:hAnsi="Arial"/>
          <w:sz w:val="22"/>
          <w:szCs w:val="22"/>
          <w:color w:val="auto"/>
        </w:rPr>
        <w:t>The Company bears the cost of soliciting your vote. The Company’s directors, officers or employees may solicit proxies or votes in person, by telephone or by electronic communication. They will not receive any additional compensation for these solicitation activities.</w:t>
      </w:r>
    </w:p>
    <w:p>
      <w:pPr>
        <w:spacing w:after="0" w:line="143"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The Company will enlist the help of banks, brokers and other nominee holders in soliciting proxies for the Annual Meeting from their customers (i.e., beneficial shareholders) and reimburse those firms for related out-of-pocket expenses. We retained Morrow Sodali LLC to aid in soliciting votes for the Annual Meeting for a fee not to exceed $30,000 plus reasonable expenses.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17. What is Householding?</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have adopted procedures that allow us to deliver proxy materials more cost effectively. If you are a beneficial shareholder and you and other residents at your mailing address share the same last name and also own shares of Common Stock in an account at the same broker, bank or other nominee, your nominee delivered a single Notice or set of proxy materials to your address, unless you provided contrary instructions. This method of delivery is known as householding. Householding reduces the number of mailings you receive, saves on printing and postage costs, and helps the environment. Shareholders participating in householding continue to receive separate proxy cards and control numbers for voting electronically.</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A shareholder who received a single Notice or set of proxy materials to a shared address may request a separate copy of the Notice or proxy materials by contacting in writing Broadridge Financial Solutions, Inc., Householding Department at 51 Mercedes Way, Edgewood, New York, 11717, or calling 1-866-540-7095. We will deliver promptly a separate copy of the Notice or proxy materials to a shareholder at a shared address to which a single copy was delivered, if requested. If you would like to opt out of householding for future deliveries of proxy materials, please contact your broker, bank or other nominee.</w:t>
      </w:r>
    </w:p>
    <w:p>
      <w:pPr>
        <w:spacing w:after="0" w:line="155" w:lineRule="exact"/>
        <w:rPr>
          <w:sz w:val="20"/>
          <w:szCs w:val="20"/>
          <w:color w:val="auto"/>
        </w:rPr>
      </w:pPr>
    </w:p>
    <w:p>
      <w:pPr>
        <w:ind w:right="140"/>
        <w:spacing w:after="0" w:line="245" w:lineRule="auto"/>
        <w:rPr>
          <w:sz w:val="20"/>
          <w:szCs w:val="20"/>
          <w:color w:val="auto"/>
        </w:rPr>
      </w:pPr>
      <w:r>
        <w:rPr>
          <w:rFonts w:ascii="Arial" w:cs="Arial" w:eastAsia="Arial" w:hAnsi="Arial"/>
          <w:sz w:val="22"/>
          <w:szCs w:val="22"/>
          <w:i w:val="1"/>
          <w:iCs w:val="1"/>
          <w:color w:val="auto"/>
        </w:rPr>
        <w:t xml:space="preserve">Beneficial shareholders </w:t>
      </w:r>
      <w:r>
        <w:rPr>
          <w:rFonts w:ascii="Arial" w:cs="Arial" w:eastAsia="Arial" w:hAnsi="Arial"/>
          <w:sz w:val="22"/>
          <w:szCs w:val="22"/>
          <w:color w:val="auto"/>
        </w:rPr>
        <w:t>who share an address and receive multiple copies of the proxy materials but want to receive</w:t>
      </w:r>
      <w:r>
        <w:rPr>
          <w:rFonts w:ascii="Arial" w:cs="Arial" w:eastAsia="Arial" w:hAnsi="Arial"/>
          <w:sz w:val="22"/>
          <w:szCs w:val="22"/>
          <w:i w:val="1"/>
          <w:iCs w:val="1"/>
          <w:color w:val="auto"/>
        </w:rPr>
        <w:t xml:space="preserve"> </w:t>
      </w:r>
      <w:r>
        <w:rPr>
          <w:rFonts w:ascii="Arial" w:cs="Arial" w:eastAsia="Arial" w:hAnsi="Arial"/>
          <w:sz w:val="22"/>
          <w:szCs w:val="22"/>
          <w:color w:val="auto"/>
        </w:rPr>
        <w:t>only a single copy of these materials in the future should contact their broker, bank or other nominee and make this request.</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 xml:space="preserve">If you are a </w:t>
      </w:r>
      <w:r>
        <w:rPr>
          <w:rFonts w:ascii="Arial" w:cs="Arial" w:eastAsia="Arial" w:hAnsi="Arial"/>
          <w:sz w:val="22"/>
          <w:szCs w:val="22"/>
          <w:i w:val="1"/>
          <w:iCs w:val="1"/>
          <w:color w:val="auto"/>
        </w:rPr>
        <w:t>registered shareholder</w:t>
      </w:r>
      <w:r>
        <w:rPr>
          <w:rFonts w:ascii="Arial" w:cs="Arial" w:eastAsia="Arial" w:hAnsi="Arial"/>
          <w:sz w:val="22"/>
          <w:szCs w:val="22"/>
          <w:color w:val="auto"/>
        </w:rPr>
        <w:t xml:space="preserve"> or hold your shares in an employee benefit plan, we sent you and each registered or plan shareholder at your address separate Notices or sets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18. Are my votes confidential?</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Yes. Your votes will not be disclosed to our directors, officers or employees except:</w:t>
      </w:r>
    </w:p>
    <w:p>
      <w:pPr>
        <w:spacing w:after="0" w:line="179" w:lineRule="exact"/>
        <w:rPr>
          <w:sz w:val="20"/>
          <w:szCs w:val="20"/>
          <w:color w:val="auto"/>
        </w:rPr>
      </w:pPr>
    </w:p>
    <w:p>
      <w:pPr>
        <w:ind w:left="220" w:hanging="212"/>
        <w:spacing w:after="0"/>
        <w:tabs>
          <w:tab w:leader="none" w:pos="220" w:val="left"/>
        </w:tabs>
        <w:numPr>
          <w:ilvl w:val="0"/>
          <w:numId w:val="101"/>
        </w:numPr>
        <w:rPr>
          <w:rFonts w:ascii="Arial" w:cs="Arial" w:eastAsia="Arial" w:hAnsi="Arial"/>
          <w:sz w:val="22"/>
          <w:szCs w:val="22"/>
          <w:color w:val="582C83"/>
        </w:rPr>
      </w:pPr>
      <w:r>
        <w:rPr>
          <w:rFonts w:ascii="Arial" w:cs="Arial" w:eastAsia="Arial" w:hAnsi="Arial"/>
          <w:sz w:val="22"/>
          <w:szCs w:val="22"/>
          <w:color w:val="auto"/>
        </w:rPr>
        <w:t>as necessary to meet applicable legal requirements and to assert or defend claims for or against us;</w:t>
      </w:r>
    </w:p>
    <w:p>
      <w:pPr>
        <w:spacing w:after="0" w:line="98" w:lineRule="exact"/>
        <w:rPr>
          <w:rFonts w:ascii="Arial" w:cs="Arial" w:eastAsia="Arial" w:hAnsi="Arial"/>
          <w:sz w:val="22"/>
          <w:szCs w:val="22"/>
          <w:color w:val="582C83"/>
        </w:rPr>
      </w:pPr>
    </w:p>
    <w:p>
      <w:pPr>
        <w:ind w:left="220" w:hanging="212"/>
        <w:spacing w:after="0"/>
        <w:tabs>
          <w:tab w:leader="none" w:pos="220" w:val="left"/>
        </w:tabs>
        <w:numPr>
          <w:ilvl w:val="0"/>
          <w:numId w:val="101"/>
        </w:numPr>
        <w:rPr>
          <w:rFonts w:ascii="Arial" w:cs="Arial" w:eastAsia="Arial" w:hAnsi="Arial"/>
          <w:sz w:val="22"/>
          <w:szCs w:val="22"/>
          <w:color w:val="582C83"/>
        </w:rPr>
      </w:pPr>
      <w:r>
        <w:rPr>
          <w:rFonts w:ascii="Arial" w:cs="Arial" w:eastAsia="Arial" w:hAnsi="Arial"/>
          <w:sz w:val="22"/>
          <w:szCs w:val="22"/>
          <w:color w:val="auto"/>
        </w:rPr>
        <w:t>in the case of a contested proxy solicitation;</w:t>
      </w:r>
    </w:p>
    <w:p>
      <w:pPr>
        <w:spacing w:after="0" w:line="98" w:lineRule="exact"/>
        <w:rPr>
          <w:rFonts w:ascii="Arial" w:cs="Arial" w:eastAsia="Arial" w:hAnsi="Arial"/>
          <w:sz w:val="22"/>
          <w:szCs w:val="22"/>
          <w:color w:val="582C83"/>
        </w:rPr>
      </w:pPr>
    </w:p>
    <w:p>
      <w:pPr>
        <w:ind w:left="220" w:right="960" w:hanging="212"/>
        <w:spacing w:after="0" w:line="259" w:lineRule="auto"/>
        <w:tabs>
          <w:tab w:leader="none" w:pos="220" w:val="left"/>
        </w:tabs>
        <w:numPr>
          <w:ilvl w:val="0"/>
          <w:numId w:val="101"/>
        </w:numPr>
        <w:rPr>
          <w:rFonts w:ascii="Arial" w:cs="Arial" w:eastAsia="Arial" w:hAnsi="Arial"/>
          <w:sz w:val="22"/>
          <w:szCs w:val="22"/>
          <w:color w:val="582C83"/>
        </w:rPr>
      </w:pPr>
      <w:r>
        <w:rPr>
          <w:rFonts w:ascii="Arial" w:cs="Arial" w:eastAsia="Arial" w:hAnsi="Arial"/>
          <w:sz w:val="22"/>
          <w:szCs w:val="22"/>
          <w:color w:val="auto"/>
        </w:rPr>
        <w:t>if you provide a comment with your proxy or otherwise communicate your vote to us outside of the normal procedures; or</w:t>
      </w:r>
    </w:p>
    <w:p>
      <w:pPr>
        <w:spacing w:after="0" w:line="48" w:lineRule="exact"/>
        <w:rPr>
          <w:rFonts w:ascii="Arial" w:cs="Arial" w:eastAsia="Arial" w:hAnsi="Arial"/>
          <w:sz w:val="22"/>
          <w:szCs w:val="22"/>
          <w:color w:val="582C83"/>
        </w:rPr>
      </w:pPr>
    </w:p>
    <w:p>
      <w:pPr>
        <w:ind w:left="220" w:hanging="212"/>
        <w:spacing w:after="0"/>
        <w:tabs>
          <w:tab w:leader="none" w:pos="220" w:val="left"/>
        </w:tabs>
        <w:numPr>
          <w:ilvl w:val="0"/>
          <w:numId w:val="101"/>
        </w:numPr>
        <w:rPr>
          <w:rFonts w:ascii="Arial" w:cs="Arial" w:eastAsia="Arial" w:hAnsi="Arial"/>
          <w:sz w:val="22"/>
          <w:szCs w:val="22"/>
          <w:color w:val="582C83"/>
        </w:rPr>
      </w:pPr>
      <w:r>
        <w:rPr>
          <w:rFonts w:ascii="Arial" w:cs="Arial" w:eastAsia="Arial" w:hAnsi="Arial"/>
          <w:sz w:val="22"/>
          <w:szCs w:val="22"/>
          <w:color w:val="auto"/>
        </w:rPr>
        <w:t>as necessary to allow the inspector of election to certify the results.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19. Who counts the votes and certifies the voting results?</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22"/>
          <w:szCs w:val="22"/>
          <w:color w:val="auto"/>
        </w:rPr>
        <w:t>Broadridge Financial Solutions will receive and tabulate the proxies. Representatives of Hagberg Associates LLC will act as the inspectors of election and will certify the results.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20. How do I find out the voting results?</w:t>
      </w:r>
    </w:p>
    <w:p>
      <w:pPr>
        <w:spacing w:after="0" w:line="100" w:lineRule="exact"/>
        <w:rPr>
          <w:sz w:val="20"/>
          <w:szCs w:val="20"/>
          <w:color w:val="auto"/>
        </w:rPr>
      </w:pPr>
    </w:p>
    <w:p>
      <w:pPr>
        <w:ind w:right="380"/>
        <w:spacing w:after="0" w:line="245" w:lineRule="auto"/>
        <w:rPr>
          <w:sz w:val="20"/>
          <w:szCs w:val="20"/>
          <w:color w:val="auto"/>
        </w:rPr>
      </w:pPr>
      <w:r>
        <w:rPr>
          <w:rFonts w:ascii="Arial" w:cs="Arial" w:eastAsia="Arial" w:hAnsi="Arial"/>
          <w:sz w:val="22"/>
          <w:szCs w:val="22"/>
          <w:color w:val="auto"/>
        </w:rPr>
        <w:t xml:space="preserve">We expect to announce preliminary voting results at the Annual Meeting. We will disclose final voting results in a Current Report on Form 8-K to be filed with the SEC on or before May 24, 2022. The Form 8-K will be available at </w:t>
      </w:r>
      <w:r>
        <w:rPr>
          <w:rFonts w:ascii="Arial" w:cs="Arial" w:eastAsia="Arial" w:hAnsi="Arial"/>
          <w:sz w:val="22"/>
          <w:szCs w:val="22"/>
          <w:i w:val="1"/>
          <w:iCs w:val="1"/>
          <w:color w:val="582C83"/>
        </w:rPr>
        <w:t xml:space="preserve">http://ir.mondelezinternational.com/sec.cfm </w:t>
      </w:r>
      <w:r>
        <w:rPr>
          <w:rFonts w:ascii="Arial" w:cs="Arial" w:eastAsia="Arial" w:hAnsi="Arial"/>
          <w:sz w:val="22"/>
          <w:szCs w:val="22"/>
          <w:color w:val="000000"/>
        </w:rPr>
        <w:t>and on the SEC’s website at</w:t>
      </w:r>
      <w:r>
        <w:rPr>
          <w:rFonts w:ascii="Arial" w:cs="Arial" w:eastAsia="Arial" w:hAnsi="Arial"/>
          <w:sz w:val="22"/>
          <w:szCs w:val="22"/>
          <w:i w:val="1"/>
          <w:iCs w:val="1"/>
          <w:color w:val="582C83"/>
        </w:rPr>
        <w:t xml:space="preserve"> www.sec.gov</w:t>
      </w:r>
      <w:r>
        <w:rPr>
          <w:rFonts w:ascii="Arial" w:cs="Arial" w:eastAsia="Arial" w:hAnsi="Arial"/>
          <w:sz w:val="22"/>
          <w:szCs w:val="22"/>
          <w:i w:val="1"/>
          <w:iCs w:val="1"/>
          <w:color w:val="000000"/>
        </w:rPr>
        <w: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21. What do I need to do if I want to attend the Annual Meeting?</w:t>
      </w:r>
    </w:p>
    <w:p>
      <w:pPr>
        <w:spacing w:after="0" w:line="100"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 xml:space="preserve">The Annual Meeting will be a virtual meeting of shareholders. All shareholders of record as of March 14, 2022 may attend, vote and submit questions by visiting </w:t>
      </w:r>
      <w:r>
        <w:rPr>
          <w:rFonts w:ascii="Arial" w:cs="Arial" w:eastAsia="Arial" w:hAnsi="Arial"/>
          <w:sz w:val="22"/>
          <w:szCs w:val="22"/>
          <w:i w:val="1"/>
          <w:iCs w:val="1"/>
          <w:color w:val="582C83"/>
        </w:rPr>
        <w:t>www.virtualshareholdermeeting.com/MDLZ2022</w:t>
      </w:r>
      <w:r>
        <w:rPr>
          <w:rFonts w:ascii="Arial" w:cs="Arial" w:eastAsia="Arial" w:hAnsi="Arial"/>
          <w:sz w:val="22"/>
          <w:szCs w:val="22"/>
          <w:color w:val="auto"/>
        </w:rPr>
        <w:t xml:space="preserve"> and using the 16-digit control number that is shown on your Notice, proxy card or VIF. If you are not a shareholder or do not have a control number, you may still access the meeting as a guest but you will not be able to submit questions.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582C83"/>
        </w:rPr>
        <w:t>22. May I raise questions at the Annual Meeting?</w:t>
      </w:r>
    </w:p>
    <w:p>
      <w:pPr>
        <w:spacing w:after="0" w:line="100" w:lineRule="exact"/>
        <w:rPr>
          <w:sz w:val="20"/>
          <w:szCs w:val="20"/>
          <w:color w:val="auto"/>
        </w:rPr>
      </w:pPr>
    </w:p>
    <w:p>
      <w:pPr>
        <w:ind w:right="80"/>
        <w:spacing w:after="0" w:line="245" w:lineRule="auto"/>
        <w:rPr>
          <w:sz w:val="20"/>
          <w:szCs w:val="20"/>
          <w:color w:val="auto"/>
        </w:rPr>
      </w:pPr>
      <w:r>
        <w:rPr>
          <w:rFonts w:ascii="Arial" w:cs="Arial" w:eastAsia="Arial" w:hAnsi="Arial"/>
          <w:sz w:val="21"/>
          <w:szCs w:val="21"/>
          <w:color w:val="auto"/>
        </w:rPr>
        <w:t xml:space="preserve">Yes. Shareholders will have the opportunity to ask questions or make comments related to the matters being voted on. They may submit questions via </w:t>
      </w:r>
      <w:r>
        <w:rPr>
          <w:rFonts w:ascii="Arial" w:cs="Arial" w:eastAsia="Arial" w:hAnsi="Arial"/>
          <w:sz w:val="21"/>
          <w:szCs w:val="21"/>
          <w:i w:val="1"/>
          <w:iCs w:val="1"/>
          <w:color w:val="582C83"/>
        </w:rPr>
        <w:t>www.virtualshareholdermeeting.com/MDLZ2022</w:t>
      </w:r>
      <w:r>
        <w:rPr>
          <w:rFonts w:ascii="Arial" w:cs="Arial" w:eastAsia="Arial" w:hAnsi="Arial"/>
          <w:sz w:val="21"/>
          <w:szCs w:val="21"/>
          <w:color w:val="auto"/>
        </w:rPr>
        <w:t>. Shareholders must have their 16-digit control number to submit questions via the online portal. In addition, after the business portion of the Annual Meeting concludes and the meeting is adjourned, shareholders will have another opportunity to raise questions of a more general nature. We intend to answer during the Annual Meeting all questions that are pertinent to the Company and the items being voted on by shareholders, as time permits and in accordance with our meeting procedures. Answers to questions not addressed during the Annual Meeting will be posted following the meeting on the investor relations section of our website. Questions and answers will be grouped by topic and substantially similar questions will be answered only once. To promote fairness, efficiently use the Company’s resources and address all shareholder questions, we will respond to no more than three questions from any single shareholder. Questions that are irrelevant to our business or the conduct of our operations, related to pending or threatened litigation, derogatory, not in good taste, related to personal grievances or otherwise inappropriate will not be addressed.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5"/>
          <w:szCs w:val="45"/>
          <w:b w:val="1"/>
          <w:bCs w:val="1"/>
          <w:color w:val="58358F"/>
        </w:rPr>
        <w:t>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0" w:right="460"/>
        <w:spacing w:after="0" w:line="259" w:lineRule="auto"/>
        <w:rPr>
          <w:sz w:val="20"/>
          <w:szCs w:val="20"/>
          <w:color w:val="auto"/>
        </w:rPr>
      </w:pPr>
      <w:r>
        <w:rPr>
          <w:rFonts w:ascii="Arial" w:cs="Arial" w:eastAsia="Arial" w:hAnsi="Arial"/>
          <w:sz w:val="22"/>
          <w:szCs w:val="22"/>
          <w:color w:val="auto"/>
        </w:rPr>
        <w:t>We currently anticipate holding the 2023 Annual Meeting of Shareholders on approximately the same date as this year’s Annual Meeting.</w:t>
      </w:r>
    </w:p>
    <w:p>
      <w:pPr>
        <w:spacing w:after="0" w:line="139" w:lineRule="exact"/>
        <w:rPr>
          <w:sz w:val="20"/>
          <w:szCs w:val="20"/>
          <w:color w:val="auto"/>
        </w:rPr>
      </w:pPr>
    </w:p>
    <w:p>
      <w:pPr>
        <w:ind w:left="700" w:right="1580" w:hanging="350"/>
        <w:spacing w:after="0"/>
        <w:rPr>
          <w:sz w:val="20"/>
          <w:szCs w:val="20"/>
          <w:color w:val="auto"/>
        </w:rPr>
      </w:pPr>
      <w:r>
        <w:rPr>
          <w:sz w:val="1"/>
          <w:szCs w:val="1"/>
          <w:color w:val="auto"/>
        </w:rPr>
        <w:drawing>
          <wp:inline distT="0" distB="0" distL="0" distR="0">
            <wp:extent cx="171450" cy="17145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Shareholder Nominations and Proposals for the 2023 Annual Meeting</w:t>
      </w:r>
    </w:p>
    <w:p>
      <w:pPr>
        <w:spacing w:after="0" w:line="168" w:lineRule="exact"/>
        <w:rPr>
          <w:sz w:val="20"/>
          <w:szCs w:val="20"/>
          <w:color w:val="auto"/>
        </w:rPr>
      </w:pPr>
    </w:p>
    <w:p>
      <w:pPr>
        <w:ind w:left="360" w:right="380"/>
        <w:spacing w:after="0" w:line="259" w:lineRule="auto"/>
        <w:rPr>
          <w:sz w:val="20"/>
          <w:szCs w:val="20"/>
          <w:color w:val="auto"/>
        </w:rPr>
      </w:pPr>
      <w:r>
        <w:rPr>
          <w:rFonts w:ascii="Arial" w:cs="Arial" w:eastAsia="Arial" w:hAnsi="Arial"/>
          <w:sz w:val="22"/>
          <w:szCs w:val="22"/>
          <w:color w:val="auto"/>
        </w:rPr>
        <w:t>Shareholders should mail all nominations and proposals to the Corporate Secretary at Mondelēz International, Inc., 905 West Fulton Market, Suite 200, Chicago, Illinois 60607.</w:t>
      </w:r>
    </w:p>
    <w:p>
      <w:pPr>
        <w:spacing w:after="0" w:line="129" w:lineRule="exact"/>
        <w:rPr>
          <w:sz w:val="20"/>
          <w:szCs w:val="20"/>
          <w:color w:val="auto"/>
        </w:rPr>
      </w:pPr>
    </w:p>
    <w:p>
      <w:pPr>
        <w:ind w:left="360" w:right="740"/>
        <w:spacing w:after="0" w:line="259" w:lineRule="auto"/>
        <w:rPr>
          <w:sz w:val="20"/>
          <w:szCs w:val="20"/>
          <w:color w:val="auto"/>
        </w:rPr>
      </w:pPr>
      <w:r>
        <w:rPr>
          <w:rFonts w:ascii="Arial" w:cs="Arial" w:eastAsia="Arial" w:hAnsi="Arial"/>
          <w:sz w:val="22"/>
          <w:szCs w:val="22"/>
          <w:color w:val="auto"/>
        </w:rPr>
        <w:t xml:space="preserve">You may obtain a copy of the By-Laws from the Corporate Secretary (please make a written request to the same address) or by visiting </w:t>
      </w:r>
      <w:r>
        <w:rPr>
          <w:rFonts w:ascii="Arial" w:cs="Arial" w:eastAsia="Arial" w:hAnsi="Arial"/>
          <w:sz w:val="22"/>
          <w:szCs w:val="22"/>
          <w:i w:val="1"/>
          <w:iCs w:val="1"/>
          <w:color w:val="582C83"/>
        </w:rPr>
        <w:t>www.mondelezinternational.com/investors/corporate-governance</w:t>
      </w:r>
      <w:r>
        <w:rPr>
          <w:rFonts w:ascii="Arial" w:cs="Arial" w:eastAsia="Arial" w:hAnsi="Arial"/>
          <w:sz w:val="22"/>
          <w:szCs w:val="22"/>
          <w:color w:val="auto"/>
        </w:rPr>
        <w:t>.</w:t>
      </w:r>
    </w:p>
    <w:p>
      <w:pPr>
        <w:spacing w:after="0" w:line="142" w:lineRule="exact"/>
        <w:rPr>
          <w:sz w:val="20"/>
          <w:szCs w:val="20"/>
          <w:color w:val="auto"/>
        </w:rPr>
      </w:pPr>
    </w:p>
    <w:p>
      <w:pPr>
        <w:ind w:left="360" w:right="960"/>
        <w:spacing w:after="0" w:line="275" w:lineRule="auto"/>
        <w:rPr>
          <w:sz w:val="20"/>
          <w:szCs w:val="20"/>
          <w:color w:val="auto"/>
        </w:rPr>
      </w:pPr>
      <w:r>
        <w:rPr>
          <w:rFonts w:ascii="Arial" w:cs="Arial" w:eastAsia="Arial" w:hAnsi="Arial"/>
          <w:sz w:val="18"/>
          <w:szCs w:val="18"/>
          <w:b w:val="1"/>
          <w:bCs w:val="1"/>
          <w:color w:val="582C83"/>
        </w:rPr>
        <w:t>Shareholder Nominations of a Candidate for Election as a Director or Shareholder Proposal of Business for Consideration at an Annual Meeting of Shareholders (not for inclusion in the Company’s 2023 proxy materials)</w:t>
      </w:r>
    </w:p>
    <w:p>
      <w:pPr>
        <w:spacing w:after="0" w:line="1" w:lineRule="exact"/>
        <w:rPr>
          <w:sz w:val="20"/>
          <w:szCs w:val="20"/>
          <w:color w:val="auto"/>
        </w:rPr>
      </w:pPr>
    </w:p>
    <w:p>
      <w:pPr>
        <w:ind w:left="360" w:right="640"/>
        <w:spacing w:after="0" w:line="245" w:lineRule="auto"/>
        <w:rPr>
          <w:sz w:val="20"/>
          <w:szCs w:val="20"/>
          <w:color w:val="auto"/>
        </w:rPr>
      </w:pPr>
      <w:r>
        <w:rPr>
          <w:rFonts w:ascii="Arial" w:cs="Arial" w:eastAsia="Arial" w:hAnsi="Arial"/>
          <w:sz w:val="21"/>
          <w:szCs w:val="21"/>
          <w:color w:val="auto"/>
        </w:rPr>
        <w:t>Under the By-Laws, a shareholder may nominate a candidate for election as a director or propose business for consideration at an annual meeting of shareholders (but, in either case, not for inclusion in the proxy materials) by delivering written notice that contains certain required information to the Corporate Secretary and otherwise complying with other requirements included in our By-Laws. To be considered at the 2023 Annual Meeting of Shareholders, the Corporate Secretary must receive a shareholder’s written notice of nomination or proposal between December 19, 2022 and January 18, 2023. If we change the date of an annual meeting by more than 30 days from the date of the previous year’s annual meeting, then we must receive this written notice no later than 60 days before the date of the annual meeting.</w:t>
      </w:r>
    </w:p>
    <w:p>
      <w:pPr>
        <w:spacing w:after="0" w:line="145" w:lineRule="exact"/>
        <w:rPr>
          <w:sz w:val="20"/>
          <w:szCs w:val="20"/>
          <w:color w:val="auto"/>
        </w:rPr>
      </w:pPr>
    </w:p>
    <w:p>
      <w:pPr>
        <w:ind w:left="360" w:right="980"/>
        <w:spacing w:after="0" w:line="262" w:lineRule="auto"/>
        <w:rPr>
          <w:sz w:val="20"/>
          <w:szCs w:val="20"/>
          <w:color w:val="auto"/>
        </w:rPr>
      </w:pPr>
      <w:r>
        <w:rPr>
          <w:rFonts w:ascii="Arial" w:cs="Arial" w:eastAsia="Arial" w:hAnsi="Arial"/>
          <w:sz w:val="21"/>
          <w:szCs w:val="21"/>
          <w:color w:val="auto"/>
        </w:rPr>
        <w:t>In addition to satisfying the deadlines in the advance notice provisions of our bylaws, a shareholder who intends to solicit proxies in support of nominees submitted under these advance notice provisions must provide the notice required under Rule 14a-19 to the Corporate Secretary no later than March 19, 2023.</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582C83"/>
        </w:rPr>
        <w:t>Shareholder Director Candidates for Possible Inclusion in the Company’s 2023 Proxy Materials (“Proxy Access”)</w:t>
      </w:r>
    </w:p>
    <w:p>
      <w:pPr>
        <w:spacing w:after="0" w:line="41" w:lineRule="exact"/>
        <w:rPr>
          <w:sz w:val="20"/>
          <w:szCs w:val="20"/>
          <w:color w:val="auto"/>
        </w:rPr>
      </w:pPr>
    </w:p>
    <w:p>
      <w:pPr>
        <w:jc w:val="both"/>
        <w:ind w:left="360" w:right="860"/>
        <w:spacing w:after="0" w:line="238" w:lineRule="auto"/>
        <w:rPr>
          <w:sz w:val="20"/>
          <w:szCs w:val="20"/>
          <w:color w:val="auto"/>
        </w:rPr>
      </w:pPr>
      <w:r>
        <w:rPr>
          <w:rFonts w:ascii="Arial" w:cs="Arial" w:eastAsia="Arial" w:hAnsi="Arial"/>
          <w:sz w:val="22"/>
          <w:szCs w:val="22"/>
          <w:color w:val="auto"/>
        </w:rPr>
        <w:t>The By-Laws provide for proxy access. One or more shareholders may nominate and include in the 2023 proxy materials director nominees provided that the shareholder(s) and the nominee(s) satisfy the terms, conditions and requirements specified in the By-Laws. The key parameters are:</w:t>
      </w:r>
    </w:p>
    <w:p>
      <w:pPr>
        <w:spacing w:after="0" w:line="69" w:lineRule="exact"/>
        <w:rPr>
          <w:sz w:val="20"/>
          <w:szCs w:val="20"/>
          <w:color w:val="auto"/>
        </w:rPr>
      </w:pPr>
    </w:p>
    <w:p>
      <w:pPr>
        <w:ind w:left="580" w:right="740" w:hanging="221"/>
        <w:spacing w:after="0" w:line="259" w:lineRule="auto"/>
        <w:tabs>
          <w:tab w:leader="none" w:pos="580" w:val="left"/>
        </w:tabs>
        <w:numPr>
          <w:ilvl w:val="0"/>
          <w:numId w:val="102"/>
        </w:numPr>
        <w:rPr>
          <w:rFonts w:ascii="Arial" w:cs="Arial" w:eastAsia="Arial" w:hAnsi="Arial"/>
          <w:sz w:val="22"/>
          <w:szCs w:val="22"/>
          <w:color w:val="582C83"/>
        </w:rPr>
      </w:pPr>
      <w:r>
        <w:rPr>
          <w:rFonts w:ascii="Arial" w:cs="Arial" w:eastAsia="Arial" w:hAnsi="Arial"/>
          <w:sz w:val="22"/>
          <w:szCs w:val="22"/>
          <w:i w:val="1"/>
          <w:iCs w:val="1"/>
          <w:color w:val="582C83"/>
        </w:rPr>
        <w:t>Minimum Ownership Threshold</w:t>
      </w:r>
      <w:r>
        <w:rPr>
          <w:rFonts w:ascii="Arial" w:cs="Arial" w:eastAsia="Arial" w:hAnsi="Arial"/>
          <w:sz w:val="22"/>
          <w:szCs w:val="22"/>
          <w:color w:val="000000"/>
        </w:rPr>
        <w:t>: the nominating shareholder(s) must own 3% or more of the outstanding</w:t>
      </w:r>
      <w:r>
        <w:rPr>
          <w:rFonts w:ascii="Arial" w:cs="Arial" w:eastAsia="Arial" w:hAnsi="Arial"/>
          <w:sz w:val="22"/>
          <w:szCs w:val="22"/>
          <w:i w:val="1"/>
          <w:iCs w:val="1"/>
          <w:color w:val="582C83"/>
        </w:rPr>
        <w:t xml:space="preserve"> </w:t>
      </w:r>
      <w:r>
        <w:rPr>
          <w:rFonts w:ascii="Arial" w:cs="Arial" w:eastAsia="Arial" w:hAnsi="Arial"/>
          <w:sz w:val="22"/>
          <w:szCs w:val="22"/>
          <w:color w:val="000000"/>
        </w:rPr>
        <w:t>Common Stock;</w:t>
      </w:r>
    </w:p>
    <w:p>
      <w:pPr>
        <w:spacing w:after="0" w:line="48" w:lineRule="exact"/>
        <w:rPr>
          <w:rFonts w:ascii="Arial" w:cs="Arial" w:eastAsia="Arial" w:hAnsi="Arial"/>
          <w:sz w:val="22"/>
          <w:szCs w:val="22"/>
          <w:color w:val="582C83"/>
        </w:rPr>
      </w:pPr>
    </w:p>
    <w:p>
      <w:pPr>
        <w:ind w:left="580" w:hanging="221"/>
        <w:spacing w:after="0"/>
        <w:tabs>
          <w:tab w:leader="none" w:pos="580" w:val="left"/>
        </w:tabs>
        <w:numPr>
          <w:ilvl w:val="0"/>
          <w:numId w:val="102"/>
        </w:numPr>
        <w:rPr>
          <w:rFonts w:ascii="Arial" w:cs="Arial" w:eastAsia="Arial" w:hAnsi="Arial"/>
          <w:sz w:val="22"/>
          <w:szCs w:val="22"/>
          <w:color w:val="582C83"/>
        </w:rPr>
      </w:pPr>
      <w:r>
        <w:rPr>
          <w:rFonts w:ascii="Arial" w:cs="Arial" w:eastAsia="Arial" w:hAnsi="Arial"/>
          <w:sz w:val="22"/>
          <w:szCs w:val="22"/>
          <w:i w:val="1"/>
          <w:iCs w:val="1"/>
          <w:color w:val="582C83"/>
        </w:rPr>
        <w:t>Ownership Duration</w:t>
      </w:r>
      <w:r>
        <w:rPr>
          <w:rFonts w:ascii="Arial" w:cs="Arial" w:eastAsia="Arial" w:hAnsi="Arial"/>
          <w:sz w:val="22"/>
          <w:szCs w:val="22"/>
          <w:color w:val="000000"/>
        </w:rPr>
        <w:t>: such Common Stock must have been held continuously for at least three years;</w:t>
      </w:r>
    </w:p>
    <w:p>
      <w:pPr>
        <w:spacing w:after="0" w:line="98" w:lineRule="exact"/>
        <w:rPr>
          <w:rFonts w:ascii="Arial" w:cs="Arial" w:eastAsia="Arial" w:hAnsi="Arial"/>
          <w:sz w:val="22"/>
          <w:szCs w:val="22"/>
          <w:color w:val="582C83"/>
        </w:rPr>
      </w:pPr>
    </w:p>
    <w:p>
      <w:pPr>
        <w:ind w:left="580" w:hanging="221"/>
        <w:spacing w:after="0"/>
        <w:tabs>
          <w:tab w:leader="none" w:pos="580" w:val="left"/>
        </w:tabs>
        <w:numPr>
          <w:ilvl w:val="0"/>
          <w:numId w:val="102"/>
        </w:numPr>
        <w:rPr>
          <w:rFonts w:ascii="Arial" w:cs="Arial" w:eastAsia="Arial" w:hAnsi="Arial"/>
          <w:sz w:val="22"/>
          <w:szCs w:val="22"/>
          <w:color w:val="582C83"/>
        </w:rPr>
      </w:pPr>
      <w:r>
        <w:rPr>
          <w:rFonts w:ascii="Arial" w:cs="Arial" w:eastAsia="Arial" w:hAnsi="Arial"/>
          <w:sz w:val="22"/>
          <w:szCs w:val="22"/>
          <w:i w:val="1"/>
          <w:iCs w:val="1"/>
          <w:color w:val="582C83"/>
        </w:rPr>
        <w:t>Nominating Group Size</w:t>
      </w:r>
      <w:r>
        <w:rPr>
          <w:rFonts w:ascii="Arial" w:cs="Arial" w:eastAsia="Arial" w:hAnsi="Arial"/>
          <w:sz w:val="22"/>
          <w:szCs w:val="22"/>
          <w:color w:val="000000"/>
        </w:rPr>
        <w:t>: a nominating shareholder group cannot consist of more than 20 shareholders; and</w:t>
      </w:r>
    </w:p>
    <w:p>
      <w:pPr>
        <w:spacing w:after="0" w:line="98" w:lineRule="exact"/>
        <w:rPr>
          <w:rFonts w:ascii="Arial" w:cs="Arial" w:eastAsia="Arial" w:hAnsi="Arial"/>
          <w:sz w:val="22"/>
          <w:szCs w:val="22"/>
          <w:color w:val="582C83"/>
        </w:rPr>
      </w:pPr>
    </w:p>
    <w:p>
      <w:pPr>
        <w:ind w:left="580" w:right="1180" w:hanging="221"/>
        <w:spacing w:after="0" w:line="259" w:lineRule="auto"/>
        <w:tabs>
          <w:tab w:leader="none" w:pos="580" w:val="left"/>
        </w:tabs>
        <w:numPr>
          <w:ilvl w:val="0"/>
          <w:numId w:val="102"/>
        </w:numPr>
        <w:rPr>
          <w:rFonts w:ascii="Arial" w:cs="Arial" w:eastAsia="Arial" w:hAnsi="Arial"/>
          <w:sz w:val="22"/>
          <w:szCs w:val="22"/>
          <w:color w:val="582C83"/>
        </w:rPr>
      </w:pPr>
      <w:r>
        <w:rPr>
          <w:rFonts w:ascii="Arial" w:cs="Arial" w:eastAsia="Arial" w:hAnsi="Arial"/>
          <w:sz w:val="22"/>
          <w:szCs w:val="22"/>
          <w:i w:val="1"/>
          <w:iCs w:val="1"/>
          <w:color w:val="582C83"/>
        </w:rPr>
        <w:t>Number of Nominees</w:t>
      </w:r>
      <w:r>
        <w:rPr>
          <w:rFonts w:ascii="Arial" w:cs="Arial" w:eastAsia="Arial" w:hAnsi="Arial"/>
          <w:sz w:val="22"/>
          <w:szCs w:val="22"/>
          <w:color w:val="000000"/>
        </w:rPr>
        <w:t>: appropriate shareholders may nominate the greater of 20% of the Board or 2</w:t>
      </w:r>
      <w:r>
        <w:rPr>
          <w:rFonts w:ascii="Arial" w:cs="Arial" w:eastAsia="Arial" w:hAnsi="Arial"/>
          <w:sz w:val="22"/>
          <w:szCs w:val="22"/>
          <w:i w:val="1"/>
          <w:iCs w:val="1"/>
          <w:color w:val="582C83"/>
        </w:rPr>
        <w:t xml:space="preserve"> </w:t>
      </w:r>
      <w:r>
        <w:rPr>
          <w:rFonts w:ascii="Arial" w:cs="Arial" w:eastAsia="Arial" w:hAnsi="Arial"/>
          <w:sz w:val="22"/>
          <w:szCs w:val="22"/>
          <w:color w:val="000000"/>
        </w:rPr>
        <w:t>nominees</w:t>
      </w:r>
    </w:p>
    <w:p>
      <w:pPr>
        <w:spacing w:after="0" w:line="129" w:lineRule="exact"/>
        <w:rPr>
          <w:sz w:val="20"/>
          <w:szCs w:val="20"/>
          <w:color w:val="auto"/>
        </w:rPr>
      </w:pPr>
    </w:p>
    <w:p>
      <w:pPr>
        <w:ind w:left="360" w:right="600"/>
        <w:spacing w:after="0" w:line="245" w:lineRule="auto"/>
        <w:rPr>
          <w:sz w:val="20"/>
          <w:szCs w:val="20"/>
          <w:color w:val="auto"/>
        </w:rPr>
      </w:pPr>
      <w:r>
        <w:rPr>
          <w:rFonts w:ascii="Arial" w:cs="Arial" w:eastAsia="Arial" w:hAnsi="Arial"/>
          <w:sz w:val="22"/>
          <w:szCs w:val="22"/>
          <w:color w:val="auto"/>
        </w:rPr>
        <w:t>To be included in the proxy materials for the 2023 Annual Meeting of Shareholders, the Corporate Secretary must receive the required written notice and required information specified in the By-Laws on or before 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582C83"/>
        </w:rPr>
        <w:t>Shareholder Proposals for Possible Inclusion in the Company’s 2023 Proxy Materials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Under SEC Rule 14a-8, a shareholder may submit a proposal for possible inclusion in the 2022 proxy materials for an annual meeting of shareholders. The Corporate Secretary must receive the proposal and other required information at our principal executive offices not later than 120 calendar days before the one-year anniversary date of the proxy statement’s release for the previous year’s annual meeting. Accordingly, to be considered for inclusion in the proxy materials for the 2023 Annual Meeting of Shareholders, the Corporate Secretary must receive a shareholder’s submission of a proposal on or before the close of business on December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198755</wp:posOffset>
            </wp:positionV>
            <wp:extent cx="1200150" cy="3346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001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Ellen M. Smith</w:t>
      </w:r>
    </w:p>
    <w:p>
      <w:pPr>
        <w:jc w:val="right"/>
        <w:ind w:right="60"/>
        <w:spacing w:after="0"/>
        <w:rPr>
          <w:sz w:val="20"/>
          <w:szCs w:val="20"/>
          <w:color w:val="auto"/>
        </w:rPr>
      </w:pPr>
      <w:r>
        <w:rPr>
          <w:rFonts w:ascii="Arial" w:cs="Arial" w:eastAsia="Arial" w:hAnsi="Arial"/>
          <w:sz w:val="22"/>
          <w:szCs w:val="22"/>
          <w:color w:val="auto"/>
        </w:rPr>
        <w:t>Senior Vice President &amp; Chief Counsel,</w:t>
      </w:r>
    </w:p>
    <w:p>
      <w:pPr>
        <w:jc w:val="right"/>
        <w:spacing w:after="0"/>
        <w:rPr>
          <w:sz w:val="20"/>
          <w:szCs w:val="20"/>
          <w:color w:val="auto"/>
        </w:rPr>
      </w:pPr>
      <w:r>
        <w:rPr>
          <w:rFonts w:ascii="Arial" w:cs="Arial" w:eastAsia="Arial" w:hAnsi="Arial"/>
          <w:sz w:val="22"/>
          <w:szCs w:val="22"/>
          <w:color w:val="auto"/>
        </w:rPr>
        <w:t>Chief Compliance Officer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686550" cy="16116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68655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44"/>
          <w:szCs w:val="44"/>
          <w:b w:val="1"/>
          <w:bCs w:val="1"/>
          <w:color w:val="58358F"/>
        </w:rPr>
        <w:t>ANNEX A: FINANCIAL MEASURES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 w:right="360"/>
        <w:spacing w:after="0" w:line="236" w:lineRule="auto"/>
        <w:rPr>
          <w:sz w:val="20"/>
          <w:szCs w:val="20"/>
          <w:color w:val="auto"/>
        </w:rPr>
      </w:pPr>
      <w:r>
        <w:rPr>
          <w:rFonts w:ascii="Arial" w:cs="Arial" w:eastAsia="Arial" w:hAnsi="Arial"/>
          <w:sz w:val="22"/>
          <w:szCs w:val="22"/>
          <w:color w:val="auto"/>
        </w:rPr>
        <w:t>We report our financial results in accordance with U.S. GAAP. However, we use non-GAAP financial measures in making financial, operating and planning decisions and in evaluating our performance. Therefore, we also base financial targets for our AIP and PSUs on non-GAAP and other financial measures. The chart below defines each measure and describes the adjustments to the related GAAP measure (if applicable), modifications to our non-GAAP measures for purposes of our compensation targets and our reasons for using these measures. (See our 2021 Form 10-K for additional information on our non-GAAP financial measures and definitions of terms used in the Definitions column below.)</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1360" w:type="dxa"/>
            <w:vAlign w:val="bottom"/>
          </w:tcPr>
          <w:p>
            <w:pPr>
              <w:spacing w:after="0"/>
              <w:rPr>
                <w:sz w:val="24"/>
                <w:szCs w:val="24"/>
                <w:color w:val="auto"/>
              </w:rPr>
            </w:pPr>
          </w:p>
        </w:tc>
        <w:tc>
          <w:tcPr>
            <w:tcW w:w="4720" w:type="dxa"/>
            <w:vAlign w:val="bottom"/>
            <w:gridSpan w:val="2"/>
          </w:tcPr>
          <w:p>
            <w:pPr>
              <w:ind w:left="280"/>
              <w:spacing w:after="0"/>
              <w:rPr>
                <w:sz w:val="20"/>
                <w:szCs w:val="20"/>
                <w:color w:val="auto"/>
              </w:rPr>
            </w:pPr>
            <w:r>
              <w:rPr>
                <w:rFonts w:ascii="Arial" w:cs="Arial" w:eastAsia="Arial" w:hAnsi="Arial"/>
                <w:sz w:val="22"/>
                <w:szCs w:val="22"/>
                <w:b w:val="1"/>
                <w:bCs w:val="1"/>
                <w:color w:val="auto"/>
              </w:rPr>
              <w:t>Definitions</w:t>
            </w:r>
          </w:p>
        </w:tc>
        <w:tc>
          <w:tcPr>
            <w:tcW w:w="20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19"/>
        </w:trPr>
        <w:tc>
          <w:tcPr>
            <w:tcW w:w="136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Measures</w:t>
            </w:r>
          </w:p>
        </w:tc>
        <w:tc>
          <w:tcPr>
            <w:tcW w:w="4720" w:type="dxa"/>
            <w:vAlign w:val="bottom"/>
            <w:tcBorders>
              <w:bottom w:val="single" w:sz="8" w:color="582C83"/>
            </w:tcBorders>
            <w:gridSpan w:val="2"/>
          </w:tcPr>
          <w:p>
            <w:pPr>
              <w:ind w:left="280"/>
              <w:spacing w:after="0"/>
              <w:rPr>
                <w:sz w:val="20"/>
                <w:szCs w:val="20"/>
                <w:color w:val="auto"/>
              </w:rPr>
            </w:pPr>
            <w:r>
              <w:rPr>
                <w:rFonts w:ascii="Arial" w:cs="Arial" w:eastAsia="Arial" w:hAnsi="Arial"/>
                <w:sz w:val="22"/>
                <w:szCs w:val="22"/>
                <w:b w:val="1"/>
                <w:bCs w:val="1"/>
                <w:color w:val="auto"/>
              </w:rPr>
              <w:t>(Including Adjustment to GAAP Measure)</w:t>
            </w:r>
          </w:p>
        </w:tc>
        <w:tc>
          <w:tcPr>
            <w:tcW w:w="2040" w:type="dxa"/>
            <w:vAlign w:val="bottom"/>
            <w:tcBorders>
              <w:bottom w:val="single" w:sz="8" w:color="582C83"/>
            </w:tcBorders>
          </w:tcPr>
          <w:p>
            <w:pPr>
              <w:ind w:left="200"/>
              <w:spacing w:after="0"/>
              <w:rPr>
                <w:sz w:val="20"/>
                <w:szCs w:val="20"/>
                <w:color w:val="auto"/>
              </w:rPr>
            </w:pPr>
            <w:r>
              <w:rPr>
                <w:rFonts w:ascii="Arial" w:cs="Arial" w:eastAsia="Arial" w:hAnsi="Arial"/>
                <w:sz w:val="22"/>
                <w:szCs w:val="22"/>
                <w:b w:val="1"/>
                <w:bCs w:val="1"/>
                <w:color w:val="auto"/>
              </w:rPr>
              <w:t>Modifications</w:t>
            </w:r>
          </w:p>
        </w:tc>
        <w:tc>
          <w:tcPr>
            <w:tcW w:w="2400" w:type="dxa"/>
            <w:vAlign w:val="bottom"/>
            <w:tcBorders>
              <w:bottom w:val="single" w:sz="8" w:color="582C83"/>
            </w:tcBorders>
          </w:tcPr>
          <w:p>
            <w:pPr>
              <w:ind w:left="460"/>
              <w:spacing w:after="0"/>
              <w:rPr>
                <w:sz w:val="20"/>
                <w:szCs w:val="20"/>
                <w:color w:val="auto"/>
              </w:rPr>
            </w:pPr>
            <w:r>
              <w:rPr>
                <w:rFonts w:ascii="Arial" w:cs="Arial" w:eastAsia="Arial" w:hAnsi="Arial"/>
                <w:sz w:val="22"/>
                <w:szCs w:val="22"/>
                <w:b w:val="1"/>
                <w:bCs w:val="1"/>
                <w:color w:val="auto"/>
              </w:rPr>
              <w:t>Rationale</w:t>
            </w:r>
          </w:p>
        </w:tc>
      </w:tr>
      <w:tr>
        <w:trPr>
          <w:trHeight w:val="269"/>
        </w:trPr>
        <w:tc>
          <w:tcPr>
            <w:tcW w:w="1360" w:type="dxa"/>
            <w:vAlign w:val="bottom"/>
          </w:tcPr>
          <w:p>
            <w:pPr>
              <w:ind w:left="80"/>
              <w:spacing w:after="0"/>
              <w:rPr>
                <w:sz w:val="20"/>
                <w:szCs w:val="20"/>
                <w:color w:val="auto"/>
              </w:rPr>
            </w:pPr>
            <w:r>
              <w:rPr>
                <w:rFonts w:ascii="Arial" w:cs="Arial" w:eastAsia="Arial" w:hAnsi="Arial"/>
                <w:sz w:val="22"/>
                <w:szCs w:val="22"/>
                <w:b w:val="1"/>
                <w:bCs w:val="1"/>
                <w:color w:val="auto"/>
              </w:rPr>
              <w:t>Organic</w:t>
            </w:r>
          </w:p>
        </w:tc>
        <w:tc>
          <w:tcPr>
            <w:tcW w:w="4720" w:type="dxa"/>
            <w:vAlign w:val="bottom"/>
            <w:gridSpan w:val="2"/>
          </w:tcPr>
          <w:p>
            <w:pPr>
              <w:ind w:left="280"/>
              <w:spacing w:after="0"/>
              <w:rPr>
                <w:sz w:val="20"/>
                <w:szCs w:val="20"/>
                <w:color w:val="auto"/>
              </w:rPr>
            </w:pPr>
            <w:r>
              <w:rPr>
                <w:rFonts w:ascii="Arial" w:cs="Arial" w:eastAsia="Arial" w:hAnsi="Arial"/>
                <w:sz w:val="22"/>
                <w:szCs w:val="22"/>
                <w:color w:val="auto"/>
              </w:rPr>
              <w:t>Organic Volume is defined as volume</w:t>
            </w:r>
          </w:p>
        </w:tc>
        <w:tc>
          <w:tcPr>
            <w:tcW w:w="2040" w:type="dxa"/>
            <w:vAlign w:val="bottom"/>
          </w:tcPr>
          <w:p>
            <w:pPr>
              <w:spacing w:after="0"/>
              <w:rPr>
                <w:sz w:val="23"/>
                <w:szCs w:val="23"/>
                <w:color w:val="auto"/>
              </w:rPr>
            </w:pPr>
          </w:p>
        </w:tc>
        <w:tc>
          <w:tcPr>
            <w:tcW w:w="2400" w:type="dxa"/>
            <w:vAlign w:val="bottom"/>
          </w:tcPr>
          <w:p>
            <w:pPr>
              <w:ind w:left="460"/>
              <w:spacing w:after="0"/>
              <w:rPr>
                <w:sz w:val="20"/>
                <w:szCs w:val="20"/>
                <w:color w:val="auto"/>
              </w:rPr>
            </w:pPr>
            <w:r>
              <w:rPr>
                <w:rFonts w:ascii="Arial" w:cs="Arial" w:eastAsia="Arial" w:hAnsi="Arial"/>
                <w:sz w:val="22"/>
                <w:szCs w:val="22"/>
                <w:color w:val="auto"/>
              </w:rPr>
              <w:t>Reflects the</w:t>
            </w:r>
          </w:p>
        </w:tc>
      </w:tr>
      <w:tr>
        <w:trPr>
          <w:trHeight w:val="243"/>
        </w:trPr>
        <w:tc>
          <w:tcPr>
            <w:tcW w:w="1360" w:type="dxa"/>
            <w:vAlign w:val="bottom"/>
          </w:tcPr>
          <w:p>
            <w:pPr>
              <w:ind w:left="80"/>
              <w:spacing w:after="0" w:line="243" w:lineRule="exact"/>
              <w:rPr>
                <w:sz w:val="20"/>
                <w:szCs w:val="20"/>
                <w:color w:val="auto"/>
              </w:rPr>
            </w:pPr>
            <w:r>
              <w:rPr>
                <w:rFonts w:ascii="Arial" w:cs="Arial" w:eastAsia="Arial" w:hAnsi="Arial"/>
                <w:sz w:val="22"/>
                <w:szCs w:val="22"/>
                <w:b w:val="1"/>
                <w:bCs w:val="1"/>
                <w:color w:val="auto"/>
              </w:rPr>
              <w:t>Volume</w:t>
            </w:r>
          </w:p>
        </w:tc>
        <w:tc>
          <w:tcPr>
            <w:tcW w:w="472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excluding the impacts of:</w:t>
            </w:r>
          </w:p>
        </w:tc>
        <w:tc>
          <w:tcPr>
            <w:tcW w:w="2040" w:type="dxa"/>
            <w:vAlign w:val="bottom"/>
          </w:tcPr>
          <w:p>
            <w:pPr>
              <w:spacing w:after="0"/>
              <w:rPr>
                <w:sz w:val="21"/>
                <w:szCs w:val="21"/>
                <w:color w:val="auto"/>
              </w:rPr>
            </w:pPr>
          </w:p>
        </w:tc>
        <w:tc>
          <w:tcPr>
            <w:tcW w:w="2400" w:type="dxa"/>
            <w:vAlign w:val="bottom"/>
          </w:tcPr>
          <w:p>
            <w:pPr>
              <w:ind w:left="460"/>
              <w:spacing w:after="0" w:line="243" w:lineRule="exact"/>
              <w:rPr>
                <w:sz w:val="20"/>
                <w:szCs w:val="20"/>
                <w:color w:val="auto"/>
              </w:rPr>
            </w:pPr>
            <w:r>
              <w:rPr>
                <w:rFonts w:ascii="Arial" w:cs="Arial" w:eastAsia="Arial" w:hAnsi="Arial"/>
                <w:sz w:val="22"/>
                <w:szCs w:val="22"/>
                <w:color w:val="auto"/>
              </w:rPr>
              <w:t>volume growth</w:t>
            </w:r>
          </w:p>
        </w:tc>
      </w:tr>
      <w:tr>
        <w:trPr>
          <w:trHeight w:val="258"/>
        </w:trPr>
        <w:tc>
          <w:tcPr>
            <w:tcW w:w="1360" w:type="dxa"/>
            <w:vAlign w:val="bottom"/>
          </w:tcPr>
          <w:p>
            <w:pPr>
              <w:ind w:left="80"/>
              <w:spacing w:after="0"/>
              <w:rPr>
                <w:sz w:val="20"/>
                <w:szCs w:val="20"/>
                <w:color w:val="auto"/>
              </w:rPr>
            </w:pPr>
            <w:r>
              <w:rPr>
                <w:rFonts w:ascii="Arial" w:cs="Arial" w:eastAsia="Arial" w:hAnsi="Arial"/>
                <w:sz w:val="22"/>
                <w:szCs w:val="22"/>
                <w:b w:val="1"/>
                <w:bCs w:val="1"/>
                <w:color w:val="auto"/>
              </w:rPr>
              <w:t>Growth</w:t>
            </w:r>
          </w:p>
        </w:tc>
        <w:tc>
          <w:tcPr>
            <w:tcW w:w="440" w:type="dxa"/>
            <w:vAlign w:val="bottom"/>
          </w:tcPr>
          <w:p>
            <w:pPr>
              <w:ind w:left="280"/>
              <w:spacing w:after="0"/>
              <w:rPr>
                <w:sz w:val="20"/>
                <w:szCs w:val="20"/>
                <w:color w:val="auto"/>
              </w:rPr>
            </w:pPr>
            <w:r>
              <w:rPr>
                <w:rFonts w:ascii="Arial" w:cs="Arial" w:eastAsia="Arial" w:hAnsi="Arial"/>
                <w:sz w:val="22"/>
                <w:szCs w:val="22"/>
                <w:color w:val="582C83"/>
              </w:rPr>
              <w:t>•</w:t>
            </w:r>
          </w:p>
        </w:tc>
        <w:tc>
          <w:tcPr>
            <w:tcW w:w="4280" w:type="dxa"/>
            <w:vAlign w:val="bottom"/>
          </w:tcPr>
          <w:p>
            <w:pPr>
              <w:ind w:left="60"/>
              <w:spacing w:after="0"/>
              <w:rPr>
                <w:sz w:val="20"/>
                <w:szCs w:val="20"/>
                <w:color w:val="auto"/>
              </w:rPr>
            </w:pPr>
            <w:r>
              <w:rPr>
                <w:rFonts w:ascii="Arial" w:cs="Arial" w:eastAsia="Arial" w:hAnsi="Arial"/>
                <w:sz w:val="22"/>
                <w:szCs w:val="22"/>
                <w:color w:val="auto"/>
              </w:rPr>
              <w:t>acquisitions; and</w:t>
            </w:r>
          </w:p>
        </w:tc>
        <w:tc>
          <w:tcPr>
            <w:tcW w:w="2040" w:type="dxa"/>
            <w:vAlign w:val="bottom"/>
          </w:tcPr>
          <w:p>
            <w:pPr>
              <w:spacing w:after="0"/>
              <w:rPr>
                <w:sz w:val="22"/>
                <w:szCs w:val="22"/>
                <w:color w:val="auto"/>
              </w:rPr>
            </w:pPr>
          </w:p>
        </w:tc>
        <w:tc>
          <w:tcPr>
            <w:tcW w:w="2400" w:type="dxa"/>
            <w:vAlign w:val="bottom"/>
          </w:tcPr>
          <w:p>
            <w:pPr>
              <w:ind w:left="460"/>
              <w:spacing w:after="0"/>
              <w:rPr>
                <w:sz w:val="20"/>
                <w:szCs w:val="20"/>
                <w:color w:val="auto"/>
              </w:rPr>
            </w:pPr>
            <w:r>
              <w:rPr>
                <w:rFonts w:ascii="Arial" w:cs="Arial" w:eastAsia="Arial" w:hAnsi="Arial"/>
                <w:sz w:val="22"/>
                <w:szCs w:val="22"/>
                <w:color w:val="auto"/>
              </w:rPr>
              <w:t>rates for our base</w:t>
            </w:r>
          </w:p>
        </w:tc>
      </w:tr>
      <w:tr>
        <w:trPr>
          <w:trHeight w:val="250"/>
        </w:trPr>
        <w:tc>
          <w:tcPr>
            <w:tcW w:w="1360" w:type="dxa"/>
            <w:vAlign w:val="bottom"/>
          </w:tcPr>
          <w:p>
            <w:pPr>
              <w:ind w:left="80"/>
              <w:spacing w:after="0" w:line="250" w:lineRule="exact"/>
              <w:rPr>
                <w:sz w:val="20"/>
                <w:szCs w:val="20"/>
                <w:color w:val="auto"/>
              </w:rPr>
            </w:pPr>
            <w:r>
              <w:rPr>
                <w:rFonts w:ascii="Arial" w:cs="Arial" w:eastAsia="Arial" w:hAnsi="Arial"/>
                <w:sz w:val="22"/>
                <w:szCs w:val="22"/>
                <w:b w:val="1"/>
                <w:bCs w:val="1"/>
                <w:color w:val="auto"/>
              </w:rPr>
              <w:t>(AIP)</w:t>
            </w:r>
          </w:p>
        </w:tc>
        <w:tc>
          <w:tcPr>
            <w:tcW w:w="440" w:type="dxa"/>
            <w:vAlign w:val="bottom"/>
          </w:tcPr>
          <w:p>
            <w:pPr>
              <w:ind w:left="280"/>
              <w:spacing w:after="0" w:line="250" w:lineRule="exact"/>
              <w:rPr>
                <w:sz w:val="20"/>
                <w:szCs w:val="20"/>
                <w:color w:val="auto"/>
              </w:rPr>
            </w:pPr>
            <w:r>
              <w:rPr>
                <w:rFonts w:ascii="Arial" w:cs="Arial" w:eastAsia="Arial" w:hAnsi="Arial"/>
                <w:sz w:val="22"/>
                <w:szCs w:val="22"/>
                <w:color w:val="582C83"/>
              </w:rPr>
              <w:t>•</w:t>
            </w:r>
          </w:p>
        </w:tc>
        <w:tc>
          <w:tcPr>
            <w:tcW w:w="4280" w:type="dxa"/>
            <w:vAlign w:val="bottom"/>
          </w:tcPr>
          <w:p>
            <w:pPr>
              <w:ind w:left="60"/>
              <w:spacing w:after="0" w:line="250" w:lineRule="exact"/>
              <w:rPr>
                <w:sz w:val="20"/>
                <w:szCs w:val="20"/>
                <w:color w:val="auto"/>
              </w:rPr>
            </w:pPr>
            <w:r>
              <w:rPr>
                <w:rFonts w:ascii="Arial" w:cs="Arial" w:eastAsia="Arial" w:hAnsi="Arial"/>
                <w:sz w:val="22"/>
                <w:szCs w:val="22"/>
                <w:color w:val="auto"/>
              </w:rPr>
              <w:t>divestitures</w:t>
            </w:r>
            <w:r>
              <w:rPr>
                <w:rFonts w:ascii="Arial" w:cs="Arial" w:eastAsia="Arial" w:hAnsi="Arial"/>
                <w:sz w:val="24"/>
                <w:szCs w:val="24"/>
                <w:color w:val="auto"/>
                <w:vertAlign w:val="superscript"/>
              </w:rPr>
              <w:t>(1)</w:t>
            </w:r>
            <w:r>
              <w:rPr>
                <w:rFonts w:ascii="Arial" w:cs="Arial" w:eastAsia="Arial" w:hAnsi="Arial"/>
                <w:sz w:val="22"/>
                <w:szCs w:val="22"/>
                <w:color w:val="auto"/>
              </w:rPr>
              <w:t>.</w:t>
            </w:r>
          </w:p>
        </w:tc>
        <w:tc>
          <w:tcPr>
            <w:tcW w:w="2040" w:type="dxa"/>
            <w:vAlign w:val="bottom"/>
          </w:tcPr>
          <w:p>
            <w:pPr>
              <w:spacing w:after="0"/>
              <w:rPr>
                <w:sz w:val="21"/>
                <w:szCs w:val="21"/>
                <w:color w:val="auto"/>
              </w:rPr>
            </w:pPr>
          </w:p>
        </w:tc>
        <w:tc>
          <w:tcPr>
            <w:tcW w:w="2400" w:type="dxa"/>
            <w:vAlign w:val="bottom"/>
          </w:tcPr>
          <w:p>
            <w:pPr>
              <w:ind w:left="460"/>
              <w:spacing w:after="0" w:line="250" w:lineRule="exact"/>
              <w:rPr>
                <w:sz w:val="20"/>
                <w:szCs w:val="20"/>
                <w:color w:val="auto"/>
              </w:rPr>
            </w:pPr>
            <w:r>
              <w:rPr>
                <w:rFonts w:ascii="Arial" w:cs="Arial" w:eastAsia="Arial" w:hAnsi="Arial"/>
                <w:sz w:val="22"/>
                <w:szCs w:val="22"/>
                <w:color w:val="auto"/>
              </w:rPr>
              <w:t>business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-664210</wp:posOffset>
            </wp:positionV>
            <wp:extent cx="6686550" cy="16370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686550" cy="1637030"/>
                    </a:xfrm>
                    <a:prstGeom prst="rect">
                      <a:avLst/>
                    </a:prstGeom>
                    <a:noFill/>
                  </pic:spPr>
                </pic:pic>
              </a:graphicData>
            </a:graphic>
          </wp:anchor>
        </w:drawing>
      </w:r>
    </w:p>
    <w:p>
      <w:pPr>
        <w:ind w:left="8940"/>
        <w:spacing w:after="0" w:line="230" w:lineRule="auto"/>
        <w:rPr>
          <w:sz w:val="20"/>
          <w:szCs w:val="20"/>
          <w:color w:val="auto"/>
        </w:rPr>
      </w:pPr>
      <w:r>
        <w:rPr>
          <w:rFonts w:ascii="Arial" w:cs="Arial" w:eastAsia="Arial" w:hAnsi="Arial"/>
          <w:sz w:val="22"/>
          <w:szCs w:val="22"/>
          <w:color w:val="auto"/>
        </w:rPr>
        <w:t>eliminating the</w:t>
      </w:r>
    </w:p>
    <w:p>
      <w:pPr>
        <w:ind w:left="8940"/>
        <w:spacing w:after="0" w:line="231" w:lineRule="auto"/>
        <w:rPr>
          <w:sz w:val="20"/>
          <w:szCs w:val="20"/>
          <w:color w:val="auto"/>
        </w:rPr>
      </w:pPr>
      <w:r>
        <w:rPr>
          <w:rFonts w:ascii="Arial" w:cs="Arial" w:eastAsia="Arial" w:hAnsi="Arial"/>
          <w:sz w:val="22"/>
          <w:szCs w:val="22"/>
          <w:color w:val="auto"/>
        </w:rPr>
        <w:t>impact of certain</w:t>
      </w:r>
    </w:p>
    <w:p>
      <w:pPr>
        <w:ind w:left="8940"/>
        <w:spacing w:after="0" w:line="230" w:lineRule="auto"/>
        <w:rPr>
          <w:sz w:val="20"/>
          <w:szCs w:val="20"/>
          <w:color w:val="auto"/>
        </w:rPr>
      </w:pPr>
      <w:r>
        <w:rPr>
          <w:rFonts w:ascii="Arial" w:cs="Arial" w:eastAsia="Arial" w:hAnsi="Arial"/>
          <w:sz w:val="22"/>
          <w:szCs w:val="22"/>
          <w:color w:val="auto"/>
        </w:rPr>
        <w:t>disclosed one-time</w:t>
      </w:r>
    </w:p>
    <w:p>
      <w:pPr>
        <w:ind w:left="8940"/>
        <w:spacing w:after="0" w:line="231" w:lineRule="auto"/>
        <w:rPr>
          <w:sz w:val="20"/>
          <w:szCs w:val="20"/>
          <w:color w:val="auto"/>
        </w:rPr>
      </w:pPr>
      <w:r>
        <w:rPr>
          <w:rFonts w:ascii="Arial" w:cs="Arial" w:eastAsia="Arial" w:hAnsi="Arial"/>
          <w:sz w:val="22"/>
          <w:szCs w:val="22"/>
          <w:color w:val="auto"/>
        </w:rPr>
        <w:t>factors, facilitating</w:t>
      </w:r>
    </w:p>
    <w:p>
      <w:pPr>
        <w:ind w:left="8940"/>
        <w:spacing w:after="0" w:line="230" w:lineRule="auto"/>
        <w:rPr>
          <w:sz w:val="20"/>
          <w:szCs w:val="20"/>
          <w:color w:val="auto"/>
        </w:rPr>
      </w:pPr>
      <w:r>
        <w:rPr>
          <w:rFonts w:ascii="Arial" w:cs="Arial" w:eastAsia="Arial" w:hAnsi="Arial"/>
          <w:sz w:val="22"/>
          <w:szCs w:val="22"/>
          <w:color w:val="auto"/>
        </w:rPr>
        <w:t>comparisons to</w:t>
      </w:r>
    </w:p>
    <w:p>
      <w:pPr>
        <w:spacing w:after="0" w:line="1" w:lineRule="exact"/>
        <w:rPr>
          <w:sz w:val="20"/>
          <w:szCs w:val="20"/>
          <w:color w:val="auto"/>
        </w:rPr>
      </w:pPr>
    </w:p>
    <w:p>
      <w:pPr>
        <w:ind w:left="8940"/>
        <w:spacing w:after="0"/>
        <w:rPr>
          <w:sz w:val="20"/>
          <w:szCs w:val="20"/>
          <w:color w:val="auto"/>
        </w:rPr>
      </w:pPr>
      <w:r>
        <w:rPr>
          <w:rFonts w:ascii="Arial" w:cs="Arial" w:eastAsia="Arial" w:hAnsi="Arial"/>
          <w:sz w:val="22"/>
          <w:szCs w:val="22"/>
          <w:color w:val="auto"/>
        </w:rPr>
        <w:t>prior year(s).</w:t>
      </w:r>
    </w:p>
    <w:p>
      <w:pPr>
        <w:sectPr>
          <w:pgSz w:w="11900" w:h="16838" w:orient="portrait"/>
          <w:cols w:equalWidth="0" w:num="1">
            <w:col w:w="11240"/>
          </w:cols>
          <w:pgMar w:left="320" w:top="130" w:right="339" w:bottom="1440" w:gutter="0" w:footer="0" w:header="0"/>
        </w:sectPr>
      </w:pPr>
    </w:p>
    <w:p>
      <w:pPr>
        <w:spacing w:after="0" w:line="90" w:lineRule="exact"/>
        <w:rPr>
          <w:sz w:val="20"/>
          <w:szCs w:val="20"/>
          <w:color w:val="auto"/>
        </w:rPr>
      </w:pPr>
    </w:p>
    <w:p>
      <w:pPr>
        <w:ind w:left="440"/>
        <w:spacing w:after="0" w:line="260" w:lineRule="auto"/>
        <w:rPr>
          <w:sz w:val="20"/>
          <w:szCs w:val="20"/>
          <w:color w:val="auto"/>
        </w:rPr>
      </w:pPr>
      <w:r>
        <w:rPr>
          <w:rFonts w:ascii="Arial" w:cs="Arial" w:eastAsia="Arial" w:hAnsi="Arial"/>
          <w:sz w:val="21"/>
          <w:szCs w:val="21"/>
          <w:b w:val="1"/>
          <w:bCs w:val="1"/>
          <w:color w:val="auto"/>
        </w:rPr>
        <w:t>Organic Net Revenue Growth (AIP and PSUs)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21"/>
          <w:szCs w:val="21"/>
          <w:color w:val="auto"/>
        </w:rPr>
        <w:t>Organic Net Revenue is defined as net revenues excluding the impacts of:</w:t>
      </w:r>
    </w:p>
    <w:p>
      <w:pPr>
        <w:spacing w:after="0" w:line="1" w:lineRule="exact"/>
        <w:rPr>
          <w:sz w:val="20"/>
          <w:szCs w:val="20"/>
          <w:color w:val="auto"/>
        </w:rPr>
      </w:pPr>
    </w:p>
    <w:p>
      <w:pPr>
        <w:ind w:left="220" w:hanging="214"/>
        <w:spacing w:after="0"/>
        <w:tabs>
          <w:tab w:leader="none" w:pos="220" w:val="left"/>
        </w:tabs>
        <w:numPr>
          <w:ilvl w:val="0"/>
          <w:numId w:val="103"/>
        </w:numPr>
        <w:rPr>
          <w:rFonts w:ascii="Arial" w:cs="Arial" w:eastAsia="Arial" w:hAnsi="Arial"/>
          <w:sz w:val="22"/>
          <w:szCs w:val="22"/>
          <w:color w:val="582C83"/>
        </w:rPr>
      </w:pPr>
      <w:r>
        <w:rPr>
          <w:rFonts w:ascii="Arial" w:cs="Arial" w:eastAsia="Arial" w:hAnsi="Arial"/>
          <w:sz w:val="22"/>
          <w:szCs w:val="22"/>
          <w:color w:val="auto"/>
        </w:rPr>
        <w:t>acquisitions;</w:t>
      </w:r>
    </w:p>
    <w:p>
      <w:pPr>
        <w:spacing w:after="0" w:line="30" w:lineRule="exact"/>
        <w:rPr>
          <w:rFonts w:ascii="Arial" w:cs="Arial" w:eastAsia="Arial" w:hAnsi="Arial"/>
          <w:sz w:val="22"/>
          <w:szCs w:val="22"/>
          <w:color w:val="582C83"/>
        </w:rPr>
      </w:pPr>
    </w:p>
    <w:p>
      <w:pPr>
        <w:ind w:left="220" w:hanging="214"/>
        <w:spacing w:after="0"/>
        <w:tabs>
          <w:tab w:leader="none" w:pos="220" w:val="left"/>
        </w:tabs>
        <w:numPr>
          <w:ilvl w:val="0"/>
          <w:numId w:val="103"/>
        </w:numPr>
        <w:rPr>
          <w:rFonts w:ascii="Arial" w:cs="Arial" w:eastAsia="Arial" w:hAnsi="Arial"/>
          <w:sz w:val="22"/>
          <w:szCs w:val="22"/>
          <w:color w:val="582C83"/>
        </w:rPr>
      </w:pPr>
      <w:r>
        <w:rPr>
          <w:rFonts w:ascii="Arial" w:cs="Arial" w:eastAsia="Arial" w:hAnsi="Arial"/>
          <w:sz w:val="22"/>
          <w:szCs w:val="22"/>
          <w:color w:val="auto"/>
        </w:rPr>
        <w:t>divestitures</w:t>
      </w:r>
      <w:r>
        <w:rPr>
          <w:rFonts w:ascii="Arial" w:cs="Arial" w:eastAsia="Arial" w:hAnsi="Arial"/>
          <w:sz w:val="24"/>
          <w:szCs w:val="24"/>
          <w:color w:val="auto"/>
          <w:vertAlign w:val="superscript"/>
        </w:rPr>
        <w:t>(1)</w:t>
      </w:r>
      <w:r>
        <w:rPr>
          <w:rFonts w:ascii="Arial" w:cs="Arial" w:eastAsia="Arial" w:hAnsi="Arial"/>
          <w:sz w:val="22"/>
          <w:szCs w:val="22"/>
          <w:color w:val="auto"/>
        </w:rPr>
        <w:t>; and</w:t>
      </w:r>
    </w:p>
    <w:p>
      <w:pPr>
        <w:spacing w:after="0" w:line="27" w:lineRule="exact"/>
        <w:rPr>
          <w:rFonts w:ascii="Arial" w:cs="Arial" w:eastAsia="Arial" w:hAnsi="Arial"/>
          <w:sz w:val="22"/>
          <w:szCs w:val="22"/>
          <w:color w:val="582C83"/>
        </w:rPr>
      </w:pPr>
    </w:p>
    <w:p>
      <w:pPr>
        <w:ind w:left="220" w:right="180" w:hanging="214"/>
        <w:spacing w:after="0" w:line="289" w:lineRule="auto"/>
        <w:tabs>
          <w:tab w:leader="none" w:pos="220" w:val="left"/>
        </w:tabs>
        <w:numPr>
          <w:ilvl w:val="0"/>
          <w:numId w:val="103"/>
        </w:numPr>
        <w:rPr>
          <w:rFonts w:ascii="Arial" w:cs="Arial" w:eastAsia="Arial" w:hAnsi="Arial"/>
          <w:sz w:val="21"/>
          <w:szCs w:val="21"/>
          <w:color w:val="582C83"/>
        </w:rPr>
      </w:pPr>
      <w:r>
        <w:rPr>
          <w:rFonts w:ascii="Arial" w:cs="Arial" w:eastAsia="Arial" w:hAnsi="Arial"/>
          <w:sz w:val="21"/>
          <w:szCs w:val="21"/>
          <w:color w:val="auto"/>
        </w:rPr>
        <w:t>currency rate fluctuations (calculated based on prior year rates)</w:t>
      </w:r>
      <w:r>
        <w:rPr>
          <w:rFonts w:ascii="Arial" w:cs="Arial" w:eastAsia="Arial" w:hAnsi="Arial"/>
          <w:sz w:val="23"/>
          <w:szCs w:val="23"/>
          <w:color w:val="auto"/>
          <w:vertAlign w:val="superscript"/>
        </w:rPr>
        <w:t>(2)</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i w:val="1"/>
          <w:iCs w:val="1"/>
          <w:color w:val="auto"/>
        </w:rPr>
        <w:t>Organic Net</w:t>
      </w:r>
      <w:r>
        <w:rPr>
          <w:sz w:val="20"/>
          <w:szCs w:val="20"/>
          <w:color w:val="auto"/>
        </w:rPr>
        <w:tab/>
      </w:r>
      <w:r>
        <w:rPr>
          <w:rFonts w:ascii="Arial" w:cs="Arial" w:eastAsia="Arial" w:hAnsi="Arial"/>
          <w:sz w:val="21"/>
          <w:szCs w:val="21"/>
          <w:color w:val="auto"/>
        </w:rPr>
        <w:t>Reflects the</w:t>
      </w:r>
    </w:p>
    <w:p>
      <w:pPr>
        <w:spacing w:after="0"/>
        <w:tabs>
          <w:tab w:leader="none" w:pos="2280" w:val="left"/>
        </w:tabs>
        <w:rPr>
          <w:sz w:val="20"/>
          <w:szCs w:val="20"/>
          <w:color w:val="auto"/>
        </w:rPr>
      </w:pPr>
      <w:r>
        <w:rPr>
          <w:rFonts w:ascii="Arial" w:cs="Arial" w:eastAsia="Arial" w:hAnsi="Arial"/>
          <w:sz w:val="22"/>
          <w:szCs w:val="22"/>
          <w:i w:val="1"/>
          <w:iCs w:val="1"/>
          <w:color w:val="auto"/>
        </w:rPr>
        <w:t>Revenue Growth</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revenue growth</w:t>
      </w:r>
    </w:p>
    <w:p>
      <w:pPr>
        <w:spacing w:after="0"/>
        <w:tabs>
          <w:tab w:leader="none" w:pos="2280" w:val="left"/>
        </w:tabs>
        <w:rPr>
          <w:sz w:val="20"/>
          <w:szCs w:val="20"/>
          <w:color w:val="auto"/>
        </w:rPr>
      </w:pPr>
      <w:r>
        <w:rPr>
          <w:rFonts w:ascii="Arial" w:cs="Arial" w:eastAsia="Arial" w:hAnsi="Arial"/>
          <w:sz w:val="22"/>
          <w:szCs w:val="22"/>
          <w:color w:val="auto"/>
        </w:rPr>
        <w:t>Actual results</w:t>
      </w:r>
      <w:r>
        <w:rPr>
          <w:sz w:val="20"/>
          <w:szCs w:val="20"/>
          <w:color w:val="auto"/>
        </w:rPr>
        <w:tab/>
      </w:r>
      <w:r>
        <w:rPr>
          <w:rFonts w:ascii="Arial" w:cs="Arial" w:eastAsia="Arial" w:hAnsi="Arial"/>
          <w:sz w:val="21"/>
          <w:szCs w:val="21"/>
          <w:color w:val="auto"/>
        </w:rPr>
        <w:t>rates for our base</w:t>
      </w:r>
    </w:p>
    <w:p>
      <w:pPr>
        <w:spacing w:after="0"/>
        <w:tabs>
          <w:tab w:leader="none" w:pos="2280" w:val="left"/>
        </w:tabs>
        <w:rPr>
          <w:sz w:val="20"/>
          <w:szCs w:val="20"/>
          <w:color w:val="auto"/>
        </w:rPr>
      </w:pPr>
      <w:r>
        <w:rPr>
          <w:rFonts w:ascii="Arial" w:cs="Arial" w:eastAsia="Arial" w:hAnsi="Arial"/>
          <w:sz w:val="22"/>
          <w:szCs w:val="22"/>
          <w:color w:val="auto"/>
        </w:rPr>
        <w:t>calculated based</w:t>
      </w:r>
      <w:r>
        <w:rPr>
          <w:sz w:val="20"/>
          <w:szCs w:val="20"/>
          <w:color w:val="auto"/>
        </w:rPr>
        <w:tab/>
      </w:r>
      <w:r>
        <w:rPr>
          <w:rFonts w:ascii="Arial" w:cs="Arial" w:eastAsia="Arial" w:hAnsi="Arial"/>
          <w:sz w:val="21"/>
          <w:szCs w:val="21"/>
          <w:color w:val="auto"/>
        </w:rPr>
        <w:t>business by</w:t>
      </w:r>
    </w:p>
    <w:p>
      <w:pPr>
        <w:spacing w:after="0"/>
        <w:tabs>
          <w:tab w:leader="none" w:pos="2280" w:val="left"/>
        </w:tabs>
        <w:rPr>
          <w:sz w:val="20"/>
          <w:szCs w:val="20"/>
          <w:color w:val="auto"/>
        </w:rPr>
      </w:pPr>
      <w:r>
        <w:rPr>
          <w:rFonts w:ascii="Arial" w:cs="Arial" w:eastAsia="Arial" w:hAnsi="Arial"/>
          <w:sz w:val="22"/>
          <w:szCs w:val="22"/>
          <w:color w:val="auto"/>
        </w:rPr>
        <w:t>on the definition of</w:t>
      </w:r>
      <w:r>
        <w:rPr>
          <w:sz w:val="20"/>
          <w:szCs w:val="20"/>
          <w:color w:val="auto"/>
        </w:rPr>
        <w:tab/>
      </w:r>
      <w:r>
        <w:rPr>
          <w:rFonts w:ascii="Arial" w:cs="Arial" w:eastAsia="Arial" w:hAnsi="Arial"/>
          <w:sz w:val="21"/>
          <w:szCs w:val="21"/>
          <w:color w:val="auto"/>
        </w:rPr>
        <w:t>eliminating the</w:t>
      </w:r>
    </w:p>
    <w:p>
      <w:pPr>
        <w:spacing w:after="0"/>
        <w:tabs>
          <w:tab w:leader="none" w:pos="2280" w:val="left"/>
        </w:tabs>
        <w:rPr>
          <w:sz w:val="20"/>
          <w:szCs w:val="20"/>
          <w:color w:val="auto"/>
        </w:rPr>
      </w:pPr>
      <w:r>
        <w:rPr>
          <w:rFonts w:ascii="Arial" w:cs="Arial" w:eastAsia="Arial" w:hAnsi="Arial"/>
          <w:sz w:val="22"/>
          <w:szCs w:val="22"/>
          <w:color w:val="auto"/>
        </w:rPr>
        <w:t>Organic Net</w:t>
      </w:r>
      <w:r>
        <w:rPr>
          <w:sz w:val="20"/>
          <w:szCs w:val="20"/>
          <w:color w:val="auto"/>
        </w:rPr>
        <w:tab/>
      </w:r>
      <w:r>
        <w:rPr>
          <w:rFonts w:ascii="Arial" w:cs="Arial" w:eastAsia="Arial" w:hAnsi="Arial"/>
          <w:sz w:val="21"/>
          <w:szCs w:val="21"/>
          <w:color w:val="auto"/>
        </w:rPr>
        <w:t>impact of certain</w:t>
      </w:r>
    </w:p>
    <w:p>
      <w:pPr>
        <w:spacing w:after="0"/>
        <w:tabs>
          <w:tab w:leader="none" w:pos="2280" w:val="left"/>
        </w:tabs>
        <w:rPr>
          <w:sz w:val="20"/>
          <w:szCs w:val="20"/>
          <w:color w:val="auto"/>
        </w:rPr>
      </w:pPr>
      <w:r>
        <w:rPr>
          <w:rFonts w:ascii="Arial" w:cs="Arial" w:eastAsia="Arial" w:hAnsi="Arial"/>
          <w:sz w:val="22"/>
          <w:szCs w:val="22"/>
          <w:color w:val="auto"/>
        </w:rPr>
        <w:t>Revenue Growth</w:t>
      </w:r>
      <w:r>
        <w:rPr>
          <w:sz w:val="20"/>
          <w:szCs w:val="20"/>
          <w:color w:val="auto"/>
        </w:rPr>
        <w:tab/>
      </w:r>
      <w:r>
        <w:rPr>
          <w:rFonts w:ascii="Arial" w:cs="Arial" w:eastAsia="Arial" w:hAnsi="Arial"/>
          <w:sz w:val="21"/>
          <w:szCs w:val="21"/>
          <w:color w:val="auto"/>
        </w:rPr>
        <w:t>disclosed one-time</w:t>
      </w:r>
    </w:p>
    <w:p>
      <w:pPr>
        <w:spacing w:after="0"/>
        <w:tabs>
          <w:tab w:leader="none" w:pos="2280" w:val="left"/>
        </w:tabs>
        <w:rPr>
          <w:sz w:val="20"/>
          <w:szCs w:val="20"/>
          <w:color w:val="auto"/>
        </w:rPr>
      </w:pPr>
      <w:r>
        <w:rPr>
          <w:rFonts w:ascii="Arial" w:cs="Arial" w:eastAsia="Arial" w:hAnsi="Arial"/>
          <w:sz w:val="22"/>
          <w:szCs w:val="22"/>
          <w:color w:val="auto"/>
        </w:rPr>
        <w:t>used for each year</w:t>
      </w:r>
      <w:r>
        <w:rPr>
          <w:sz w:val="20"/>
          <w:szCs w:val="20"/>
          <w:color w:val="auto"/>
        </w:rPr>
        <w:tab/>
      </w:r>
      <w:r>
        <w:rPr>
          <w:rFonts w:ascii="Arial" w:cs="Arial" w:eastAsia="Arial" w:hAnsi="Arial"/>
          <w:sz w:val="21"/>
          <w:szCs w:val="21"/>
          <w:color w:val="auto"/>
        </w:rPr>
        <w:t>factors, facilitating</w:t>
      </w:r>
    </w:p>
    <w:p>
      <w:pPr>
        <w:spacing w:after="0"/>
        <w:tabs>
          <w:tab w:leader="none" w:pos="2280" w:val="left"/>
        </w:tabs>
        <w:rPr>
          <w:sz w:val="20"/>
          <w:szCs w:val="20"/>
          <w:color w:val="auto"/>
        </w:rPr>
      </w:pPr>
      <w:r>
        <w:rPr>
          <w:rFonts w:ascii="Arial" w:cs="Arial" w:eastAsia="Arial" w:hAnsi="Arial"/>
          <w:sz w:val="22"/>
          <w:szCs w:val="22"/>
          <w:color w:val="auto"/>
        </w:rPr>
        <w:t>of the three-year</w:t>
      </w:r>
      <w:r>
        <w:rPr>
          <w:sz w:val="20"/>
          <w:szCs w:val="20"/>
          <w:color w:val="auto"/>
        </w:rPr>
        <w:tab/>
      </w:r>
      <w:r>
        <w:rPr>
          <w:rFonts w:ascii="Arial" w:cs="Arial" w:eastAsia="Arial" w:hAnsi="Arial"/>
          <w:sz w:val="21"/>
          <w:szCs w:val="21"/>
          <w:color w:val="auto"/>
        </w:rPr>
        <w:t>comparisons to</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color w:val="auto"/>
        </w:rPr>
        <w:t>performance cycle.</w:t>
      </w:r>
      <w:r>
        <w:rPr>
          <w:sz w:val="20"/>
          <w:szCs w:val="20"/>
          <w:color w:val="auto"/>
        </w:rPr>
        <w:tab/>
      </w:r>
      <w:r>
        <w:rPr>
          <w:rFonts w:ascii="Arial" w:cs="Arial" w:eastAsia="Arial" w:hAnsi="Arial"/>
          <w:sz w:val="21"/>
          <w:szCs w:val="21"/>
          <w:color w:val="auto"/>
        </w:rPr>
        <w:t>prior year(s).</w:t>
      </w:r>
    </w:p>
    <w:p>
      <w:pPr>
        <w:spacing w:after="0" w:line="51" w:lineRule="exact"/>
        <w:rPr>
          <w:sz w:val="20"/>
          <w:szCs w:val="20"/>
          <w:color w:val="auto"/>
        </w:rPr>
      </w:pPr>
    </w:p>
    <w:p>
      <w:pPr>
        <w:sectPr>
          <w:pgSz w:w="11900" w:h="16838" w:orient="portrait"/>
          <w:cols w:equalWidth="0" w:num="3">
            <w:col w:w="1680" w:space="320"/>
            <w:col w:w="3920" w:space="720"/>
            <w:col w:w="460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156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Defined</w:t>
            </w:r>
          </w:p>
        </w:tc>
        <w:tc>
          <w:tcPr>
            <w:tcW w:w="4460" w:type="dxa"/>
            <w:vAlign w:val="bottom"/>
            <w:shd w:val="clear" w:color="auto" w:fill="EBE6F0"/>
          </w:tcPr>
          <w:p>
            <w:pPr>
              <w:ind w:left="80"/>
              <w:spacing w:after="0"/>
              <w:rPr>
                <w:sz w:val="20"/>
                <w:szCs w:val="20"/>
                <w:color w:val="auto"/>
              </w:rPr>
            </w:pPr>
            <w:r>
              <w:rPr>
                <w:rFonts w:ascii="Arial" w:cs="Arial" w:eastAsia="Arial" w:hAnsi="Arial"/>
                <w:sz w:val="22"/>
                <w:szCs w:val="22"/>
                <w:color w:val="auto"/>
              </w:rPr>
              <w:t>Adjusted Gross Profit is defined as gross</w:t>
            </w:r>
          </w:p>
        </w:tc>
        <w:tc>
          <w:tcPr>
            <w:tcW w:w="2320" w:type="dxa"/>
            <w:vAlign w:val="bottom"/>
            <w:shd w:val="clear" w:color="auto" w:fill="EBE6F0"/>
          </w:tcPr>
          <w:p>
            <w:pPr>
              <w:ind w:left="260"/>
              <w:spacing w:after="0"/>
              <w:rPr>
                <w:sz w:val="20"/>
                <w:szCs w:val="20"/>
                <w:color w:val="auto"/>
              </w:rPr>
            </w:pPr>
            <w:r>
              <w:rPr>
                <w:rFonts w:ascii="Arial" w:cs="Arial" w:eastAsia="Arial" w:hAnsi="Arial"/>
                <w:sz w:val="22"/>
                <w:szCs w:val="22"/>
                <w:i w:val="1"/>
                <w:iCs w:val="1"/>
                <w:color w:val="auto"/>
              </w:rPr>
              <w:t>Defined Gross</w:t>
            </w:r>
          </w:p>
        </w:tc>
        <w:tc>
          <w:tcPr>
            <w:tcW w:w="2180" w:type="dxa"/>
            <w:vAlign w:val="bottom"/>
            <w:shd w:val="clear" w:color="auto" w:fill="EBE6F0"/>
          </w:tcPr>
          <w:p>
            <w:pPr>
              <w:ind w:left="240"/>
              <w:spacing w:after="0"/>
              <w:rPr>
                <w:sz w:val="20"/>
                <w:szCs w:val="20"/>
                <w:color w:val="auto"/>
              </w:rPr>
            </w:pPr>
            <w:r>
              <w:rPr>
                <w:rFonts w:ascii="Arial" w:cs="Arial" w:eastAsia="Arial" w:hAnsi="Arial"/>
                <w:sz w:val="22"/>
                <w:szCs w:val="22"/>
                <w:color w:val="auto"/>
              </w:rPr>
              <w:t>Indicator of overall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56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b w:val="1"/>
                <w:bCs w:val="1"/>
                <w:color w:val="auto"/>
              </w:rPr>
              <w:t>Gross</w:t>
            </w:r>
          </w:p>
        </w:tc>
        <w:tc>
          <w:tcPr>
            <w:tcW w:w="446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auto"/>
              </w:rPr>
              <w:t>profit excluding the impacts of:</w:t>
            </w:r>
          </w:p>
        </w:tc>
        <w:tc>
          <w:tcPr>
            <w:tcW w:w="2320" w:type="dxa"/>
            <w:vAlign w:val="bottom"/>
            <w:shd w:val="clear" w:color="auto" w:fill="EBE6F0"/>
          </w:tcPr>
          <w:p>
            <w:pPr>
              <w:ind w:left="260"/>
              <w:spacing w:after="0" w:line="243" w:lineRule="exact"/>
              <w:rPr>
                <w:sz w:val="20"/>
                <w:szCs w:val="20"/>
                <w:color w:val="auto"/>
              </w:rPr>
            </w:pPr>
            <w:r>
              <w:rPr>
                <w:rFonts w:ascii="Arial" w:cs="Arial" w:eastAsia="Arial" w:hAnsi="Arial"/>
                <w:sz w:val="22"/>
                <w:szCs w:val="22"/>
                <w:i w:val="1"/>
                <w:iCs w:val="1"/>
                <w:color w:val="auto"/>
              </w:rPr>
              <w:t>Profit Dollars</w:t>
            </w:r>
            <w:r>
              <w:rPr>
                <w:rFonts w:ascii="Arial" w:cs="Arial" w:eastAsia="Arial" w:hAnsi="Arial"/>
                <w:sz w:val="22"/>
                <w:szCs w:val="22"/>
                <w:color w:val="auto"/>
              </w:rPr>
              <w:t>:</w:t>
            </w:r>
          </w:p>
        </w:tc>
        <w:tc>
          <w:tcPr>
            <w:tcW w:w="2180" w:type="dxa"/>
            <w:vAlign w:val="bottom"/>
            <w:shd w:val="clear" w:color="auto" w:fill="EBE6F0"/>
          </w:tcPr>
          <w:p>
            <w:pPr>
              <w:ind w:left="240"/>
              <w:spacing w:after="0" w:line="243" w:lineRule="exact"/>
              <w:rPr>
                <w:sz w:val="20"/>
                <w:szCs w:val="20"/>
                <w:color w:val="auto"/>
              </w:rPr>
            </w:pPr>
            <w:r>
              <w:rPr>
                <w:rFonts w:ascii="Arial" w:cs="Arial" w:eastAsia="Arial" w:hAnsi="Arial"/>
                <w:sz w:val="22"/>
                <w:szCs w:val="22"/>
                <w:color w:val="auto"/>
              </w:rPr>
              <w:t>business trends</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60" w:type="dxa"/>
            <w:vAlign w:val="bottom"/>
          </w:tcPr>
          <w:p>
            <w:pPr>
              <w:spacing w:after="0"/>
              <w:rPr>
                <w:sz w:val="22"/>
                <w:szCs w:val="22"/>
                <w:color w:val="auto"/>
              </w:rPr>
            </w:pPr>
          </w:p>
        </w:tc>
        <w:tc>
          <w:tcPr>
            <w:tcW w:w="156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Profit Dollars</w:t>
            </w:r>
          </w:p>
        </w:tc>
        <w:tc>
          <w:tcPr>
            <w:tcW w:w="4460" w:type="dxa"/>
            <w:vAlign w:val="bottom"/>
            <w:shd w:val="clear" w:color="auto" w:fill="EBE6F0"/>
          </w:tcPr>
          <w:p>
            <w:pPr>
              <w:ind w:left="80"/>
              <w:spacing w:after="0" w:line="258"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the Simplify to Grow Program</w:t>
            </w:r>
            <w:r>
              <w:rPr>
                <w:rFonts w:ascii="Arial" w:cs="Arial" w:eastAsia="Arial" w:hAnsi="Arial"/>
                <w:sz w:val="24"/>
                <w:szCs w:val="24"/>
                <w:color w:val="000000"/>
                <w:vertAlign w:val="superscript"/>
              </w:rPr>
              <w:t>(3)</w:t>
            </w:r>
            <w:r>
              <w:rPr>
                <w:rFonts w:ascii="Arial" w:cs="Arial" w:eastAsia="Arial" w:hAnsi="Arial"/>
                <w:sz w:val="22"/>
                <w:szCs w:val="22"/>
                <w:color w:val="000000"/>
              </w:rPr>
              <w:t>;</w:t>
            </w:r>
          </w:p>
        </w:tc>
        <w:tc>
          <w:tcPr>
            <w:tcW w:w="2320" w:type="dxa"/>
            <w:vAlign w:val="bottom"/>
            <w:shd w:val="clear" w:color="auto" w:fill="EBE6F0"/>
          </w:tcPr>
          <w:p>
            <w:pPr>
              <w:ind w:left="260"/>
              <w:spacing w:after="0"/>
              <w:rPr>
                <w:sz w:val="20"/>
                <w:szCs w:val="20"/>
                <w:color w:val="auto"/>
              </w:rPr>
            </w:pPr>
            <w:r>
              <w:rPr>
                <w:rFonts w:ascii="Arial" w:cs="Arial" w:eastAsia="Arial" w:hAnsi="Arial"/>
                <w:sz w:val="22"/>
                <w:szCs w:val="22"/>
                <w:color w:val="auto"/>
              </w:rPr>
              <w:t>Defined as</w:t>
            </w:r>
          </w:p>
        </w:tc>
        <w:tc>
          <w:tcPr>
            <w:tcW w:w="2180" w:type="dxa"/>
            <w:vAlign w:val="bottom"/>
            <w:shd w:val="clear" w:color="auto" w:fill="EBE6F0"/>
          </w:tcPr>
          <w:p>
            <w:pPr>
              <w:ind w:left="240"/>
              <w:spacing w:after="0"/>
              <w:rPr>
                <w:sz w:val="20"/>
                <w:szCs w:val="20"/>
                <w:color w:val="auto"/>
              </w:rPr>
            </w:pPr>
            <w:r>
              <w:rPr>
                <w:rFonts w:ascii="Arial" w:cs="Arial" w:eastAsia="Arial" w:hAnsi="Arial"/>
                <w:sz w:val="22"/>
                <w:szCs w:val="22"/>
                <w:color w:val="auto"/>
              </w:rPr>
              <w:t>and performance,</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56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(AIP)</w:t>
            </w:r>
          </w:p>
        </w:tc>
        <w:tc>
          <w:tcPr>
            <w:tcW w:w="4460" w:type="dxa"/>
            <w:vAlign w:val="bottom"/>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acquisition integration costs;</w:t>
            </w:r>
          </w:p>
        </w:tc>
        <w:tc>
          <w:tcPr>
            <w:tcW w:w="2320" w:type="dxa"/>
            <w:vAlign w:val="bottom"/>
            <w:shd w:val="clear" w:color="auto" w:fill="EBE6F0"/>
          </w:tcPr>
          <w:p>
            <w:pPr>
              <w:ind w:left="260"/>
              <w:spacing w:after="0"/>
              <w:rPr>
                <w:sz w:val="20"/>
                <w:szCs w:val="20"/>
                <w:color w:val="auto"/>
              </w:rPr>
            </w:pPr>
            <w:r>
              <w:rPr>
                <w:rFonts w:ascii="Arial" w:cs="Arial" w:eastAsia="Arial" w:hAnsi="Arial"/>
                <w:sz w:val="22"/>
                <w:szCs w:val="22"/>
                <w:color w:val="auto"/>
              </w:rPr>
              <w:t>Adjusted Gross</w:t>
            </w:r>
          </w:p>
        </w:tc>
        <w:tc>
          <w:tcPr>
            <w:tcW w:w="2180" w:type="dxa"/>
            <w:vAlign w:val="bottom"/>
            <w:shd w:val="clear" w:color="auto" w:fill="EBE6F0"/>
          </w:tcPr>
          <w:p>
            <w:pPr>
              <w:ind w:left="240"/>
              <w:spacing w:after="0"/>
              <w:rPr>
                <w:sz w:val="20"/>
                <w:szCs w:val="20"/>
                <w:color w:val="auto"/>
              </w:rPr>
            </w:pPr>
            <w:r>
              <w:rPr>
                <w:rFonts w:ascii="Arial" w:cs="Arial" w:eastAsia="Arial" w:hAnsi="Arial"/>
                <w:sz w:val="22"/>
                <w:szCs w:val="22"/>
                <w:color w:val="auto"/>
              </w:rPr>
              <w:t>based on what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560" w:type="dxa"/>
            <w:vAlign w:val="bottom"/>
            <w:shd w:val="clear" w:color="auto" w:fill="EBE6F0"/>
          </w:tcPr>
          <w:p>
            <w:pPr>
              <w:spacing w:after="0"/>
              <w:rPr>
                <w:sz w:val="16"/>
                <w:szCs w:val="16"/>
                <w:color w:val="auto"/>
              </w:rPr>
            </w:pPr>
          </w:p>
        </w:tc>
        <w:tc>
          <w:tcPr>
            <w:tcW w:w="4460" w:type="dxa"/>
            <w:vAlign w:val="bottom"/>
            <w:vMerge w:val="restart"/>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divestiture-related costs;</w:t>
            </w:r>
          </w:p>
        </w:tc>
        <w:tc>
          <w:tcPr>
            <w:tcW w:w="2320" w:type="dxa"/>
            <w:vAlign w:val="bottom"/>
            <w:shd w:val="clear" w:color="auto" w:fill="EBE6F0"/>
          </w:tcPr>
          <w:p>
            <w:pPr>
              <w:ind w:left="260"/>
              <w:spacing w:after="0" w:line="190" w:lineRule="exact"/>
              <w:rPr>
                <w:sz w:val="20"/>
                <w:szCs w:val="20"/>
                <w:color w:val="auto"/>
              </w:rPr>
            </w:pPr>
            <w:r>
              <w:rPr>
                <w:rFonts w:ascii="Arial" w:cs="Arial" w:eastAsia="Arial" w:hAnsi="Arial"/>
                <w:sz w:val="21"/>
                <w:szCs w:val="21"/>
                <w:color w:val="auto"/>
              </w:rPr>
              <w:t>Profit Dollars</w:t>
            </w:r>
          </w:p>
        </w:tc>
        <w:tc>
          <w:tcPr>
            <w:tcW w:w="2180" w:type="dxa"/>
            <w:vAlign w:val="bottom"/>
            <w:shd w:val="clear" w:color="auto" w:fill="EBE6F0"/>
          </w:tcPr>
          <w:p>
            <w:pPr>
              <w:ind w:left="240"/>
              <w:spacing w:after="0" w:line="190" w:lineRule="exact"/>
              <w:rPr>
                <w:sz w:val="20"/>
                <w:szCs w:val="20"/>
                <w:color w:val="auto"/>
              </w:rPr>
            </w:pPr>
            <w:r>
              <w:rPr>
                <w:rFonts w:ascii="Arial" w:cs="Arial" w:eastAsia="Arial" w:hAnsi="Arial"/>
                <w:sz w:val="21"/>
                <w:szCs w:val="21"/>
                <w:color w:val="auto"/>
              </w:rPr>
              <w:t>business leaders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560" w:type="dxa"/>
            <w:vAlign w:val="bottom"/>
            <w:shd w:val="clear" w:color="auto" w:fill="EBE6F0"/>
          </w:tcPr>
          <w:p>
            <w:pPr>
              <w:spacing w:after="0"/>
              <w:rPr>
                <w:sz w:val="14"/>
                <w:szCs w:val="14"/>
                <w:color w:val="auto"/>
              </w:rPr>
            </w:pPr>
          </w:p>
        </w:tc>
        <w:tc>
          <w:tcPr>
            <w:tcW w:w="4460" w:type="dxa"/>
            <w:vAlign w:val="bottom"/>
            <w:vMerge w:val="continue"/>
            <w:shd w:val="clear" w:color="auto" w:fill="EBE6F0"/>
          </w:tcPr>
          <w:p>
            <w:pPr>
              <w:spacing w:after="0"/>
              <w:rPr>
                <w:sz w:val="14"/>
                <w:szCs w:val="14"/>
                <w:color w:val="auto"/>
              </w:rPr>
            </w:pPr>
          </w:p>
        </w:tc>
        <w:tc>
          <w:tcPr>
            <w:tcW w:w="2320" w:type="dxa"/>
            <w:vAlign w:val="bottom"/>
            <w:vMerge w:val="restart"/>
            <w:shd w:val="clear" w:color="auto" w:fill="EBE6F0"/>
          </w:tcPr>
          <w:p>
            <w:pPr>
              <w:ind w:left="260"/>
              <w:spacing w:after="0" w:line="243" w:lineRule="exact"/>
              <w:rPr>
                <w:sz w:val="20"/>
                <w:szCs w:val="20"/>
                <w:color w:val="auto"/>
              </w:rPr>
            </w:pPr>
            <w:r>
              <w:rPr>
                <w:rFonts w:ascii="Arial" w:cs="Arial" w:eastAsia="Arial" w:hAnsi="Arial"/>
                <w:sz w:val="22"/>
                <w:szCs w:val="22"/>
                <w:color w:val="auto"/>
              </w:rPr>
              <w:t>calculated at</w:t>
            </w:r>
          </w:p>
        </w:tc>
        <w:tc>
          <w:tcPr>
            <w:tcW w:w="2180" w:type="dxa"/>
            <w:vAlign w:val="bottom"/>
            <w:vMerge w:val="restart"/>
            <w:shd w:val="clear" w:color="auto" w:fill="EBE6F0"/>
          </w:tcPr>
          <w:p>
            <w:pPr>
              <w:ind w:left="240"/>
              <w:spacing w:after="0" w:line="243" w:lineRule="exact"/>
              <w:rPr>
                <w:sz w:val="20"/>
                <w:szCs w:val="20"/>
                <w:color w:val="auto"/>
              </w:rPr>
            </w:pPr>
            <w:r>
              <w:rPr>
                <w:rFonts w:ascii="Arial" w:cs="Arial" w:eastAsia="Arial" w:hAnsi="Arial"/>
                <w:sz w:val="22"/>
                <w:szCs w:val="22"/>
                <w:color w:val="auto"/>
              </w:rPr>
              <w:t>can control.</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1560" w:type="dxa"/>
            <w:vAlign w:val="bottom"/>
            <w:shd w:val="clear" w:color="auto" w:fill="EBE6F0"/>
          </w:tcPr>
          <w:p>
            <w:pPr>
              <w:spacing w:after="0"/>
              <w:rPr>
                <w:sz w:val="7"/>
                <w:szCs w:val="7"/>
                <w:color w:val="auto"/>
              </w:rPr>
            </w:pPr>
          </w:p>
        </w:tc>
        <w:tc>
          <w:tcPr>
            <w:tcW w:w="4460" w:type="dxa"/>
            <w:vAlign w:val="bottom"/>
            <w:vMerge w:val="restart"/>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operating results from divestitures</w:t>
            </w:r>
            <w:r>
              <w:rPr>
                <w:rFonts w:ascii="Arial" w:cs="Arial" w:eastAsia="Arial" w:hAnsi="Arial"/>
                <w:sz w:val="24"/>
                <w:szCs w:val="24"/>
                <w:color w:val="000000"/>
                <w:vertAlign w:val="superscript"/>
              </w:rPr>
              <w:t>(1)</w:t>
            </w:r>
            <w:r>
              <w:rPr>
                <w:rFonts w:ascii="Arial" w:cs="Arial" w:eastAsia="Arial" w:hAnsi="Arial"/>
                <w:sz w:val="22"/>
                <w:szCs w:val="22"/>
                <w:color w:val="000000"/>
              </w:rPr>
              <w:t>; and</w:t>
            </w:r>
          </w:p>
        </w:tc>
        <w:tc>
          <w:tcPr>
            <w:tcW w:w="2320" w:type="dxa"/>
            <w:vAlign w:val="bottom"/>
            <w:vMerge w:val="continue"/>
            <w:shd w:val="clear" w:color="auto" w:fill="EBE6F0"/>
          </w:tcPr>
          <w:p>
            <w:pPr>
              <w:spacing w:after="0"/>
              <w:rPr>
                <w:sz w:val="7"/>
                <w:szCs w:val="7"/>
                <w:color w:val="auto"/>
              </w:rPr>
            </w:pPr>
          </w:p>
        </w:tc>
        <w:tc>
          <w:tcPr>
            <w:tcW w:w="2180" w:type="dxa"/>
            <w:vAlign w:val="bottom"/>
            <w:vMerge w:val="continue"/>
            <w:shd w:val="clear" w:color="auto" w:fill="EBE6F0"/>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560" w:type="dxa"/>
            <w:vAlign w:val="bottom"/>
            <w:shd w:val="clear" w:color="auto" w:fill="EBE6F0"/>
          </w:tcPr>
          <w:p>
            <w:pPr>
              <w:spacing w:after="0"/>
              <w:rPr>
                <w:sz w:val="18"/>
                <w:szCs w:val="18"/>
                <w:color w:val="auto"/>
              </w:rPr>
            </w:pPr>
          </w:p>
        </w:tc>
        <w:tc>
          <w:tcPr>
            <w:tcW w:w="4460" w:type="dxa"/>
            <w:vAlign w:val="bottom"/>
            <w:vMerge w:val="continue"/>
            <w:shd w:val="clear" w:color="auto" w:fill="EBE6F0"/>
          </w:tcPr>
          <w:p>
            <w:pPr>
              <w:spacing w:after="0"/>
              <w:rPr>
                <w:sz w:val="18"/>
                <w:szCs w:val="18"/>
                <w:color w:val="auto"/>
              </w:rPr>
            </w:pPr>
          </w:p>
        </w:tc>
        <w:tc>
          <w:tcPr>
            <w:tcW w:w="2320" w:type="dxa"/>
            <w:vAlign w:val="bottom"/>
            <w:vMerge w:val="restart"/>
            <w:shd w:val="clear" w:color="auto" w:fill="EBE6F0"/>
          </w:tcPr>
          <w:p>
            <w:pPr>
              <w:ind w:left="260"/>
              <w:spacing w:after="0" w:line="243" w:lineRule="exact"/>
              <w:rPr>
                <w:sz w:val="20"/>
                <w:szCs w:val="20"/>
                <w:color w:val="auto"/>
              </w:rPr>
            </w:pPr>
            <w:r>
              <w:rPr>
                <w:rFonts w:ascii="Arial" w:cs="Arial" w:eastAsia="Arial" w:hAnsi="Arial"/>
                <w:sz w:val="22"/>
                <w:szCs w:val="22"/>
                <w:color w:val="auto"/>
              </w:rPr>
              <w:t>currency exchange</w:t>
            </w:r>
          </w:p>
        </w:tc>
        <w:tc>
          <w:tcPr>
            <w:tcW w:w="2180" w:type="dxa"/>
            <w:vAlign w:val="bottom"/>
            <w:shd w:val="clear" w:color="auto" w:fill="EBE6F0"/>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560" w:type="dxa"/>
            <w:vAlign w:val="bottom"/>
            <w:shd w:val="clear" w:color="auto" w:fill="EBE6F0"/>
          </w:tcPr>
          <w:p>
            <w:pPr>
              <w:spacing w:after="0"/>
              <w:rPr>
                <w:sz w:val="2"/>
                <w:szCs w:val="2"/>
                <w:color w:val="auto"/>
              </w:rPr>
            </w:pPr>
          </w:p>
        </w:tc>
        <w:tc>
          <w:tcPr>
            <w:tcW w:w="4460" w:type="dxa"/>
            <w:vAlign w:val="bottom"/>
            <w:vMerge w:val="restart"/>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mark-to-market impacts from commodity,</w:t>
            </w:r>
          </w:p>
        </w:tc>
        <w:tc>
          <w:tcPr>
            <w:tcW w:w="2320" w:type="dxa"/>
            <w:vAlign w:val="bottom"/>
            <w:vMerge w:val="continue"/>
            <w:shd w:val="clear" w:color="auto" w:fill="EBE6F0"/>
          </w:tcPr>
          <w:p>
            <w:pPr>
              <w:spacing w:after="0"/>
              <w:rPr>
                <w:sz w:val="2"/>
                <w:szCs w:val="2"/>
                <w:color w:val="auto"/>
              </w:rPr>
            </w:pPr>
          </w:p>
        </w:tc>
        <w:tc>
          <w:tcPr>
            <w:tcW w:w="2180" w:type="dxa"/>
            <w:vAlign w:val="bottom"/>
            <w:shd w:val="clear" w:color="auto" w:fill="EBE6F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60" w:type="dxa"/>
            <w:vAlign w:val="bottom"/>
          </w:tcPr>
          <w:p>
            <w:pPr>
              <w:spacing w:after="0"/>
              <w:rPr>
                <w:sz w:val="18"/>
                <w:szCs w:val="18"/>
                <w:color w:val="auto"/>
              </w:rPr>
            </w:pPr>
          </w:p>
        </w:tc>
        <w:tc>
          <w:tcPr>
            <w:tcW w:w="1560" w:type="dxa"/>
            <w:vAlign w:val="bottom"/>
            <w:shd w:val="clear" w:color="auto" w:fill="EBE6F0"/>
          </w:tcPr>
          <w:p>
            <w:pPr>
              <w:spacing w:after="0"/>
              <w:rPr>
                <w:sz w:val="18"/>
                <w:szCs w:val="18"/>
                <w:color w:val="auto"/>
              </w:rPr>
            </w:pPr>
          </w:p>
        </w:tc>
        <w:tc>
          <w:tcPr>
            <w:tcW w:w="4460" w:type="dxa"/>
            <w:vAlign w:val="bottom"/>
            <w:vMerge w:val="continue"/>
            <w:shd w:val="clear" w:color="auto" w:fill="EBE6F0"/>
          </w:tcPr>
          <w:p>
            <w:pPr>
              <w:spacing w:after="0"/>
              <w:rPr>
                <w:sz w:val="18"/>
                <w:szCs w:val="18"/>
                <w:color w:val="auto"/>
              </w:rPr>
            </w:pPr>
          </w:p>
        </w:tc>
        <w:tc>
          <w:tcPr>
            <w:tcW w:w="2320" w:type="dxa"/>
            <w:vAlign w:val="bottom"/>
            <w:shd w:val="clear" w:color="auto" w:fill="EBE6F0"/>
          </w:tcPr>
          <w:p>
            <w:pPr>
              <w:ind w:left="260"/>
              <w:spacing w:after="0" w:line="216" w:lineRule="exact"/>
              <w:rPr>
                <w:sz w:val="20"/>
                <w:szCs w:val="20"/>
                <w:color w:val="auto"/>
              </w:rPr>
            </w:pPr>
            <w:r>
              <w:rPr>
                <w:rFonts w:ascii="Arial" w:cs="Arial" w:eastAsia="Arial" w:hAnsi="Arial"/>
                <w:sz w:val="22"/>
                <w:szCs w:val="22"/>
                <w:color w:val="auto"/>
              </w:rPr>
              <w:t>rates utilized in our</w:t>
            </w:r>
          </w:p>
        </w:tc>
        <w:tc>
          <w:tcPr>
            <w:tcW w:w="2180" w:type="dxa"/>
            <w:vAlign w:val="bottom"/>
            <w:shd w:val="clear" w:color="auto" w:fill="EBE6F0"/>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560" w:type="dxa"/>
            <w:vAlign w:val="bottom"/>
            <w:shd w:val="clear" w:color="auto" w:fill="EBE6F0"/>
          </w:tcPr>
          <w:p>
            <w:pPr>
              <w:spacing w:after="0"/>
              <w:rPr>
                <w:sz w:val="21"/>
                <w:szCs w:val="21"/>
                <w:color w:val="auto"/>
              </w:rPr>
            </w:pPr>
          </w:p>
        </w:tc>
        <w:tc>
          <w:tcPr>
            <w:tcW w:w="4460" w:type="dxa"/>
            <w:vAlign w:val="bottom"/>
            <w:shd w:val="clear" w:color="auto" w:fill="EBE6F0"/>
          </w:tcPr>
          <w:p>
            <w:pPr>
              <w:ind w:left="300"/>
              <w:spacing w:after="0" w:line="243" w:lineRule="exact"/>
              <w:rPr>
                <w:sz w:val="20"/>
                <w:szCs w:val="20"/>
                <w:color w:val="auto"/>
              </w:rPr>
            </w:pPr>
            <w:r>
              <w:rPr>
                <w:rFonts w:ascii="Arial" w:cs="Arial" w:eastAsia="Arial" w:hAnsi="Arial"/>
                <w:sz w:val="22"/>
                <w:szCs w:val="22"/>
                <w:color w:val="auto"/>
              </w:rPr>
              <w:t>forecasted currency and equity method</w:t>
            </w:r>
          </w:p>
        </w:tc>
        <w:tc>
          <w:tcPr>
            <w:tcW w:w="2320" w:type="dxa"/>
            <w:vAlign w:val="bottom"/>
            <w:shd w:val="clear" w:color="auto" w:fill="EBE6F0"/>
          </w:tcPr>
          <w:p>
            <w:pPr>
              <w:ind w:left="260"/>
              <w:spacing w:after="0" w:line="243" w:lineRule="exact"/>
              <w:rPr>
                <w:sz w:val="20"/>
                <w:szCs w:val="20"/>
                <w:color w:val="auto"/>
              </w:rPr>
            </w:pPr>
            <w:r>
              <w:rPr>
                <w:rFonts w:ascii="Arial" w:cs="Arial" w:eastAsia="Arial" w:hAnsi="Arial"/>
                <w:sz w:val="22"/>
                <w:szCs w:val="22"/>
                <w:color w:val="auto"/>
              </w:rPr>
              <w:t>internal financial</w:t>
            </w:r>
          </w:p>
        </w:tc>
        <w:tc>
          <w:tcPr>
            <w:tcW w:w="2180" w:type="dxa"/>
            <w:vAlign w:val="bottom"/>
            <w:shd w:val="clear" w:color="auto" w:fill="EBE6F0"/>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560" w:type="dxa"/>
            <w:vAlign w:val="bottom"/>
            <w:shd w:val="clear" w:color="auto" w:fill="EBE6F0"/>
          </w:tcPr>
          <w:p>
            <w:pPr>
              <w:spacing w:after="0"/>
              <w:rPr>
                <w:sz w:val="21"/>
                <w:szCs w:val="21"/>
                <w:color w:val="auto"/>
              </w:rPr>
            </w:pPr>
          </w:p>
        </w:tc>
        <w:tc>
          <w:tcPr>
            <w:tcW w:w="4460" w:type="dxa"/>
            <w:vAlign w:val="bottom"/>
            <w:shd w:val="clear" w:color="auto" w:fill="EBE6F0"/>
          </w:tcPr>
          <w:p>
            <w:pPr>
              <w:ind w:left="300"/>
              <w:spacing w:after="0" w:line="243" w:lineRule="exact"/>
              <w:rPr>
                <w:sz w:val="20"/>
                <w:szCs w:val="20"/>
                <w:color w:val="auto"/>
              </w:rPr>
            </w:pPr>
            <w:r>
              <w:rPr>
                <w:rFonts w:ascii="Arial" w:cs="Arial" w:eastAsia="Arial" w:hAnsi="Arial"/>
                <w:sz w:val="22"/>
                <w:szCs w:val="22"/>
                <w:color w:val="auto"/>
              </w:rPr>
              <w:t>investment transaction derivative</w:t>
            </w:r>
          </w:p>
        </w:tc>
        <w:tc>
          <w:tcPr>
            <w:tcW w:w="2320" w:type="dxa"/>
            <w:vAlign w:val="bottom"/>
            <w:shd w:val="clear" w:color="auto" w:fill="EBE6F0"/>
          </w:tcPr>
          <w:p>
            <w:pPr>
              <w:ind w:left="260"/>
              <w:spacing w:after="0" w:line="243" w:lineRule="exact"/>
              <w:rPr>
                <w:sz w:val="20"/>
                <w:szCs w:val="20"/>
                <w:color w:val="auto"/>
              </w:rPr>
            </w:pPr>
            <w:r>
              <w:rPr>
                <w:rFonts w:ascii="Arial" w:cs="Arial" w:eastAsia="Arial" w:hAnsi="Arial"/>
                <w:sz w:val="22"/>
                <w:szCs w:val="22"/>
                <w:color w:val="auto"/>
              </w:rPr>
              <w:t>planning for 2021.</w:t>
            </w:r>
          </w:p>
        </w:tc>
        <w:tc>
          <w:tcPr>
            <w:tcW w:w="2180" w:type="dxa"/>
            <w:vAlign w:val="bottom"/>
            <w:shd w:val="clear" w:color="auto" w:fill="EBE6F0"/>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560" w:type="dxa"/>
            <w:vAlign w:val="bottom"/>
            <w:shd w:val="clear" w:color="auto" w:fill="EBE6F0"/>
          </w:tcPr>
          <w:p>
            <w:pPr>
              <w:spacing w:after="0"/>
              <w:rPr>
                <w:sz w:val="24"/>
                <w:szCs w:val="24"/>
                <w:color w:val="auto"/>
              </w:rPr>
            </w:pPr>
          </w:p>
        </w:tc>
        <w:tc>
          <w:tcPr>
            <w:tcW w:w="4460" w:type="dxa"/>
            <w:vAlign w:val="bottom"/>
            <w:shd w:val="clear" w:color="auto" w:fill="EBE6F0"/>
          </w:tcPr>
          <w:p>
            <w:pPr>
              <w:ind w:left="300"/>
              <w:spacing w:after="0"/>
              <w:rPr>
                <w:sz w:val="20"/>
                <w:szCs w:val="20"/>
                <w:color w:val="auto"/>
              </w:rPr>
            </w:pPr>
            <w:r>
              <w:rPr>
                <w:rFonts w:ascii="Arial" w:cs="Arial" w:eastAsia="Arial" w:hAnsi="Arial"/>
                <w:sz w:val="22"/>
                <w:szCs w:val="22"/>
                <w:color w:val="auto"/>
              </w:rPr>
              <w:t>contracts</w:t>
            </w:r>
            <w:r>
              <w:rPr>
                <w:rFonts w:ascii="Arial" w:cs="Arial" w:eastAsia="Arial" w:hAnsi="Arial"/>
                <w:sz w:val="24"/>
                <w:szCs w:val="24"/>
                <w:color w:val="auto"/>
                <w:vertAlign w:val="superscript"/>
              </w:rPr>
              <w:t>(5)</w:t>
            </w:r>
            <w:r>
              <w:rPr>
                <w:rFonts w:ascii="Arial" w:cs="Arial" w:eastAsia="Arial" w:hAnsi="Arial"/>
                <w:sz w:val="22"/>
                <w:szCs w:val="22"/>
                <w:color w:val="auto"/>
              </w:rPr>
              <w:t>.</w:t>
            </w:r>
          </w:p>
        </w:tc>
        <w:tc>
          <w:tcPr>
            <w:tcW w:w="2320" w:type="dxa"/>
            <w:vAlign w:val="bottom"/>
            <w:shd w:val="clear" w:color="auto" w:fill="EBE6F0"/>
          </w:tcPr>
          <w:p>
            <w:pPr>
              <w:spacing w:after="0"/>
              <w:rPr>
                <w:sz w:val="24"/>
                <w:szCs w:val="24"/>
                <w:color w:val="auto"/>
              </w:rPr>
            </w:pPr>
          </w:p>
        </w:tc>
        <w:tc>
          <w:tcPr>
            <w:tcW w:w="2180" w:type="dxa"/>
            <w:vAlign w:val="bottom"/>
            <w:shd w:val="clear" w:color="auto" w:fill="EBE6F0"/>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58358F"/>
            </w:tcBorders>
          </w:tcPr>
          <w:p>
            <w:pPr>
              <w:spacing w:after="0"/>
              <w:rPr>
                <w:sz w:val="16"/>
                <w:szCs w:val="16"/>
                <w:color w:val="auto"/>
              </w:rPr>
            </w:pPr>
          </w:p>
        </w:tc>
        <w:tc>
          <w:tcPr>
            <w:tcW w:w="1560" w:type="dxa"/>
            <w:vAlign w:val="bottom"/>
            <w:tcBorders>
              <w:bottom w:val="single" w:sz="8" w:color="58358F"/>
            </w:tcBorders>
          </w:tcPr>
          <w:p>
            <w:pPr>
              <w:spacing w:after="0"/>
              <w:rPr>
                <w:sz w:val="16"/>
                <w:szCs w:val="16"/>
                <w:color w:val="auto"/>
              </w:rPr>
            </w:pPr>
          </w:p>
        </w:tc>
        <w:tc>
          <w:tcPr>
            <w:tcW w:w="4460" w:type="dxa"/>
            <w:vAlign w:val="bottom"/>
            <w:tcBorders>
              <w:bottom w:val="single" w:sz="8" w:color="58358F"/>
            </w:tcBorders>
          </w:tcPr>
          <w:p>
            <w:pPr>
              <w:spacing w:after="0"/>
              <w:rPr>
                <w:sz w:val="16"/>
                <w:szCs w:val="16"/>
                <w:color w:val="auto"/>
              </w:rPr>
            </w:pPr>
          </w:p>
        </w:tc>
        <w:tc>
          <w:tcPr>
            <w:tcW w:w="2320" w:type="dxa"/>
            <w:vAlign w:val="bottom"/>
            <w:tcBorders>
              <w:bottom w:val="single" w:sz="8" w:color="58358F"/>
            </w:tcBorders>
          </w:tcPr>
          <w:p>
            <w:pPr>
              <w:spacing w:after="0"/>
              <w:rPr>
                <w:sz w:val="16"/>
                <w:szCs w:val="16"/>
                <w:color w:val="auto"/>
              </w:rPr>
            </w:pPr>
          </w:p>
        </w:tc>
        <w:tc>
          <w:tcPr>
            <w:tcW w:w="2180" w:type="dxa"/>
            <w:vAlign w:val="bottom"/>
            <w:tcBorders>
              <w:bottom w:val="single" w:sz="8" w:color="58358F"/>
            </w:tcBorders>
          </w:tcPr>
          <w:p>
            <w:pPr>
              <w:spacing w:after="0"/>
              <w:rPr>
                <w:sz w:val="16"/>
                <w:szCs w:val="16"/>
                <w:color w:val="auto"/>
              </w:rPr>
            </w:pPr>
          </w:p>
        </w:tc>
        <w:tc>
          <w:tcPr>
            <w:tcW w:w="360" w:type="dxa"/>
            <w:vAlign w:val="bottom"/>
            <w:tcBorders>
              <w:bottom w:val="single" w:sz="8" w:color="58358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0" w:name="page131"/>
    <w:bookmarkEnd w:id="130"/>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Arial" w:cs="Arial" w:eastAsia="Arial" w:hAnsi="Arial"/>
                <w:sz w:val="22"/>
                <w:szCs w:val="22"/>
                <w:b w:val="1"/>
                <w:bCs w:val="1"/>
                <w:color w:val="auto"/>
              </w:rPr>
              <w:t>Definitions</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20" w:type="dxa"/>
            <w:vAlign w:val="bottom"/>
            <w:tcBorders>
              <w:bottom w:val="single" w:sz="8" w:color="582C83"/>
            </w:tcBorders>
          </w:tcPr>
          <w:p>
            <w:pPr>
              <w:ind w:left="80"/>
              <w:spacing w:after="0"/>
              <w:rPr>
                <w:sz w:val="20"/>
                <w:szCs w:val="20"/>
                <w:color w:val="auto"/>
              </w:rPr>
            </w:pPr>
            <w:r>
              <w:rPr>
                <w:rFonts w:ascii="Arial" w:cs="Arial" w:eastAsia="Arial" w:hAnsi="Arial"/>
                <w:sz w:val="22"/>
                <w:szCs w:val="22"/>
                <w:b w:val="1"/>
                <w:bCs w:val="1"/>
                <w:color w:val="auto"/>
              </w:rPr>
              <w:t>Measures</w:t>
            </w:r>
          </w:p>
        </w:tc>
        <w:tc>
          <w:tcPr>
            <w:tcW w:w="4640" w:type="dxa"/>
            <w:vAlign w:val="bottom"/>
            <w:tcBorders>
              <w:bottom w:val="single" w:sz="8" w:color="582C83"/>
            </w:tcBorders>
            <w:gridSpan w:val="2"/>
          </w:tcPr>
          <w:p>
            <w:pPr>
              <w:ind w:left="80"/>
              <w:spacing w:after="0"/>
              <w:rPr>
                <w:sz w:val="20"/>
                <w:szCs w:val="20"/>
                <w:color w:val="auto"/>
              </w:rPr>
            </w:pPr>
            <w:r>
              <w:rPr>
                <w:rFonts w:ascii="Arial" w:cs="Arial" w:eastAsia="Arial" w:hAnsi="Arial"/>
                <w:sz w:val="22"/>
                <w:szCs w:val="22"/>
                <w:b w:val="1"/>
                <w:bCs w:val="1"/>
                <w:color w:val="auto"/>
              </w:rPr>
              <w:t>(Including Adjustment to GAAP Measure)</w:t>
            </w:r>
          </w:p>
        </w:tc>
        <w:tc>
          <w:tcPr>
            <w:tcW w:w="2560" w:type="dxa"/>
            <w:vAlign w:val="bottom"/>
            <w:tcBorders>
              <w:bottom w:val="single" w:sz="8" w:color="582C83"/>
            </w:tcBorders>
          </w:tcPr>
          <w:p>
            <w:pPr>
              <w:ind w:left="260"/>
              <w:spacing w:after="0"/>
              <w:rPr>
                <w:sz w:val="20"/>
                <w:szCs w:val="20"/>
                <w:color w:val="auto"/>
              </w:rPr>
            </w:pPr>
            <w:r>
              <w:rPr>
                <w:rFonts w:ascii="Arial" w:cs="Arial" w:eastAsia="Arial" w:hAnsi="Arial"/>
                <w:sz w:val="22"/>
                <w:szCs w:val="22"/>
                <w:b w:val="1"/>
                <w:bCs w:val="1"/>
                <w:color w:val="auto"/>
              </w:rPr>
              <w:t>Modifications</w:t>
            </w:r>
          </w:p>
        </w:tc>
        <w:tc>
          <w:tcPr>
            <w:tcW w:w="2420" w:type="dxa"/>
            <w:vAlign w:val="bottom"/>
            <w:tcBorders>
              <w:bottom w:val="single" w:sz="8" w:color="582C83"/>
            </w:tcBorders>
          </w:tcPr>
          <w:p>
            <w:pPr>
              <w:ind w:left="220"/>
              <w:spacing w:after="0"/>
              <w:rPr>
                <w:sz w:val="20"/>
                <w:szCs w:val="20"/>
                <w:color w:val="auto"/>
              </w:rPr>
            </w:pPr>
            <w:r>
              <w:rPr>
                <w:rFonts w:ascii="Arial" w:cs="Arial" w:eastAsia="Arial" w:hAnsi="Arial"/>
                <w:sz w:val="22"/>
                <w:szCs w:val="22"/>
                <w:b w:val="1"/>
                <w:bCs w:val="1"/>
                <w:color w:val="auto"/>
              </w:rPr>
              <w:t>Rationale</w:t>
            </w:r>
          </w:p>
        </w:tc>
        <w:tc>
          <w:tcPr>
            <w:tcW w:w="0" w:type="dxa"/>
            <w:vAlign w:val="bottom"/>
          </w:tcPr>
          <w:p>
            <w:pPr>
              <w:spacing w:after="0"/>
              <w:rPr>
                <w:sz w:val="1"/>
                <w:szCs w:val="1"/>
                <w:color w:val="auto"/>
              </w:rPr>
            </w:pPr>
          </w:p>
        </w:tc>
      </w:tr>
      <w:tr>
        <w:trPr>
          <w:trHeight w:val="269"/>
        </w:trPr>
        <w:tc>
          <w:tcPr>
            <w:tcW w:w="1620" w:type="dxa"/>
            <w:vAlign w:val="bottom"/>
          </w:tcPr>
          <w:p>
            <w:pPr>
              <w:ind w:left="80"/>
              <w:spacing w:after="0"/>
              <w:rPr>
                <w:sz w:val="20"/>
                <w:szCs w:val="20"/>
                <w:color w:val="auto"/>
              </w:rPr>
            </w:pPr>
            <w:r>
              <w:rPr>
                <w:rFonts w:ascii="Arial" w:cs="Arial" w:eastAsia="Arial" w:hAnsi="Arial"/>
                <w:sz w:val="22"/>
                <w:szCs w:val="22"/>
                <w:b w:val="1"/>
                <w:bCs w:val="1"/>
                <w:color w:val="auto"/>
              </w:rPr>
              <w:t>Defined</w:t>
            </w:r>
          </w:p>
        </w:tc>
        <w:tc>
          <w:tcPr>
            <w:tcW w:w="4640" w:type="dxa"/>
            <w:vAlign w:val="bottom"/>
            <w:gridSpan w:val="2"/>
          </w:tcPr>
          <w:p>
            <w:pPr>
              <w:ind w:left="80"/>
              <w:spacing w:after="0"/>
              <w:rPr>
                <w:sz w:val="20"/>
                <w:szCs w:val="20"/>
                <w:color w:val="auto"/>
              </w:rPr>
            </w:pPr>
            <w:r>
              <w:rPr>
                <w:rFonts w:ascii="Arial" w:cs="Arial" w:eastAsia="Arial" w:hAnsi="Arial"/>
                <w:sz w:val="22"/>
                <w:szCs w:val="22"/>
                <w:color w:val="auto"/>
              </w:rPr>
              <w:t>Adjusted Operating Income is defined as</w:t>
            </w:r>
          </w:p>
        </w:tc>
        <w:tc>
          <w:tcPr>
            <w:tcW w:w="2560" w:type="dxa"/>
            <w:vAlign w:val="bottom"/>
          </w:tcPr>
          <w:p>
            <w:pPr>
              <w:ind w:left="260"/>
              <w:spacing w:after="0"/>
              <w:rPr>
                <w:sz w:val="20"/>
                <w:szCs w:val="20"/>
                <w:color w:val="auto"/>
              </w:rPr>
            </w:pPr>
            <w:r>
              <w:rPr>
                <w:rFonts w:ascii="Arial" w:cs="Arial" w:eastAsia="Arial" w:hAnsi="Arial"/>
                <w:sz w:val="22"/>
                <w:szCs w:val="22"/>
                <w:i w:val="1"/>
                <w:iCs w:val="1"/>
                <w:color w:val="auto"/>
              </w:rPr>
              <w:t>Defined Operating</w:t>
            </w:r>
          </w:p>
        </w:tc>
        <w:tc>
          <w:tcPr>
            <w:tcW w:w="2420" w:type="dxa"/>
            <w:vAlign w:val="bottom"/>
          </w:tcPr>
          <w:p>
            <w:pPr>
              <w:ind w:left="220"/>
              <w:spacing w:after="0"/>
              <w:rPr>
                <w:sz w:val="20"/>
                <w:szCs w:val="20"/>
                <w:color w:val="auto"/>
              </w:rPr>
            </w:pPr>
            <w:r>
              <w:rPr>
                <w:rFonts w:ascii="Arial" w:cs="Arial" w:eastAsia="Arial" w:hAnsi="Arial"/>
                <w:sz w:val="22"/>
                <w:szCs w:val="22"/>
                <w:color w:val="auto"/>
              </w:rPr>
              <w:t>Indicator of overall</w:t>
            </w:r>
          </w:p>
        </w:tc>
        <w:tc>
          <w:tcPr>
            <w:tcW w:w="0" w:type="dxa"/>
            <w:vAlign w:val="bottom"/>
          </w:tcPr>
          <w:p>
            <w:pPr>
              <w:spacing w:after="0"/>
              <w:rPr>
                <w:sz w:val="1"/>
                <w:szCs w:val="1"/>
                <w:color w:val="auto"/>
              </w:rPr>
            </w:pPr>
          </w:p>
        </w:tc>
      </w:tr>
      <w:tr>
        <w:trPr>
          <w:trHeight w:val="243"/>
        </w:trPr>
        <w:tc>
          <w:tcPr>
            <w:tcW w:w="1620" w:type="dxa"/>
            <w:vAlign w:val="bottom"/>
          </w:tcPr>
          <w:p>
            <w:pPr>
              <w:ind w:left="80"/>
              <w:spacing w:after="0" w:line="243" w:lineRule="exact"/>
              <w:rPr>
                <w:sz w:val="20"/>
                <w:szCs w:val="20"/>
                <w:color w:val="auto"/>
              </w:rPr>
            </w:pPr>
            <w:r>
              <w:rPr>
                <w:rFonts w:ascii="Arial" w:cs="Arial" w:eastAsia="Arial" w:hAnsi="Arial"/>
                <w:sz w:val="22"/>
                <w:szCs w:val="22"/>
                <w:b w:val="1"/>
                <w:bCs w:val="1"/>
                <w:color w:val="auto"/>
              </w:rPr>
              <w:t>Operating</w:t>
            </w:r>
          </w:p>
        </w:tc>
        <w:tc>
          <w:tcPr>
            <w:tcW w:w="46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operating income excluding the impacts of:</w:t>
            </w:r>
          </w:p>
        </w:tc>
        <w:tc>
          <w:tcPr>
            <w:tcW w:w="2560" w:type="dxa"/>
            <w:vAlign w:val="bottom"/>
          </w:tcPr>
          <w:p>
            <w:pPr>
              <w:ind w:left="260"/>
              <w:spacing w:after="0" w:line="243" w:lineRule="exact"/>
              <w:rPr>
                <w:sz w:val="20"/>
                <w:szCs w:val="20"/>
                <w:color w:val="auto"/>
              </w:rPr>
            </w:pPr>
            <w:r>
              <w:rPr>
                <w:rFonts w:ascii="Arial" w:cs="Arial" w:eastAsia="Arial" w:hAnsi="Arial"/>
                <w:sz w:val="22"/>
                <w:szCs w:val="22"/>
                <w:i w:val="1"/>
                <w:iCs w:val="1"/>
                <w:color w:val="auto"/>
              </w:rPr>
              <w:t>Income</w:t>
            </w:r>
            <w:r>
              <w:rPr>
                <w:rFonts w:ascii="Arial" w:cs="Arial" w:eastAsia="Arial" w:hAnsi="Arial"/>
                <w:sz w:val="22"/>
                <w:szCs w:val="22"/>
                <w:color w:val="auto"/>
              </w:rPr>
              <w:t>: Defined as</w:t>
            </w:r>
          </w:p>
        </w:tc>
        <w:tc>
          <w:tcPr>
            <w:tcW w:w="2420" w:type="dxa"/>
            <w:vAlign w:val="bottom"/>
          </w:tcPr>
          <w:p>
            <w:pPr>
              <w:ind w:left="220"/>
              <w:spacing w:after="0" w:line="243" w:lineRule="exact"/>
              <w:rPr>
                <w:sz w:val="20"/>
                <w:szCs w:val="20"/>
                <w:color w:val="auto"/>
              </w:rPr>
            </w:pPr>
            <w:r>
              <w:rPr>
                <w:rFonts w:ascii="Arial" w:cs="Arial" w:eastAsia="Arial" w:hAnsi="Arial"/>
                <w:sz w:val="22"/>
                <w:szCs w:val="22"/>
                <w:color w:val="auto"/>
              </w:rPr>
              <w:t>business trends and</w:t>
            </w:r>
          </w:p>
        </w:tc>
        <w:tc>
          <w:tcPr>
            <w:tcW w:w="0" w:type="dxa"/>
            <w:vAlign w:val="bottom"/>
          </w:tcPr>
          <w:p>
            <w:pPr>
              <w:spacing w:after="0"/>
              <w:rPr>
                <w:sz w:val="1"/>
                <w:szCs w:val="1"/>
                <w:color w:val="auto"/>
              </w:rPr>
            </w:pPr>
          </w:p>
        </w:tc>
      </w:tr>
      <w:tr>
        <w:trPr>
          <w:trHeight w:val="258"/>
        </w:trPr>
        <w:tc>
          <w:tcPr>
            <w:tcW w:w="1620" w:type="dxa"/>
            <w:vAlign w:val="bottom"/>
          </w:tcPr>
          <w:p>
            <w:pPr>
              <w:ind w:left="80"/>
              <w:spacing w:after="0"/>
              <w:rPr>
                <w:sz w:val="20"/>
                <w:szCs w:val="20"/>
                <w:color w:val="auto"/>
              </w:rPr>
            </w:pPr>
            <w:r>
              <w:rPr>
                <w:rFonts w:ascii="Arial" w:cs="Arial" w:eastAsia="Arial" w:hAnsi="Arial"/>
                <w:sz w:val="22"/>
                <w:szCs w:val="22"/>
                <w:b w:val="1"/>
                <w:bCs w:val="1"/>
                <w:color w:val="auto"/>
              </w:rPr>
              <w:t>Income</w:t>
            </w:r>
          </w:p>
        </w:tc>
        <w:tc>
          <w:tcPr>
            <w:tcW w:w="4640" w:type="dxa"/>
            <w:vAlign w:val="bottom"/>
            <w:gridSpan w:val="2"/>
          </w:tcPr>
          <w:p>
            <w:pPr>
              <w:ind w:left="80"/>
              <w:spacing w:after="0" w:line="258"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the Simplify to Grow Program</w:t>
            </w:r>
            <w:r>
              <w:rPr>
                <w:rFonts w:ascii="Arial" w:cs="Arial" w:eastAsia="Arial" w:hAnsi="Arial"/>
                <w:sz w:val="24"/>
                <w:szCs w:val="24"/>
                <w:color w:val="000000"/>
                <w:vertAlign w:val="superscript"/>
              </w:rPr>
              <w:t>(3)</w:t>
            </w:r>
            <w:r>
              <w:rPr>
                <w:rFonts w:ascii="Arial" w:cs="Arial" w:eastAsia="Arial" w:hAnsi="Arial"/>
                <w:sz w:val="22"/>
                <w:szCs w:val="22"/>
                <w:color w:val="000000"/>
              </w:rPr>
              <w:t>;</w:t>
            </w:r>
          </w:p>
        </w:tc>
        <w:tc>
          <w:tcPr>
            <w:tcW w:w="2560" w:type="dxa"/>
            <w:vAlign w:val="bottom"/>
          </w:tcPr>
          <w:p>
            <w:pPr>
              <w:ind w:left="260"/>
              <w:spacing w:after="0"/>
              <w:rPr>
                <w:sz w:val="20"/>
                <w:szCs w:val="20"/>
                <w:color w:val="auto"/>
              </w:rPr>
            </w:pPr>
            <w:r>
              <w:rPr>
                <w:rFonts w:ascii="Arial" w:cs="Arial" w:eastAsia="Arial" w:hAnsi="Arial"/>
                <w:sz w:val="22"/>
                <w:szCs w:val="22"/>
                <w:color w:val="auto"/>
              </w:rPr>
              <w:t>Adjusted Operating</w:t>
            </w:r>
          </w:p>
        </w:tc>
        <w:tc>
          <w:tcPr>
            <w:tcW w:w="2420" w:type="dxa"/>
            <w:vAlign w:val="bottom"/>
          </w:tcPr>
          <w:p>
            <w:pPr>
              <w:ind w:left="220"/>
              <w:spacing w:after="0"/>
              <w:rPr>
                <w:sz w:val="20"/>
                <w:szCs w:val="20"/>
                <w:color w:val="auto"/>
              </w:rPr>
            </w:pPr>
            <w:r>
              <w:rPr>
                <w:rFonts w:ascii="Arial" w:cs="Arial" w:eastAsia="Arial" w:hAnsi="Arial"/>
                <w:sz w:val="22"/>
                <w:szCs w:val="22"/>
                <w:color w:val="auto"/>
              </w:rPr>
              <w:t>performance, based</w:t>
            </w:r>
          </w:p>
        </w:tc>
        <w:tc>
          <w:tcPr>
            <w:tcW w:w="0" w:type="dxa"/>
            <w:vAlign w:val="bottom"/>
          </w:tcPr>
          <w:p>
            <w:pPr>
              <w:spacing w:after="0"/>
              <w:rPr>
                <w:sz w:val="1"/>
                <w:szCs w:val="1"/>
                <w:color w:val="auto"/>
              </w:rPr>
            </w:pPr>
          </w:p>
        </w:tc>
      </w:tr>
      <w:tr>
        <w:trPr>
          <w:trHeight w:val="283"/>
        </w:trPr>
        <w:tc>
          <w:tcPr>
            <w:tcW w:w="1620" w:type="dxa"/>
            <w:vAlign w:val="bottom"/>
          </w:tcPr>
          <w:p>
            <w:pPr>
              <w:ind w:left="80"/>
              <w:spacing w:after="0"/>
              <w:rPr>
                <w:sz w:val="20"/>
                <w:szCs w:val="20"/>
                <w:color w:val="auto"/>
              </w:rPr>
            </w:pPr>
            <w:r>
              <w:rPr>
                <w:rFonts w:ascii="Arial" w:cs="Arial" w:eastAsia="Arial" w:hAnsi="Arial"/>
                <w:sz w:val="22"/>
                <w:szCs w:val="22"/>
                <w:b w:val="1"/>
                <w:bCs w:val="1"/>
                <w:color w:val="auto"/>
              </w:rPr>
              <w:t>(AIP)</w:t>
            </w:r>
          </w:p>
        </w:tc>
        <w:tc>
          <w:tcPr>
            <w:tcW w:w="4640" w:type="dxa"/>
            <w:vAlign w:val="bottom"/>
            <w:gridSpan w:val="2"/>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gains or losses (including non-cash</w:t>
            </w:r>
          </w:p>
        </w:tc>
        <w:tc>
          <w:tcPr>
            <w:tcW w:w="2560" w:type="dxa"/>
            <w:vAlign w:val="bottom"/>
          </w:tcPr>
          <w:p>
            <w:pPr>
              <w:ind w:left="260"/>
              <w:spacing w:after="0"/>
              <w:rPr>
                <w:sz w:val="20"/>
                <w:szCs w:val="20"/>
                <w:color w:val="auto"/>
              </w:rPr>
            </w:pPr>
            <w:r>
              <w:rPr>
                <w:rFonts w:ascii="Arial" w:cs="Arial" w:eastAsia="Arial" w:hAnsi="Arial"/>
                <w:sz w:val="22"/>
                <w:szCs w:val="22"/>
                <w:color w:val="auto"/>
              </w:rPr>
              <w:t>Income calculated at</w:t>
            </w:r>
          </w:p>
        </w:tc>
        <w:tc>
          <w:tcPr>
            <w:tcW w:w="2420" w:type="dxa"/>
            <w:vAlign w:val="bottom"/>
          </w:tcPr>
          <w:p>
            <w:pPr>
              <w:ind w:left="220"/>
              <w:spacing w:after="0"/>
              <w:rPr>
                <w:sz w:val="20"/>
                <w:szCs w:val="20"/>
                <w:color w:val="auto"/>
              </w:rPr>
            </w:pPr>
            <w:r>
              <w:rPr>
                <w:rFonts w:ascii="Arial" w:cs="Arial" w:eastAsia="Arial" w:hAnsi="Arial"/>
                <w:sz w:val="22"/>
                <w:szCs w:val="22"/>
                <w:color w:val="auto"/>
              </w:rPr>
              <w:t>on what business</w:t>
            </w: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0" w:type="dxa"/>
            <w:vAlign w:val="bottom"/>
            <w:vMerge w:val="restart"/>
          </w:tcPr>
          <w:p>
            <w:pPr>
              <w:ind w:left="60"/>
              <w:spacing w:after="0"/>
              <w:rPr>
                <w:sz w:val="20"/>
                <w:szCs w:val="20"/>
                <w:color w:val="auto"/>
              </w:rPr>
            </w:pPr>
            <w:r>
              <w:rPr>
                <w:rFonts w:ascii="Arial" w:cs="Arial" w:eastAsia="Arial" w:hAnsi="Arial"/>
                <w:sz w:val="22"/>
                <w:szCs w:val="22"/>
                <w:color w:val="auto"/>
              </w:rPr>
              <w:t>impairment charges) on goodwill and</w:t>
            </w:r>
          </w:p>
        </w:tc>
        <w:tc>
          <w:tcPr>
            <w:tcW w:w="2560" w:type="dxa"/>
            <w:vAlign w:val="bottom"/>
          </w:tcPr>
          <w:p>
            <w:pPr>
              <w:ind w:left="260"/>
              <w:spacing w:after="0" w:line="190" w:lineRule="exact"/>
              <w:rPr>
                <w:sz w:val="20"/>
                <w:szCs w:val="20"/>
                <w:color w:val="auto"/>
              </w:rPr>
            </w:pPr>
            <w:r>
              <w:rPr>
                <w:rFonts w:ascii="Arial" w:cs="Arial" w:eastAsia="Arial" w:hAnsi="Arial"/>
                <w:sz w:val="21"/>
                <w:szCs w:val="21"/>
                <w:color w:val="auto"/>
              </w:rPr>
              <w:t>currency exchange</w:t>
            </w:r>
          </w:p>
        </w:tc>
        <w:tc>
          <w:tcPr>
            <w:tcW w:w="2420" w:type="dxa"/>
            <w:vAlign w:val="bottom"/>
          </w:tcPr>
          <w:p>
            <w:pPr>
              <w:ind w:left="220"/>
              <w:spacing w:after="0" w:line="190" w:lineRule="exact"/>
              <w:rPr>
                <w:sz w:val="20"/>
                <w:szCs w:val="20"/>
                <w:color w:val="auto"/>
              </w:rPr>
            </w:pPr>
            <w:r>
              <w:rPr>
                <w:rFonts w:ascii="Arial" w:cs="Arial" w:eastAsia="Arial" w:hAnsi="Arial"/>
                <w:sz w:val="21"/>
                <w:szCs w:val="21"/>
                <w:color w:val="auto"/>
              </w:rPr>
              <w:t>leaders can control.</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2560" w:type="dxa"/>
            <w:vAlign w:val="bottom"/>
            <w:vMerge w:val="restart"/>
          </w:tcPr>
          <w:p>
            <w:pPr>
              <w:ind w:left="260"/>
              <w:spacing w:after="0" w:line="243" w:lineRule="exact"/>
              <w:rPr>
                <w:sz w:val="20"/>
                <w:szCs w:val="20"/>
                <w:color w:val="auto"/>
              </w:rPr>
            </w:pPr>
            <w:r>
              <w:rPr>
                <w:rFonts w:ascii="Arial" w:cs="Arial" w:eastAsia="Arial" w:hAnsi="Arial"/>
                <w:sz w:val="22"/>
                <w:szCs w:val="22"/>
                <w:color w:val="auto"/>
              </w:rPr>
              <w:t>rates utilized in our</w:t>
            </w: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vMerge w:val="restart"/>
          </w:tcPr>
          <w:p>
            <w:pPr>
              <w:ind w:left="60"/>
              <w:spacing w:after="0"/>
              <w:rPr>
                <w:sz w:val="20"/>
                <w:szCs w:val="20"/>
                <w:color w:val="auto"/>
              </w:rPr>
            </w:pPr>
            <w:r>
              <w:rPr>
                <w:rFonts w:ascii="Arial" w:cs="Arial" w:eastAsia="Arial" w:hAnsi="Arial"/>
                <w:sz w:val="22"/>
                <w:szCs w:val="22"/>
                <w:color w:val="auto"/>
              </w:rPr>
              <w:t>intangible assets;</w:t>
            </w:r>
          </w:p>
        </w:tc>
        <w:tc>
          <w:tcPr>
            <w:tcW w:w="256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internal financial</w:t>
            </w: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640" w:type="dxa"/>
            <w:vAlign w:val="bottom"/>
            <w:gridSpan w:val="2"/>
          </w:tcPr>
          <w:p>
            <w:pPr>
              <w:ind w:left="80"/>
              <w:spacing w:after="0" w:line="216"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divestiture</w:t>
            </w:r>
            <w:r>
              <w:rPr>
                <w:rFonts w:ascii="Arial" w:cs="Arial" w:eastAsia="Arial" w:hAnsi="Arial"/>
                <w:sz w:val="24"/>
                <w:szCs w:val="24"/>
                <w:color w:val="000000"/>
                <w:vertAlign w:val="superscript"/>
              </w:rPr>
              <w:t>(1)</w:t>
            </w:r>
            <w:r>
              <w:rPr>
                <w:rFonts w:ascii="Arial" w:cs="Arial" w:eastAsia="Arial" w:hAnsi="Arial"/>
                <w:sz w:val="22"/>
                <w:szCs w:val="22"/>
                <w:color w:val="582C83"/>
              </w:rPr>
              <w:t xml:space="preserve"> </w:t>
            </w:r>
            <w:r>
              <w:rPr>
                <w:rFonts w:ascii="Arial" w:cs="Arial" w:eastAsia="Arial" w:hAnsi="Arial"/>
                <w:sz w:val="22"/>
                <w:szCs w:val="22"/>
                <w:color w:val="000000"/>
              </w:rPr>
              <w:t>or acquisition gains or losses,</w:t>
            </w:r>
          </w:p>
        </w:tc>
        <w:tc>
          <w:tcPr>
            <w:tcW w:w="25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0" w:type="dxa"/>
            <w:vAlign w:val="bottom"/>
          </w:tcPr>
          <w:p>
            <w:pPr>
              <w:ind w:left="60"/>
              <w:spacing w:after="0" w:line="271" w:lineRule="exact"/>
              <w:rPr>
                <w:sz w:val="20"/>
                <w:szCs w:val="20"/>
                <w:color w:val="auto"/>
              </w:rPr>
            </w:pPr>
            <w:r>
              <w:rPr>
                <w:rFonts w:ascii="Arial" w:cs="Arial" w:eastAsia="Arial" w:hAnsi="Arial"/>
                <w:sz w:val="22"/>
                <w:szCs w:val="22"/>
                <w:color w:val="auto"/>
              </w:rPr>
              <w:t>divestiture-related costs</w:t>
            </w:r>
            <w:r>
              <w:rPr>
                <w:rFonts w:ascii="Arial" w:cs="Arial" w:eastAsia="Arial" w:hAnsi="Arial"/>
                <w:sz w:val="24"/>
                <w:szCs w:val="24"/>
                <w:color w:val="auto"/>
                <w:vertAlign w:val="superscript"/>
              </w:rPr>
              <w:t>(1)</w:t>
            </w:r>
            <w:r>
              <w:rPr>
                <w:rFonts w:ascii="Arial" w:cs="Arial" w:eastAsia="Arial" w:hAnsi="Arial"/>
                <w:sz w:val="22"/>
                <w:szCs w:val="22"/>
                <w:color w:val="auto"/>
              </w:rPr>
              <w:t>, acquisition-</w:t>
            </w:r>
          </w:p>
        </w:tc>
        <w:tc>
          <w:tcPr>
            <w:tcW w:w="2560" w:type="dxa"/>
            <w:vAlign w:val="bottom"/>
          </w:tcPr>
          <w:p>
            <w:pPr>
              <w:ind w:left="260"/>
              <w:spacing w:after="0"/>
              <w:rPr>
                <w:sz w:val="20"/>
                <w:szCs w:val="20"/>
                <w:color w:val="auto"/>
              </w:rPr>
            </w:pPr>
            <w:r>
              <w:rPr>
                <w:rFonts w:ascii="Arial" w:cs="Arial" w:eastAsia="Arial" w:hAnsi="Arial"/>
                <w:sz w:val="22"/>
                <w:szCs w:val="22"/>
                <w:color w:val="auto"/>
              </w:rPr>
              <w:t>planning for 2021.</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related costs, and acquisition integration</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costs and contingent consideration</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22"/>
                <w:szCs w:val="22"/>
                <w:color w:val="auto"/>
              </w:rPr>
              <w:t>adjustments;</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operating income from divestitures</w:t>
            </w:r>
            <w:r>
              <w:rPr>
                <w:rFonts w:ascii="Arial" w:cs="Arial" w:eastAsia="Arial" w:hAnsi="Arial"/>
                <w:sz w:val="24"/>
                <w:szCs w:val="24"/>
                <w:color w:val="000000"/>
                <w:vertAlign w:val="superscript"/>
              </w:rPr>
              <w:t>(1)</w:t>
            </w:r>
            <w:r>
              <w:rPr>
                <w:rFonts w:ascii="Arial" w:cs="Arial" w:eastAsia="Arial" w:hAnsi="Arial"/>
                <w:sz w:val="22"/>
                <w:szCs w:val="22"/>
                <w:color w:val="000000"/>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remeasurement of net monetary position</w:t>
            </w:r>
            <w:r>
              <w:rPr>
                <w:rFonts w:ascii="Arial" w:cs="Arial" w:eastAsia="Arial" w:hAnsi="Arial"/>
                <w:sz w:val="24"/>
                <w:szCs w:val="24"/>
                <w:color w:val="000000"/>
                <w:vertAlign w:val="superscript"/>
              </w:rPr>
              <w:t>(4)</w:t>
            </w:r>
            <w:r>
              <w:rPr>
                <w:rFonts w:ascii="Arial" w:cs="Arial" w:eastAsia="Arial" w:hAnsi="Arial"/>
                <w:sz w:val="22"/>
                <w:szCs w:val="22"/>
                <w:color w:val="000000"/>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ind w:left="80"/>
              <w:spacing w:after="0" w:line="243" w:lineRule="exact"/>
              <w:rPr>
                <w:sz w:val="20"/>
                <w:szCs w:val="20"/>
                <w:color w:val="auto"/>
              </w:rPr>
            </w:pPr>
            <w:r>
              <w:rPr>
                <w:rFonts w:ascii="Arial" w:cs="Arial" w:eastAsia="Arial" w:hAnsi="Arial"/>
                <w:sz w:val="22"/>
                <w:szCs w:val="22"/>
                <w:color w:val="582C83"/>
              </w:rPr>
              <w:t>•</w:t>
            </w: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mark-to-market impacts from commodity,</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forecasted currency and equity method</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investment transaction</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22"/>
                <w:szCs w:val="22"/>
                <w:color w:val="auto"/>
              </w:rPr>
              <w:t>derivative contracts</w:t>
            </w:r>
            <w:r>
              <w:rPr>
                <w:rFonts w:ascii="Arial" w:cs="Arial" w:eastAsia="Arial" w:hAnsi="Arial"/>
                <w:sz w:val="24"/>
                <w:szCs w:val="24"/>
                <w:color w:val="auto"/>
                <w:vertAlign w:val="superscript"/>
              </w:rPr>
              <w:t>(5)</w:t>
            </w:r>
            <w:r>
              <w:rPr>
                <w:rFonts w:ascii="Arial" w:cs="Arial" w:eastAsia="Arial" w:hAnsi="Arial"/>
                <w:sz w:val="22"/>
                <w:szCs w:val="22"/>
                <w:color w:val="auto"/>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impact from resolution of tax matters</w:t>
            </w:r>
            <w:r>
              <w:rPr>
                <w:rFonts w:ascii="Arial" w:cs="Arial" w:eastAsia="Arial" w:hAnsi="Arial"/>
                <w:sz w:val="24"/>
                <w:szCs w:val="24"/>
                <w:color w:val="000000"/>
                <w:vertAlign w:val="superscript"/>
              </w:rPr>
              <w:t>(6)</w:t>
            </w:r>
            <w:r>
              <w:rPr>
                <w:rFonts w:ascii="Arial" w:cs="Arial" w:eastAsia="Arial" w:hAnsi="Arial"/>
                <w:sz w:val="22"/>
                <w:szCs w:val="22"/>
                <w:color w:val="000000"/>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4640" w:type="dxa"/>
            <w:vAlign w:val="bottom"/>
            <w:gridSpan w:val="2"/>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CEO transition remuneration</w:t>
            </w:r>
            <w:r>
              <w:rPr>
                <w:rFonts w:ascii="Arial" w:cs="Arial" w:eastAsia="Arial" w:hAnsi="Arial"/>
                <w:sz w:val="24"/>
                <w:szCs w:val="24"/>
                <w:color w:val="000000"/>
                <w:vertAlign w:val="superscript"/>
              </w:rPr>
              <w:t>(7)</w:t>
            </w:r>
            <w:r>
              <w:rPr>
                <w:rFonts w:ascii="Arial" w:cs="Arial" w:eastAsia="Arial" w:hAnsi="Arial"/>
                <w:sz w:val="22"/>
                <w:szCs w:val="22"/>
                <w:color w:val="000000"/>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640" w:type="dxa"/>
            <w:vAlign w:val="bottom"/>
            <w:gridSpan w:val="2"/>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impact from pension participation</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22"/>
                <w:szCs w:val="22"/>
                <w:color w:val="auto"/>
              </w:rPr>
              <w:t>changes</w:t>
            </w:r>
            <w:r>
              <w:rPr>
                <w:rFonts w:ascii="Arial" w:cs="Arial" w:eastAsia="Arial" w:hAnsi="Arial"/>
                <w:sz w:val="24"/>
                <w:szCs w:val="24"/>
                <w:color w:val="auto"/>
                <w:vertAlign w:val="superscript"/>
              </w:rPr>
              <w:t>(8)</w:t>
            </w:r>
            <w:r>
              <w:rPr>
                <w:rFonts w:ascii="Arial" w:cs="Arial" w:eastAsia="Arial" w:hAnsi="Arial"/>
                <w:sz w:val="22"/>
                <w:szCs w:val="22"/>
                <w:color w:val="auto"/>
              </w:rPr>
              <w:t>;</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4640" w:type="dxa"/>
            <w:vAlign w:val="bottom"/>
            <w:gridSpan w:val="2"/>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initial impacts from enacted tax law</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22"/>
                <w:szCs w:val="22"/>
                <w:color w:val="auto"/>
              </w:rPr>
              <w:t>changes</w:t>
            </w:r>
            <w:r>
              <w:rPr>
                <w:rFonts w:ascii="Arial" w:cs="Arial" w:eastAsia="Arial" w:hAnsi="Arial"/>
                <w:sz w:val="24"/>
                <w:szCs w:val="24"/>
                <w:color w:val="auto"/>
                <w:vertAlign w:val="superscript"/>
              </w:rPr>
              <w:t>(9)</w:t>
            </w:r>
            <w:r>
              <w:rPr>
                <w:rFonts w:ascii="Arial" w:cs="Arial" w:eastAsia="Arial" w:hAnsi="Arial"/>
                <w:sz w:val="22"/>
                <w:szCs w:val="22"/>
                <w:color w:val="auto"/>
              </w:rPr>
              <w:t>; and</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240" w:type="dxa"/>
            <w:vAlign w:val="bottom"/>
          </w:tcPr>
          <w:p>
            <w:pPr>
              <w:ind w:left="80"/>
              <w:spacing w:after="0" w:line="243" w:lineRule="exact"/>
              <w:rPr>
                <w:sz w:val="20"/>
                <w:szCs w:val="20"/>
                <w:color w:val="auto"/>
              </w:rPr>
            </w:pPr>
            <w:r>
              <w:rPr>
                <w:rFonts w:ascii="Arial" w:cs="Arial" w:eastAsia="Arial" w:hAnsi="Arial"/>
                <w:sz w:val="22"/>
                <w:szCs w:val="22"/>
                <w:color w:val="582C83"/>
              </w:rPr>
              <w:t>•</w:t>
            </w:r>
          </w:p>
        </w:tc>
        <w:tc>
          <w:tcPr>
            <w:tcW w:w="4400" w:type="dxa"/>
            <w:vAlign w:val="bottom"/>
          </w:tcPr>
          <w:p>
            <w:pPr>
              <w:ind w:left="60"/>
              <w:spacing w:after="0" w:line="243" w:lineRule="exact"/>
              <w:rPr>
                <w:sz w:val="20"/>
                <w:szCs w:val="20"/>
                <w:color w:val="auto"/>
              </w:rPr>
            </w:pPr>
            <w:r>
              <w:rPr>
                <w:rFonts w:ascii="Arial" w:cs="Arial" w:eastAsia="Arial" w:hAnsi="Arial"/>
                <w:sz w:val="22"/>
                <w:szCs w:val="22"/>
                <w:color w:val="auto"/>
              </w:rPr>
              <w:t>costs associated with JDE Peet’s</w:t>
            </w:r>
          </w:p>
        </w:tc>
        <w:tc>
          <w:tcPr>
            <w:tcW w:w="25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tcPr>
          <w:p>
            <w:pPr>
              <w:ind w:left="60"/>
              <w:spacing w:after="0"/>
              <w:rPr>
                <w:sz w:val="20"/>
                <w:szCs w:val="20"/>
                <w:color w:val="auto"/>
              </w:rPr>
            </w:pPr>
            <w:r>
              <w:rPr>
                <w:rFonts w:ascii="Arial" w:cs="Arial" w:eastAsia="Arial" w:hAnsi="Arial"/>
                <w:sz w:val="22"/>
                <w:szCs w:val="22"/>
                <w:color w:val="auto"/>
              </w:rPr>
              <w:t>transaction.</w:t>
            </w:r>
          </w:p>
        </w:tc>
        <w:tc>
          <w:tcPr>
            <w:tcW w:w="2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620" w:type="dxa"/>
            <w:vAlign w:val="bottom"/>
          </w:tcPr>
          <w:p>
            <w:pPr>
              <w:spacing w:after="0"/>
              <w:rPr>
                <w:sz w:val="3"/>
                <w:szCs w:val="3"/>
                <w:color w:val="auto"/>
              </w:rPr>
            </w:pPr>
          </w:p>
        </w:tc>
        <w:tc>
          <w:tcPr>
            <w:tcW w:w="4640" w:type="dxa"/>
            <w:vAlign w:val="bottom"/>
            <w:gridSpan w:val="2"/>
          </w:tcPr>
          <w:p>
            <w:pPr>
              <w:spacing w:after="0"/>
              <w:rPr>
                <w:sz w:val="3"/>
                <w:szCs w:val="3"/>
                <w:color w:val="auto"/>
              </w:rPr>
            </w:pPr>
          </w:p>
        </w:tc>
        <w:tc>
          <w:tcPr>
            <w:tcW w:w="25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Adjusted EPS</w:t>
            </w: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auto"/>
              </w:rPr>
              <w:t>Adjusted EPS is defined as diluted EPS</w:t>
            </w:r>
          </w:p>
        </w:tc>
        <w:tc>
          <w:tcPr>
            <w:tcW w:w="2560" w:type="dxa"/>
            <w:vAlign w:val="bottom"/>
            <w:shd w:val="clear" w:color="auto" w:fill="EBE6F0"/>
          </w:tcPr>
          <w:p>
            <w:pPr>
              <w:ind w:left="260"/>
              <w:spacing w:after="0"/>
              <w:rPr>
                <w:sz w:val="20"/>
                <w:szCs w:val="20"/>
                <w:color w:val="auto"/>
              </w:rPr>
            </w:pPr>
            <w:r>
              <w:rPr>
                <w:rFonts w:ascii="Arial" w:cs="Arial" w:eastAsia="Arial" w:hAnsi="Arial"/>
                <w:sz w:val="22"/>
                <w:szCs w:val="22"/>
                <w:i w:val="1"/>
                <w:iCs w:val="1"/>
                <w:color w:val="auto"/>
              </w:rPr>
              <w:t xml:space="preserve">Adjusted EPS: </w:t>
            </w:r>
            <w:r>
              <w:rPr>
                <w:rFonts w:ascii="Arial" w:cs="Arial" w:eastAsia="Arial" w:hAnsi="Arial"/>
                <w:sz w:val="22"/>
                <w:szCs w:val="22"/>
                <w:color w:val="auto"/>
              </w:rPr>
              <w:t>Actual</w:t>
            </w:r>
          </w:p>
        </w:tc>
        <w:tc>
          <w:tcPr>
            <w:tcW w:w="2420" w:type="dxa"/>
            <w:vAlign w:val="bottom"/>
            <w:shd w:val="clear" w:color="auto" w:fill="EBE6F0"/>
          </w:tcPr>
          <w:p>
            <w:pPr>
              <w:ind w:left="220"/>
              <w:spacing w:after="0"/>
              <w:rPr>
                <w:sz w:val="20"/>
                <w:szCs w:val="20"/>
                <w:color w:val="auto"/>
              </w:rPr>
            </w:pPr>
            <w:r>
              <w:rPr>
                <w:rFonts w:ascii="Arial" w:cs="Arial" w:eastAsia="Arial" w:hAnsi="Arial"/>
                <w:sz w:val="22"/>
                <w:szCs w:val="22"/>
                <w:color w:val="auto"/>
              </w:rPr>
              <w:t>Indicator of overall</w:t>
            </w:r>
          </w:p>
        </w:tc>
        <w:tc>
          <w:tcPr>
            <w:tcW w:w="0" w:type="dxa"/>
            <w:vAlign w:val="bottom"/>
          </w:tcPr>
          <w:p>
            <w:pPr>
              <w:spacing w:after="0"/>
              <w:rPr>
                <w:sz w:val="1"/>
                <w:szCs w:val="1"/>
                <w:color w:val="auto"/>
              </w:rPr>
            </w:pPr>
          </w:p>
        </w:tc>
      </w:tr>
      <w:tr>
        <w:trPr>
          <w:trHeight w:val="256"/>
        </w:trPr>
        <w:tc>
          <w:tcPr>
            <w:tcW w:w="1620" w:type="dxa"/>
            <w:vAlign w:val="bottom"/>
            <w:shd w:val="clear" w:color="auto" w:fill="EBE6F0"/>
          </w:tcPr>
          <w:p>
            <w:pPr>
              <w:ind w:left="80"/>
              <w:spacing w:after="0"/>
              <w:rPr>
                <w:sz w:val="20"/>
                <w:szCs w:val="20"/>
                <w:color w:val="auto"/>
              </w:rPr>
            </w:pPr>
            <w:r>
              <w:rPr>
                <w:rFonts w:ascii="Arial" w:cs="Arial" w:eastAsia="Arial" w:hAnsi="Arial"/>
                <w:sz w:val="22"/>
                <w:szCs w:val="22"/>
                <w:b w:val="1"/>
                <w:bCs w:val="1"/>
                <w:color w:val="auto"/>
              </w:rPr>
              <w:t>(PSUs)</w:t>
            </w: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auto"/>
              </w:rPr>
              <w:t>attributable to Mondelēz International from</w:t>
            </w:r>
          </w:p>
        </w:tc>
        <w:tc>
          <w:tcPr>
            <w:tcW w:w="2560" w:type="dxa"/>
            <w:vAlign w:val="bottom"/>
            <w:shd w:val="clear" w:color="auto" w:fill="EBE6F0"/>
          </w:tcPr>
          <w:p>
            <w:pPr>
              <w:ind w:left="260"/>
              <w:spacing w:after="0"/>
              <w:rPr>
                <w:sz w:val="20"/>
                <w:szCs w:val="20"/>
                <w:color w:val="auto"/>
              </w:rPr>
            </w:pPr>
            <w:r>
              <w:rPr>
                <w:rFonts w:ascii="Arial" w:cs="Arial" w:eastAsia="Arial" w:hAnsi="Arial"/>
                <w:sz w:val="22"/>
                <w:szCs w:val="22"/>
                <w:color w:val="auto"/>
              </w:rPr>
              <w:t>results calculated</w:t>
            </w:r>
          </w:p>
        </w:tc>
        <w:tc>
          <w:tcPr>
            <w:tcW w:w="2420" w:type="dxa"/>
            <w:vAlign w:val="bottom"/>
            <w:shd w:val="clear" w:color="auto" w:fill="EBE6F0"/>
          </w:tcPr>
          <w:p>
            <w:pPr>
              <w:ind w:left="220"/>
              <w:spacing w:after="0"/>
              <w:rPr>
                <w:sz w:val="20"/>
                <w:szCs w:val="20"/>
                <w:color w:val="auto"/>
              </w:rPr>
            </w:pPr>
            <w:r>
              <w:rPr>
                <w:rFonts w:ascii="Arial" w:cs="Arial" w:eastAsia="Arial" w:hAnsi="Arial"/>
                <w:sz w:val="22"/>
                <w:szCs w:val="22"/>
                <w:color w:val="auto"/>
              </w:rPr>
              <w:t>business trends and</w:t>
            </w:r>
          </w:p>
        </w:tc>
        <w:tc>
          <w:tcPr>
            <w:tcW w:w="0" w:type="dxa"/>
            <w:vAlign w:val="bottom"/>
          </w:tcPr>
          <w:p>
            <w:pPr>
              <w:spacing w:after="0"/>
              <w:rPr>
                <w:sz w:val="1"/>
                <w:szCs w:val="1"/>
                <w:color w:val="auto"/>
              </w:rPr>
            </w:pPr>
          </w:p>
        </w:tc>
      </w:tr>
      <w:tr>
        <w:trPr>
          <w:trHeight w:val="230"/>
        </w:trPr>
        <w:tc>
          <w:tcPr>
            <w:tcW w:w="1620" w:type="dxa"/>
            <w:vAlign w:val="bottom"/>
            <w:shd w:val="clear" w:color="auto" w:fill="EBE6F0"/>
          </w:tcPr>
          <w:p>
            <w:pPr>
              <w:spacing w:after="0"/>
              <w:rPr>
                <w:sz w:val="20"/>
                <w:szCs w:val="20"/>
                <w:color w:val="auto"/>
              </w:rPr>
            </w:pPr>
          </w:p>
        </w:tc>
        <w:tc>
          <w:tcPr>
            <w:tcW w:w="4640" w:type="dxa"/>
            <w:vAlign w:val="bottom"/>
            <w:gridSpan w:val="2"/>
            <w:shd w:val="clear" w:color="auto" w:fill="EBE6F0"/>
          </w:tcPr>
          <w:p>
            <w:pPr>
              <w:ind w:left="80"/>
              <w:spacing w:after="0" w:line="230" w:lineRule="exact"/>
              <w:rPr>
                <w:sz w:val="20"/>
                <w:szCs w:val="20"/>
                <w:color w:val="auto"/>
              </w:rPr>
            </w:pPr>
            <w:r>
              <w:rPr>
                <w:rFonts w:ascii="Arial" w:cs="Arial" w:eastAsia="Arial" w:hAnsi="Arial"/>
                <w:sz w:val="22"/>
                <w:szCs w:val="22"/>
                <w:color w:val="auto"/>
              </w:rPr>
              <w:t>continuing operations excluding the impacts</w:t>
            </w:r>
          </w:p>
        </w:tc>
        <w:tc>
          <w:tcPr>
            <w:tcW w:w="2560" w:type="dxa"/>
            <w:vAlign w:val="bottom"/>
            <w:shd w:val="clear" w:color="auto" w:fill="EBE6F0"/>
          </w:tcPr>
          <w:p>
            <w:pPr>
              <w:ind w:left="260"/>
              <w:spacing w:after="0" w:line="230" w:lineRule="exact"/>
              <w:rPr>
                <w:sz w:val="20"/>
                <w:szCs w:val="20"/>
                <w:color w:val="auto"/>
              </w:rPr>
            </w:pPr>
            <w:r>
              <w:rPr>
                <w:rFonts w:ascii="Arial" w:cs="Arial" w:eastAsia="Arial" w:hAnsi="Arial"/>
                <w:sz w:val="22"/>
                <w:szCs w:val="22"/>
                <w:color w:val="auto"/>
              </w:rPr>
              <w:t>based on the</w:t>
            </w:r>
          </w:p>
        </w:tc>
        <w:tc>
          <w:tcPr>
            <w:tcW w:w="2420" w:type="dxa"/>
            <w:vAlign w:val="bottom"/>
            <w:shd w:val="clear" w:color="auto" w:fill="EBE6F0"/>
          </w:tcPr>
          <w:p>
            <w:pPr>
              <w:ind w:left="220"/>
              <w:spacing w:after="0" w:line="230" w:lineRule="exact"/>
              <w:rPr>
                <w:sz w:val="20"/>
                <w:szCs w:val="20"/>
                <w:color w:val="auto"/>
              </w:rPr>
            </w:pPr>
            <w:r>
              <w:rPr>
                <w:rFonts w:ascii="Arial" w:cs="Arial" w:eastAsia="Arial" w:hAnsi="Arial"/>
                <w:sz w:val="22"/>
                <w:szCs w:val="22"/>
                <w:color w:val="auto"/>
              </w:rPr>
              <w:t>performance, based</w:t>
            </w: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4640" w:type="dxa"/>
            <w:vAlign w:val="bottom"/>
            <w:gridSpan w:val="2"/>
            <w:shd w:val="clear" w:color="auto" w:fill="EBE6F0"/>
          </w:tcPr>
          <w:p>
            <w:pPr>
              <w:ind w:left="80"/>
              <w:spacing w:after="0" w:line="243" w:lineRule="exact"/>
              <w:rPr>
                <w:sz w:val="20"/>
                <w:szCs w:val="20"/>
                <w:color w:val="auto"/>
              </w:rPr>
            </w:pPr>
            <w:r>
              <w:rPr>
                <w:rFonts w:ascii="Arial" w:cs="Arial" w:eastAsia="Arial" w:hAnsi="Arial"/>
                <w:sz w:val="22"/>
                <w:szCs w:val="22"/>
                <w:color w:val="auto"/>
              </w:rPr>
              <w:t>of:</w:t>
            </w:r>
          </w:p>
        </w:tc>
        <w:tc>
          <w:tcPr>
            <w:tcW w:w="2560" w:type="dxa"/>
            <w:vAlign w:val="bottom"/>
            <w:shd w:val="clear" w:color="auto" w:fill="EBE6F0"/>
          </w:tcPr>
          <w:p>
            <w:pPr>
              <w:ind w:left="260"/>
              <w:spacing w:after="0" w:line="243" w:lineRule="exact"/>
              <w:rPr>
                <w:sz w:val="20"/>
                <w:szCs w:val="20"/>
                <w:color w:val="auto"/>
              </w:rPr>
            </w:pPr>
            <w:r>
              <w:rPr>
                <w:rFonts w:ascii="Arial" w:cs="Arial" w:eastAsia="Arial" w:hAnsi="Arial"/>
                <w:sz w:val="22"/>
                <w:szCs w:val="22"/>
                <w:color w:val="auto"/>
              </w:rPr>
              <w:t>definition of Adjusted</w:t>
            </w:r>
          </w:p>
        </w:tc>
        <w:tc>
          <w:tcPr>
            <w:tcW w:w="2420" w:type="dxa"/>
            <w:vAlign w:val="bottom"/>
            <w:shd w:val="clear" w:color="auto" w:fill="EBE6F0"/>
          </w:tcPr>
          <w:p>
            <w:pPr>
              <w:ind w:left="220"/>
              <w:spacing w:after="0" w:line="243" w:lineRule="exact"/>
              <w:rPr>
                <w:sz w:val="20"/>
                <w:szCs w:val="20"/>
                <w:color w:val="auto"/>
              </w:rPr>
            </w:pPr>
            <w:r>
              <w:rPr>
                <w:rFonts w:ascii="Arial" w:cs="Arial" w:eastAsia="Arial" w:hAnsi="Arial"/>
                <w:sz w:val="22"/>
                <w:szCs w:val="22"/>
                <w:color w:val="auto"/>
              </w:rPr>
              <w:t>on what business</w:t>
            </w:r>
          </w:p>
        </w:tc>
        <w:tc>
          <w:tcPr>
            <w:tcW w:w="0" w:type="dxa"/>
            <w:vAlign w:val="bottom"/>
          </w:tcPr>
          <w:p>
            <w:pPr>
              <w:spacing w:after="0"/>
              <w:rPr>
                <w:sz w:val="1"/>
                <w:szCs w:val="1"/>
                <w:color w:val="auto"/>
              </w:rPr>
            </w:pPr>
          </w:p>
        </w:tc>
      </w:tr>
      <w:tr>
        <w:trPr>
          <w:trHeight w:val="256"/>
        </w:trPr>
        <w:tc>
          <w:tcPr>
            <w:tcW w:w="1620" w:type="dxa"/>
            <w:vAlign w:val="bottom"/>
            <w:shd w:val="clear" w:color="auto" w:fill="EBE6F0"/>
          </w:tcPr>
          <w:p>
            <w:pPr>
              <w:spacing w:after="0"/>
              <w:rPr>
                <w:sz w:val="22"/>
                <w:szCs w:val="22"/>
                <w:color w:val="auto"/>
              </w:rPr>
            </w:pPr>
          </w:p>
        </w:tc>
        <w:tc>
          <w:tcPr>
            <w:tcW w:w="4640" w:type="dxa"/>
            <w:vAlign w:val="bottom"/>
            <w:gridSpan w:val="2"/>
            <w:shd w:val="clear" w:color="auto" w:fill="EBE6F0"/>
          </w:tcPr>
          <w:p>
            <w:pPr>
              <w:ind w:left="80"/>
              <w:spacing w:after="0" w:line="256"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the Simplify to Grow Program</w:t>
            </w:r>
            <w:r>
              <w:rPr>
                <w:rFonts w:ascii="Arial" w:cs="Arial" w:eastAsia="Arial" w:hAnsi="Arial"/>
                <w:sz w:val="24"/>
                <w:szCs w:val="24"/>
                <w:color w:val="000000"/>
                <w:vertAlign w:val="superscript"/>
              </w:rPr>
              <w:t>(3)</w:t>
            </w:r>
            <w:r>
              <w:rPr>
                <w:rFonts w:ascii="Arial" w:cs="Arial" w:eastAsia="Arial" w:hAnsi="Arial"/>
                <w:sz w:val="22"/>
                <w:szCs w:val="22"/>
                <w:color w:val="000000"/>
              </w:rPr>
              <w:t>;</w:t>
            </w:r>
          </w:p>
        </w:tc>
        <w:tc>
          <w:tcPr>
            <w:tcW w:w="2560" w:type="dxa"/>
            <w:vAlign w:val="bottom"/>
            <w:shd w:val="clear" w:color="auto" w:fill="EBE6F0"/>
          </w:tcPr>
          <w:p>
            <w:pPr>
              <w:ind w:left="260"/>
              <w:spacing w:after="0"/>
              <w:rPr>
                <w:sz w:val="20"/>
                <w:szCs w:val="20"/>
                <w:color w:val="auto"/>
              </w:rPr>
            </w:pPr>
            <w:r>
              <w:rPr>
                <w:rFonts w:ascii="Arial" w:cs="Arial" w:eastAsia="Arial" w:hAnsi="Arial"/>
                <w:sz w:val="22"/>
                <w:szCs w:val="22"/>
                <w:color w:val="auto"/>
              </w:rPr>
              <w:t>EPS used for each</w:t>
            </w:r>
          </w:p>
        </w:tc>
        <w:tc>
          <w:tcPr>
            <w:tcW w:w="2420" w:type="dxa"/>
            <w:vAlign w:val="bottom"/>
            <w:shd w:val="clear" w:color="auto" w:fill="EBE6F0"/>
          </w:tcPr>
          <w:p>
            <w:pPr>
              <w:ind w:left="220"/>
              <w:spacing w:after="0"/>
              <w:rPr>
                <w:sz w:val="20"/>
                <w:szCs w:val="20"/>
                <w:color w:val="auto"/>
              </w:rPr>
            </w:pPr>
            <w:r>
              <w:rPr>
                <w:rFonts w:ascii="Arial" w:cs="Arial" w:eastAsia="Arial" w:hAnsi="Arial"/>
                <w:sz w:val="22"/>
                <w:szCs w:val="22"/>
                <w:color w:val="auto"/>
              </w:rPr>
              <w:t>leaders can control.</w:t>
            </w:r>
          </w:p>
        </w:tc>
        <w:tc>
          <w:tcPr>
            <w:tcW w:w="0" w:type="dxa"/>
            <w:vAlign w:val="bottom"/>
          </w:tcPr>
          <w:p>
            <w:pPr>
              <w:spacing w:after="0"/>
              <w:rPr>
                <w:sz w:val="1"/>
                <w:szCs w:val="1"/>
                <w:color w:val="auto"/>
              </w:rPr>
            </w:pPr>
          </w:p>
        </w:tc>
      </w:tr>
      <w:tr>
        <w:trPr>
          <w:trHeight w:val="230"/>
        </w:trPr>
        <w:tc>
          <w:tcPr>
            <w:tcW w:w="1620" w:type="dxa"/>
            <w:vAlign w:val="bottom"/>
            <w:shd w:val="clear" w:color="auto" w:fill="EBE6F0"/>
          </w:tcPr>
          <w:p>
            <w:pPr>
              <w:spacing w:after="0"/>
              <w:rPr>
                <w:sz w:val="20"/>
                <w:szCs w:val="20"/>
                <w:color w:val="auto"/>
              </w:rPr>
            </w:pPr>
          </w:p>
        </w:tc>
        <w:tc>
          <w:tcPr>
            <w:tcW w:w="4640" w:type="dxa"/>
            <w:vAlign w:val="bottom"/>
            <w:gridSpan w:val="2"/>
            <w:vMerge w:val="restart"/>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gains or losses (including non-cash</w:t>
            </w:r>
          </w:p>
        </w:tc>
        <w:tc>
          <w:tcPr>
            <w:tcW w:w="2560" w:type="dxa"/>
            <w:vAlign w:val="bottom"/>
            <w:shd w:val="clear" w:color="auto" w:fill="EBE6F0"/>
          </w:tcPr>
          <w:p>
            <w:pPr>
              <w:ind w:left="260"/>
              <w:spacing w:after="0" w:line="230" w:lineRule="exact"/>
              <w:rPr>
                <w:sz w:val="20"/>
                <w:szCs w:val="20"/>
                <w:color w:val="auto"/>
              </w:rPr>
            </w:pPr>
            <w:r>
              <w:rPr>
                <w:rFonts w:ascii="Arial" w:cs="Arial" w:eastAsia="Arial" w:hAnsi="Arial"/>
                <w:sz w:val="22"/>
                <w:szCs w:val="22"/>
                <w:color w:val="auto"/>
              </w:rPr>
              <w:t>year of the three-year</w:t>
            </w:r>
          </w:p>
        </w:tc>
        <w:tc>
          <w:tcPr>
            <w:tcW w:w="2420" w:type="dxa"/>
            <w:vAlign w:val="bottom"/>
            <w:shd w:val="clear" w:color="auto" w:fill="EBE6F0"/>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20" w:type="dxa"/>
            <w:vAlign w:val="bottom"/>
            <w:shd w:val="clear" w:color="auto" w:fill="EBE6F0"/>
          </w:tcPr>
          <w:p>
            <w:pPr>
              <w:spacing w:after="0"/>
              <w:rPr>
                <w:sz w:val="7"/>
                <w:szCs w:val="7"/>
                <w:color w:val="auto"/>
              </w:rPr>
            </w:pPr>
          </w:p>
        </w:tc>
        <w:tc>
          <w:tcPr>
            <w:tcW w:w="4640" w:type="dxa"/>
            <w:vAlign w:val="bottom"/>
            <w:gridSpan w:val="2"/>
            <w:vMerge w:val="continue"/>
            <w:shd w:val="clear" w:color="auto" w:fill="EBE6F0"/>
          </w:tcPr>
          <w:p>
            <w:pPr>
              <w:spacing w:after="0"/>
              <w:rPr>
                <w:sz w:val="7"/>
                <w:szCs w:val="7"/>
                <w:color w:val="auto"/>
              </w:rPr>
            </w:pPr>
          </w:p>
        </w:tc>
        <w:tc>
          <w:tcPr>
            <w:tcW w:w="2560" w:type="dxa"/>
            <w:vAlign w:val="bottom"/>
            <w:vMerge w:val="restart"/>
            <w:shd w:val="clear" w:color="auto" w:fill="EBE6F0"/>
          </w:tcPr>
          <w:p>
            <w:pPr>
              <w:ind w:left="260"/>
              <w:spacing w:after="0"/>
              <w:rPr>
                <w:sz w:val="20"/>
                <w:szCs w:val="20"/>
                <w:color w:val="auto"/>
              </w:rPr>
            </w:pPr>
            <w:r>
              <w:rPr>
                <w:rFonts w:ascii="Arial" w:cs="Arial" w:eastAsia="Arial" w:hAnsi="Arial"/>
                <w:sz w:val="22"/>
                <w:szCs w:val="22"/>
                <w:color w:val="auto"/>
              </w:rPr>
              <w:t>performance cycle.</w:t>
            </w:r>
          </w:p>
        </w:tc>
        <w:tc>
          <w:tcPr>
            <w:tcW w:w="2420" w:type="dxa"/>
            <w:vAlign w:val="bottom"/>
            <w:shd w:val="clear" w:color="auto" w:fill="EBE6F0"/>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impairment charges) on goodwill and</w:t>
            </w:r>
          </w:p>
        </w:tc>
        <w:tc>
          <w:tcPr>
            <w:tcW w:w="2560" w:type="dxa"/>
            <w:vAlign w:val="bottom"/>
            <w:vMerge w:val="continue"/>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shd w:val="clear" w:color="auto" w:fill="EBE6F0"/>
          </w:tcPr>
          <w:p>
            <w:pPr>
              <w:spacing w:after="0"/>
              <w:rPr>
                <w:sz w:val="24"/>
                <w:szCs w:val="24"/>
                <w:color w:val="auto"/>
              </w:rPr>
            </w:pPr>
          </w:p>
        </w:tc>
        <w:tc>
          <w:tcPr>
            <w:tcW w:w="240" w:type="dxa"/>
            <w:vAlign w:val="bottom"/>
            <w:shd w:val="clear" w:color="auto" w:fill="EBE6F0"/>
          </w:tcPr>
          <w:p>
            <w:pPr>
              <w:spacing w:after="0"/>
              <w:rPr>
                <w:sz w:val="24"/>
                <w:szCs w:val="24"/>
                <w:color w:val="auto"/>
              </w:rPr>
            </w:pPr>
          </w:p>
        </w:tc>
        <w:tc>
          <w:tcPr>
            <w:tcW w:w="4400" w:type="dxa"/>
            <w:vAlign w:val="bottom"/>
            <w:shd w:val="clear" w:color="auto" w:fill="EBE6F0"/>
          </w:tcPr>
          <w:p>
            <w:pPr>
              <w:ind w:left="60"/>
              <w:spacing w:after="0"/>
              <w:rPr>
                <w:sz w:val="20"/>
                <w:szCs w:val="20"/>
                <w:color w:val="auto"/>
              </w:rPr>
            </w:pPr>
            <w:r>
              <w:rPr>
                <w:rFonts w:ascii="Arial" w:cs="Arial" w:eastAsia="Arial" w:hAnsi="Arial"/>
                <w:sz w:val="22"/>
                <w:szCs w:val="22"/>
                <w:color w:val="auto"/>
              </w:rPr>
              <w:t>intangible assets;</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4640" w:type="dxa"/>
            <w:vAlign w:val="bottom"/>
            <w:gridSpan w:val="2"/>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divestiture</w:t>
            </w:r>
            <w:r>
              <w:rPr>
                <w:rFonts w:ascii="Arial" w:cs="Arial" w:eastAsia="Arial" w:hAnsi="Arial"/>
                <w:sz w:val="24"/>
                <w:szCs w:val="24"/>
                <w:color w:val="000000"/>
                <w:vertAlign w:val="superscript"/>
              </w:rPr>
              <w:t>(1)</w:t>
            </w:r>
            <w:r>
              <w:rPr>
                <w:rFonts w:ascii="Arial" w:cs="Arial" w:eastAsia="Arial" w:hAnsi="Arial"/>
                <w:sz w:val="22"/>
                <w:szCs w:val="22"/>
                <w:color w:val="582C83"/>
              </w:rPr>
              <w:t xml:space="preserve"> </w:t>
            </w:r>
            <w:r>
              <w:rPr>
                <w:rFonts w:ascii="Arial" w:cs="Arial" w:eastAsia="Arial" w:hAnsi="Arial"/>
                <w:sz w:val="22"/>
                <w:szCs w:val="22"/>
                <w:color w:val="000000"/>
              </w:rPr>
              <w:t>or acquisition gains or losses,</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divestiture-related costs</w:t>
            </w:r>
            <w:r>
              <w:rPr>
                <w:rFonts w:ascii="Arial" w:cs="Arial" w:eastAsia="Arial" w:hAnsi="Arial"/>
                <w:sz w:val="24"/>
                <w:szCs w:val="24"/>
                <w:color w:val="auto"/>
                <w:vertAlign w:val="superscript"/>
              </w:rPr>
              <w:t>(1)</w:t>
            </w:r>
            <w:r>
              <w:rPr>
                <w:rFonts w:ascii="Arial" w:cs="Arial" w:eastAsia="Arial" w:hAnsi="Arial"/>
                <w:sz w:val="22"/>
                <w:szCs w:val="22"/>
                <w:color w:val="auto"/>
              </w:rPr>
              <w:t>, acquisition-</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related costs, and acquisition integration</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costs and contingent consideration</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shd w:val="clear" w:color="auto" w:fill="EBE6F0"/>
          </w:tcPr>
          <w:p>
            <w:pPr>
              <w:spacing w:after="0"/>
              <w:rPr>
                <w:sz w:val="24"/>
                <w:szCs w:val="24"/>
                <w:color w:val="auto"/>
              </w:rPr>
            </w:pPr>
          </w:p>
        </w:tc>
        <w:tc>
          <w:tcPr>
            <w:tcW w:w="240" w:type="dxa"/>
            <w:vAlign w:val="bottom"/>
            <w:shd w:val="clear" w:color="auto" w:fill="EBE6F0"/>
          </w:tcPr>
          <w:p>
            <w:pPr>
              <w:spacing w:after="0"/>
              <w:rPr>
                <w:sz w:val="24"/>
                <w:szCs w:val="24"/>
                <w:color w:val="auto"/>
              </w:rPr>
            </w:pPr>
          </w:p>
        </w:tc>
        <w:tc>
          <w:tcPr>
            <w:tcW w:w="4400" w:type="dxa"/>
            <w:vAlign w:val="bottom"/>
            <w:shd w:val="clear" w:color="auto" w:fill="EBE6F0"/>
          </w:tcPr>
          <w:p>
            <w:pPr>
              <w:ind w:left="60"/>
              <w:spacing w:after="0"/>
              <w:rPr>
                <w:sz w:val="20"/>
                <w:szCs w:val="20"/>
                <w:color w:val="auto"/>
              </w:rPr>
            </w:pPr>
            <w:r>
              <w:rPr>
                <w:rFonts w:ascii="Arial" w:cs="Arial" w:eastAsia="Arial" w:hAnsi="Arial"/>
                <w:sz w:val="22"/>
                <w:szCs w:val="22"/>
                <w:color w:val="auto"/>
              </w:rPr>
              <w:t>adjustments;</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net earnings from divestitures</w:t>
            </w:r>
            <w:r>
              <w:rPr>
                <w:rFonts w:ascii="Arial" w:cs="Arial" w:eastAsia="Arial" w:hAnsi="Arial"/>
                <w:sz w:val="24"/>
                <w:szCs w:val="24"/>
                <w:color w:val="000000"/>
                <w:vertAlign w:val="superscript"/>
              </w:rPr>
              <w:t>(1)</w:t>
            </w:r>
            <w:r>
              <w:rPr>
                <w:rFonts w:ascii="Arial" w:cs="Arial" w:eastAsia="Arial" w:hAnsi="Arial"/>
                <w:sz w:val="22"/>
                <w:szCs w:val="22"/>
                <w:color w:val="000000"/>
              </w:rPr>
              <w:t>;</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remeasurement of net monetary position</w:t>
            </w:r>
            <w:r>
              <w:rPr>
                <w:rFonts w:ascii="Arial" w:cs="Arial" w:eastAsia="Arial" w:hAnsi="Arial"/>
                <w:sz w:val="24"/>
                <w:szCs w:val="24"/>
                <w:color w:val="000000"/>
                <w:vertAlign w:val="superscript"/>
              </w:rPr>
              <w:t>(4)</w:t>
            </w:r>
            <w:r>
              <w:rPr>
                <w:rFonts w:ascii="Arial" w:cs="Arial" w:eastAsia="Arial" w:hAnsi="Arial"/>
                <w:sz w:val="22"/>
                <w:szCs w:val="22"/>
                <w:color w:val="000000"/>
              </w:rPr>
              <w:t>;</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582C83"/>
              </w:rPr>
              <w:t>•</w:t>
            </w: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mark-to-market impacts from commodity,</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forecasted currency and equity method</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spacing w:after="0"/>
              <w:rPr>
                <w:sz w:val="21"/>
                <w:szCs w:val="21"/>
                <w:color w:val="auto"/>
              </w:rPr>
            </w:pP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investment transaction</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240" w:type="dxa"/>
            <w:vAlign w:val="bottom"/>
            <w:shd w:val="clear" w:color="auto" w:fill="EBE6F0"/>
          </w:tcPr>
          <w:p>
            <w:pPr>
              <w:spacing w:after="0"/>
              <w:rPr>
                <w:sz w:val="24"/>
                <w:szCs w:val="24"/>
                <w:color w:val="auto"/>
              </w:rPr>
            </w:pPr>
          </w:p>
        </w:tc>
        <w:tc>
          <w:tcPr>
            <w:tcW w:w="4400" w:type="dxa"/>
            <w:vAlign w:val="bottom"/>
            <w:shd w:val="clear" w:color="auto" w:fill="EBE6F0"/>
          </w:tcPr>
          <w:p>
            <w:pPr>
              <w:ind w:left="60"/>
              <w:spacing w:after="0"/>
              <w:rPr>
                <w:sz w:val="20"/>
                <w:szCs w:val="20"/>
                <w:color w:val="auto"/>
              </w:rPr>
            </w:pPr>
            <w:r>
              <w:rPr>
                <w:rFonts w:ascii="Arial" w:cs="Arial" w:eastAsia="Arial" w:hAnsi="Arial"/>
                <w:sz w:val="22"/>
                <w:szCs w:val="22"/>
                <w:color w:val="auto"/>
              </w:rPr>
              <w:t>derivative contracts</w:t>
            </w:r>
            <w:r>
              <w:rPr>
                <w:rFonts w:ascii="Arial" w:cs="Arial" w:eastAsia="Arial" w:hAnsi="Arial"/>
                <w:sz w:val="24"/>
                <w:szCs w:val="24"/>
                <w:color w:val="auto"/>
                <w:vertAlign w:val="superscript"/>
              </w:rPr>
              <w:t>(5)</w:t>
            </w:r>
            <w:r>
              <w:rPr>
                <w:rFonts w:ascii="Arial" w:cs="Arial" w:eastAsia="Arial" w:hAnsi="Arial"/>
                <w:sz w:val="22"/>
                <w:szCs w:val="22"/>
                <w:color w:val="auto"/>
              </w:rPr>
              <w:t>;</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impact from resolution of tax matters</w:t>
            </w:r>
            <w:r>
              <w:rPr>
                <w:rFonts w:ascii="Arial" w:cs="Arial" w:eastAsia="Arial" w:hAnsi="Arial"/>
                <w:sz w:val="24"/>
                <w:szCs w:val="24"/>
                <w:color w:val="000000"/>
                <w:vertAlign w:val="superscript"/>
              </w:rPr>
              <w:t>(6)</w:t>
            </w:r>
            <w:r>
              <w:rPr>
                <w:rFonts w:ascii="Arial" w:cs="Arial" w:eastAsia="Arial" w:hAnsi="Arial"/>
                <w:sz w:val="22"/>
                <w:szCs w:val="22"/>
                <w:color w:val="000000"/>
              </w:rPr>
              <w:t>;</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4640" w:type="dxa"/>
            <w:vAlign w:val="bottom"/>
            <w:gridSpan w:val="2"/>
            <w:shd w:val="clear" w:color="auto" w:fill="EBE6F0"/>
          </w:tcPr>
          <w:p>
            <w:pPr>
              <w:ind w:left="80"/>
              <w:spacing w:after="0"/>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CEO transition remuneration</w:t>
            </w:r>
            <w:r>
              <w:rPr>
                <w:rFonts w:ascii="Arial" w:cs="Arial" w:eastAsia="Arial" w:hAnsi="Arial"/>
                <w:sz w:val="24"/>
                <w:szCs w:val="24"/>
                <w:color w:val="000000"/>
                <w:vertAlign w:val="superscript"/>
              </w:rPr>
              <w:t>(7);</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4640" w:type="dxa"/>
            <w:vAlign w:val="bottom"/>
            <w:gridSpan w:val="2"/>
            <w:shd w:val="clear" w:color="auto" w:fill="EBE6F0"/>
          </w:tcPr>
          <w:p>
            <w:pPr>
              <w:ind w:left="80"/>
              <w:spacing w:after="0" w:line="243" w:lineRule="exact"/>
              <w:rPr>
                <w:sz w:val="20"/>
                <w:szCs w:val="20"/>
                <w:color w:val="auto"/>
              </w:rPr>
            </w:pPr>
            <w:r>
              <w:rPr>
                <w:rFonts w:ascii="Arial" w:cs="Arial" w:eastAsia="Arial" w:hAnsi="Arial"/>
                <w:sz w:val="22"/>
                <w:szCs w:val="22"/>
                <w:color w:val="582C83"/>
              </w:rPr>
              <w:t xml:space="preserve">• </w:t>
            </w:r>
            <w:r>
              <w:rPr>
                <w:rFonts w:ascii="Arial" w:cs="Arial" w:eastAsia="Arial" w:hAnsi="Arial"/>
                <w:sz w:val="22"/>
                <w:szCs w:val="22"/>
                <w:color w:val="000000"/>
              </w:rPr>
              <w:t>impact from pension participation</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620" w:type="dxa"/>
            <w:vAlign w:val="bottom"/>
            <w:shd w:val="clear" w:color="auto" w:fill="EBE6F0"/>
          </w:tcPr>
          <w:p>
            <w:pPr>
              <w:spacing w:after="0"/>
              <w:rPr>
                <w:sz w:val="24"/>
                <w:szCs w:val="24"/>
                <w:color w:val="auto"/>
              </w:rPr>
            </w:pPr>
          </w:p>
        </w:tc>
        <w:tc>
          <w:tcPr>
            <w:tcW w:w="240" w:type="dxa"/>
            <w:vAlign w:val="bottom"/>
            <w:shd w:val="clear" w:color="auto" w:fill="EBE6F0"/>
          </w:tcPr>
          <w:p>
            <w:pPr>
              <w:spacing w:after="0"/>
              <w:rPr>
                <w:sz w:val="24"/>
                <w:szCs w:val="24"/>
                <w:color w:val="auto"/>
              </w:rPr>
            </w:pPr>
          </w:p>
        </w:tc>
        <w:tc>
          <w:tcPr>
            <w:tcW w:w="4400" w:type="dxa"/>
            <w:vAlign w:val="bottom"/>
            <w:shd w:val="clear" w:color="auto" w:fill="EBE6F0"/>
          </w:tcPr>
          <w:p>
            <w:pPr>
              <w:ind w:left="60"/>
              <w:spacing w:after="0"/>
              <w:rPr>
                <w:sz w:val="20"/>
                <w:szCs w:val="20"/>
                <w:color w:val="auto"/>
              </w:rPr>
            </w:pPr>
            <w:r>
              <w:rPr>
                <w:rFonts w:ascii="Arial" w:cs="Arial" w:eastAsia="Arial" w:hAnsi="Arial"/>
                <w:sz w:val="22"/>
                <w:szCs w:val="22"/>
                <w:color w:val="auto"/>
              </w:rPr>
              <w:t>changes</w:t>
            </w:r>
            <w:r>
              <w:rPr>
                <w:rFonts w:ascii="Arial" w:cs="Arial" w:eastAsia="Arial" w:hAnsi="Arial"/>
                <w:sz w:val="24"/>
                <w:szCs w:val="24"/>
                <w:color w:val="auto"/>
                <w:vertAlign w:val="superscript"/>
              </w:rPr>
              <w:t>(8)</w:t>
            </w:r>
            <w:r>
              <w:rPr>
                <w:rFonts w:ascii="Arial" w:cs="Arial" w:eastAsia="Arial" w:hAnsi="Arial"/>
                <w:sz w:val="22"/>
                <w:szCs w:val="22"/>
                <w:color w:val="auto"/>
              </w:rPr>
              <w:t>;</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582C83"/>
              </w:rPr>
              <w:t>•</w:t>
            </w: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costs associated with JDE Peet’s</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620" w:type="dxa"/>
            <w:vAlign w:val="bottom"/>
            <w:shd w:val="clear" w:color="auto" w:fill="EBE6F0"/>
          </w:tcPr>
          <w:p>
            <w:pPr>
              <w:spacing w:after="0"/>
              <w:rPr>
                <w:sz w:val="24"/>
                <w:szCs w:val="24"/>
                <w:color w:val="auto"/>
              </w:rPr>
            </w:pPr>
          </w:p>
        </w:tc>
        <w:tc>
          <w:tcPr>
            <w:tcW w:w="240" w:type="dxa"/>
            <w:vAlign w:val="bottom"/>
            <w:shd w:val="clear" w:color="auto" w:fill="EBE6F0"/>
          </w:tcPr>
          <w:p>
            <w:pPr>
              <w:spacing w:after="0"/>
              <w:rPr>
                <w:sz w:val="24"/>
                <w:szCs w:val="24"/>
                <w:color w:val="auto"/>
              </w:rPr>
            </w:pPr>
          </w:p>
        </w:tc>
        <w:tc>
          <w:tcPr>
            <w:tcW w:w="4400" w:type="dxa"/>
            <w:vAlign w:val="bottom"/>
            <w:shd w:val="clear" w:color="auto" w:fill="EBE6F0"/>
          </w:tcPr>
          <w:p>
            <w:pPr>
              <w:ind w:left="60"/>
              <w:spacing w:after="0"/>
              <w:rPr>
                <w:sz w:val="20"/>
                <w:szCs w:val="20"/>
                <w:color w:val="auto"/>
              </w:rPr>
            </w:pPr>
            <w:r>
              <w:rPr>
                <w:rFonts w:ascii="Arial" w:cs="Arial" w:eastAsia="Arial" w:hAnsi="Arial"/>
                <w:sz w:val="22"/>
                <w:szCs w:val="22"/>
                <w:color w:val="auto"/>
              </w:rPr>
              <w:t>transaction;</w:t>
            </w:r>
          </w:p>
        </w:tc>
        <w:tc>
          <w:tcPr>
            <w:tcW w:w="2560" w:type="dxa"/>
            <w:vAlign w:val="bottom"/>
            <w:shd w:val="clear" w:color="auto" w:fill="EBE6F0"/>
          </w:tcPr>
          <w:p>
            <w:pPr>
              <w:spacing w:after="0"/>
              <w:rPr>
                <w:sz w:val="24"/>
                <w:szCs w:val="24"/>
                <w:color w:val="auto"/>
              </w:rPr>
            </w:pPr>
          </w:p>
        </w:tc>
        <w:tc>
          <w:tcPr>
            <w:tcW w:w="2420" w:type="dxa"/>
            <w:vAlign w:val="bottom"/>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EBE6F0"/>
          </w:tcPr>
          <w:p>
            <w:pPr>
              <w:spacing w:after="0"/>
              <w:rPr>
                <w:sz w:val="21"/>
                <w:szCs w:val="21"/>
                <w:color w:val="auto"/>
              </w:rPr>
            </w:pPr>
          </w:p>
        </w:tc>
        <w:tc>
          <w:tcPr>
            <w:tcW w:w="240" w:type="dxa"/>
            <w:vAlign w:val="bottom"/>
            <w:shd w:val="clear" w:color="auto" w:fill="EBE6F0"/>
          </w:tcPr>
          <w:p>
            <w:pPr>
              <w:ind w:left="80"/>
              <w:spacing w:after="0" w:line="243" w:lineRule="exact"/>
              <w:rPr>
                <w:sz w:val="20"/>
                <w:szCs w:val="20"/>
                <w:color w:val="auto"/>
              </w:rPr>
            </w:pPr>
            <w:r>
              <w:rPr>
                <w:rFonts w:ascii="Arial" w:cs="Arial" w:eastAsia="Arial" w:hAnsi="Arial"/>
                <w:sz w:val="22"/>
                <w:szCs w:val="22"/>
                <w:color w:val="582C83"/>
              </w:rPr>
              <w:t>•</w:t>
            </w:r>
          </w:p>
        </w:tc>
        <w:tc>
          <w:tcPr>
            <w:tcW w:w="4400" w:type="dxa"/>
            <w:vAlign w:val="bottom"/>
            <w:shd w:val="clear" w:color="auto" w:fill="EBE6F0"/>
          </w:tcPr>
          <w:p>
            <w:pPr>
              <w:ind w:left="60"/>
              <w:spacing w:after="0" w:line="243" w:lineRule="exact"/>
              <w:rPr>
                <w:sz w:val="20"/>
                <w:szCs w:val="20"/>
                <w:color w:val="auto"/>
              </w:rPr>
            </w:pPr>
            <w:r>
              <w:rPr>
                <w:rFonts w:ascii="Arial" w:cs="Arial" w:eastAsia="Arial" w:hAnsi="Arial"/>
                <w:sz w:val="22"/>
                <w:szCs w:val="22"/>
                <w:color w:val="auto"/>
              </w:rPr>
              <w:t>losses on debt extinguishment and related</w:t>
            </w:r>
          </w:p>
        </w:tc>
        <w:tc>
          <w:tcPr>
            <w:tcW w:w="2560" w:type="dxa"/>
            <w:vAlign w:val="bottom"/>
            <w:shd w:val="clear" w:color="auto" w:fill="EBE6F0"/>
          </w:tcPr>
          <w:p>
            <w:pPr>
              <w:spacing w:after="0"/>
              <w:rPr>
                <w:sz w:val="21"/>
                <w:szCs w:val="21"/>
                <w:color w:val="auto"/>
              </w:rPr>
            </w:pPr>
          </w:p>
        </w:tc>
        <w:tc>
          <w:tcPr>
            <w:tcW w:w="2420" w:type="dxa"/>
            <w:vAlign w:val="bottom"/>
            <w:shd w:val="clear" w:color="auto" w:fill="EBE6F0"/>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620" w:type="dxa"/>
            <w:vAlign w:val="bottom"/>
            <w:tcBorders>
              <w:bottom w:val="single" w:sz="8" w:color="EBE6F0"/>
            </w:tcBorders>
            <w:shd w:val="clear" w:color="auto" w:fill="EBE6F0"/>
          </w:tcPr>
          <w:p>
            <w:pPr>
              <w:spacing w:after="0"/>
              <w:rPr>
                <w:sz w:val="24"/>
                <w:szCs w:val="24"/>
                <w:color w:val="auto"/>
              </w:rPr>
            </w:pPr>
          </w:p>
        </w:tc>
        <w:tc>
          <w:tcPr>
            <w:tcW w:w="240" w:type="dxa"/>
            <w:vAlign w:val="bottom"/>
            <w:tcBorders>
              <w:bottom w:val="single" w:sz="8" w:color="EBE6F0"/>
            </w:tcBorders>
            <w:shd w:val="clear" w:color="auto" w:fill="EBE6F0"/>
          </w:tcPr>
          <w:p>
            <w:pPr>
              <w:spacing w:after="0"/>
              <w:rPr>
                <w:sz w:val="24"/>
                <w:szCs w:val="24"/>
                <w:color w:val="auto"/>
              </w:rPr>
            </w:pPr>
          </w:p>
        </w:tc>
        <w:tc>
          <w:tcPr>
            <w:tcW w:w="4400" w:type="dxa"/>
            <w:vAlign w:val="bottom"/>
            <w:tcBorders>
              <w:bottom w:val="single" w:sz="8" w:color="EBE6F0"/>
            </w:tcBorders>
            <w:shd w:val="clear" w:color="auto" w:fill="EBE6F0"/>
          </w:tcPr>
          <w:p>
            <w:pPr>
              <w:ind w:left="60"/>
              <w:spacing w:after="0"/>
              <w:rPr>
                <w:sz w:val="20"/>
                <w:szCs w:val="20"/>
                <w:color w:val="auto"/>
              </w:rPr>
            </w:pPr>
            <w:r>
              <w:rPr>
                <w:rFonts w:ascii="Arial" w:cs="Arial" w:eastAsia="Arial" w:hAnsi="Arial"/>
                <w:sz w:val="22"/>
                <w:szCs w:val="22"/>
                <w:color w:val="auto"/>
              </w:rPr>
              <w:t>expenses;</w:t>
            </w:r>
          </w:p>
        </w:tc>
        <w:tc>
          <w:tcPr>
            <w:tcW w:w="2560" w:type="dxa"/>
            <w:vAlign w:val="bottom"/>
            <w:tcBorders>
              <w:bottom w:val="single" w:sz="8" w:color="EBE6F0"/>
            </w:tcBorders>
            <w:shd w:val="clear" w:color="auto" w:fill="EBE6F0"/>
          </w:tcPr>
          <w:p>
            <w:pPr>
              <w:spacing w:after="0"/>
              <w:rPr>
                <w:sz w:val="24"/>
                <w:szCs w:val="24"/>
                <w:color w:val="auto"/>
              </w:rPr>
            </w:pPr>
          </w:p>
        </w:tc>
        <w:tc>
          <w:tcPr>
            <w:tcW w:w="2420" w:type="dxa"/>
            <w:vAlign w:val="bottom"/>
            <w:tcBorders>
              <w:bottom w:val="single" w:sz="8" w:color="EBE6F0"/>
            </w:tcBorders>
            <w:shd w:val="clear" w:color="auto" w:fill="EBE6F0"/>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Borders>
              <w:bottom w:val="single" w:sz="8" w:color="58358F"/>
            </w:tcBorders>
          </w:tcPr>
          <w:p>
            <w:pPr>
              <w:spacing w:after="0"/>
              <w:rPr>
                <w:sz w:val="16"/>
                <w:szCs w:val="16"/>
                <w:color w:val="auto"/>
              </w:rPr>
            </w:pPr>
          </w:p>
        </w:tc>
        <w:tc>
          <w:tcPr>
            <w:tcW w:w="240" w:type="dxa"/>
            <w:vAlign w:val="bottom"/>
            <w:tcBorders>
              <w:bottom w:val="single" w:sz="8" w:color="58358F"/>
            </w:tcBorders>
          </w:tcPr>
          <w:p>
            <w:pPr>
              <w:spacing w:after="0"/>
              <w:rPr>
                <w:sz w:val="16"/>
                <w:szCs w:val="16"/>
                <w:color w:val="auto"/>
              </w:rPr>
            </w:pPr>
          </w:p>
        </w:tc>
        <w:tc>
          <w:tcPr>
            <w:tcW w:w="4400" w:type="dxa"/>
            <w:vAlign w:val="bottom"/>
            <w:tcBorders>
              <w:bottom w:val="single" w:sz="8" w:color="58358F"/>
            </w:tcBorders>
          </w:tcPr>
          <w:p>
            <w:pPr>
              <w:spacing w:after="0"/>
              <w:rPr>
                <w:sz w:val="16"/>
                <w:szCs w:val="16"/>
                <w:color w:val="auto"/>
              </w:rPr>
            </w:pPr>
          </w:p>
        </w:tc>
        <w:tc>
          <w:tcPr>
            <w:tcW w:w="2560" w:type="dxa"/>
            <w:vAlign w:val="bottom"/>
            <w:tcBorders>
              <w:bottom w:val="single" w:sz="8" w:color="58358F"/>
            </w:tcBorders>
          </w:tcPr>
          <w:p>
            <w:pPr>
              <w:spacing w:after="0"/>
              <w:rPr>
                <w:sz w:val="16"/>
                <w:szCs w:val="16"/>
                <w:color w:val="auto"/>
              </w:rPr>
            </w:pPr>
          </w:p>
        </w:tc>
        <w:tc>
          <w:tcPr>
            <w:tcW w:w="2420" w:type="dxa"/>
            <w:vAlign w:val="bottom"/>
            <w:tcBorders>
              <w:bottom w:val="single" w:sz="8" w:color="58358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588"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49"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Definitions</w:t>
      </w:r>
    </w:p>
    <w:p>
      <w:pPr>
        <w:spacing w:after="0" w:line="45" w:lineRule="exact"/>
        <w:rPr>
          <w:sz w:val="20"/>
          <w:szCs w:val="20"/>
          <w:color w:val="auto"/>
        </w:rPr>
      </w:pPr>
    </w:p>
    <w:p>
      <w:pPr>
        <w:ind w:left="80"/>
        <w:spacing w:after="0"/>
        <w:tabs>
          <w:tab w:leader="none" w:pos="1680" w:val="left"/>
          <w:tab w:leader="none" w:pos="6500" w:val="left"/>
          <w:tab w:leader="none" w:pos="9040" w:val="left"/>
        </w:tabs>
        <w:rPr>
          <w:sz w:val="20"/>
          <w:szCs w:val="20"/>
          <w:color w:val="auto"/>
        </w:rPr>
      </w:pPr>
      <w:r>
        <w:rPr>
          <w:rFonts w:ascii="Arial" w:cs="Arial" w:eastAsia="Arial" w:hAnsi="Arial"/>
          <w:sz w:val="22"/>
          <w:szCs w:val="22"/>
          <w:b w:val="1"/>
          <w:bCs w:val="1"/>
          <w:color w:val="auto"/>
        </w:rPr>
        <w:t>Measures</w:t>
      </w:r>
      <w:r>
        <w:rPr>
          <w:sz w:val="20"/>
          <w:szCs w:val="20"/>
          <w:color w:val="auto"/>
        </w:rPr>
        <w:tab/>
      </w:r>
      <w:r>
        <w:rPr>
          <w:rFonts w:ascii="Arial" w:cs="Arial" w:eastAsia="Arial" w:hAnsi="Arial"/>
          <w:sz w:val="22"/>
          <w:szCs w:val="22"/>
          <w:b w:val="1"/>
          <w:bCs w:val="1"/>
          <w:color w:val="auto"/>
        </w:rPr>
        <w:t>(Including Adjustment to GAAP Measure)</w:t>
      </w:r>
      <w:r>
        <w:rPr>
          <w:sz w:val="20"/>
          <w:szCs w:val="20"/>
          <w:color w:val="auto"/>
        </w:rPr>
        <w:tab/>
      </w:r>
      <w:r>
        <w:rPr>
          <w:rFonts w:ascii="Arial" w:cs="Arial" w:eastAsia="Arial" w:hAnsi="Arial"/>
          <w:sz w:val="22"/>
          <w:szCs w:val="22"/>
          <w:b w:val="1"/>
          <w:bCs w:val="1"/>
          <w:color w:val="auto"/>
        </w:rPr>
        <w:t>Modifications</w:t>
      </w:r>
      <w:r>
        <w:rPr>
          <w:sz w:val="20"/>
          <w:szCs w:val="20"/>
          <w:color w:val="auto"/>
        </w:rPr>
        <w:tab/>
      </w:r>
      <w:r>
        <w:rPr>
          <w:rFonts w:ascii="Arial" w:cs="Arial" w:eastAsia="Arial" w:hAnsi="Arial"/>
          <w:sz w:val="21"/>
          <w:szCs w:val="21"/>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2117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line="268" w:lineRule="auto"/>
        <w:rPr>
          <w:sz w:val="20"/>
          <w:szCs w:val="20"/>
          <w:color w:val="auto"/>
        </w:rPr>
      </w:pPr>
      <w:r>
        <w:rPr>
          <w:rFonts w:ascii="Arial" w:cs="Arial" w:eastAsia="Arial" w:hAnsi="Arial"/>
          <w:sz w:val="21"/>
          <w:szCs w:val="21"/>
          <w:b w:val="1"/>
          <w:bCs w:val="1"/>
          <w:color w:val="auto"/>
        </w:rPr>
        <w:t>Free Cash Flow</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(AIP)</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20" w:right="5240" w:hanging="211"/>
        <w:spacing w:after="0"/>
        <w:tabs>
          <w:tab w:leader="none" w:pos="220" w:val="left"/>
        </w:tabs>
        <w:numPr>
          <w:ilvl w:val="0"/>
          <w:numId w:val="104"/>
        </w:numPr>
        <w:rPr>
          <w:rFonts w:ascii="Arial" w:cs="Arial" w:eastAsia="Arial" w:hAnsi="Arial"/>
          <w:sz w:val="22"/>
          <w:szCs w:val="22"/>
          <w:color w:val="582C83"/>
        </w:rPr>
      </w:pPr>
      <w:r>
        <w:rPr>
          <w:rFonts w:ascii="Arial" w:cs="Arial" w:eastAsia="Arial" w:hAnsi="Arial"/>
          <w:sz w:val="22"/>
          <w:szCs w:val="22"/>
          <w:color w:val="auto"/>
        </w:rPr>
        <w:t>gains or losses on interest rate swaps no longer designated as accounting cash flow hedges due to changed financing and hedging plans;</w:t>
      </w:r>
    </w:p>
    <w:p>
      <w:pPr>
        <w:ind w:left="220" w:right="6160" w:hanging="211"/>
        <w:spacing w:after="0" w:line="261" w:lineRule="auto"/>
        <w:tabs>
          <w:tab w:leader="none" w:pos="220" w:val="left"/>
        </w:tabs>
        <w:numPr>
          <w:ilvl w:val="0"/>
          <w:numId w:val="104"/>
        </w:numPr>
        <w:rPr>
          <w:rFonts w:ascii="Arial" w:cs="Arial" w:eastAsia="Arial" w:hAnsi="Arial"/>
          <w:sz w:val="21"/>
          <w:szCs w:val="21"/>
          <w:color w:val="582C83"/>
        </w:rPr>
      </w:pPr>
      <w:r>
        <w:rPr>
          <w:rFonts w:ascii="Arial" w:cs="Arial" w:eastAsia="Arial" w:hAnsi="Arial"/>
          <w:sz w:val="21"/>
          <w:szCs w:val="21"/>
          <w:color w:val="auto"/>
        </w:rPr>
        <w:t>gains or losses on equity method investment transactions;</w:t>
      </w:r>
    </w:p>
    <w:p>
      <w:pPr>
        <w:spacing w:after="0" w:line="1" w:lineRule="exact"/>
        <w:rPr>
          <w:rFonts w:ascii="Arial" w:cs="Arial" w:eastAsia="Arial" w:hAnsi="Arial"/>
          <w:sz w:val="21"/>
          <w:szCs w:val="21"/>
          <w:color w:val="582C83"/>
        </w:rPr>
      </w:pPr>
    </w:p>
    <w:p>
      <w:pPr>
        <w:ind w:left="220" w:right="5960" w:hanging="211"/>
        <w:spacing w:after="0" w:line="247" w:lineRule="auto"/>
        <w:tabs>
          <w:tab w:leader="none" w:pos="220" w:val="left"/>
        </w:tabs>
        <w:numPr>
          <w:ilvl w:val="0"/>
          <w:numId w:val="104"/>
        </w:numPr>
        <w:rPr>
          <w:rFonts w:ascii="Arial" w:cs="Arial" w:eastAsia="Arial" w:hAnsi="Arial"/>
          <w:sz w:val="22"/>
          <w:szCs w:val="22"/>
          <w:color w:val="582C83"/>
        </w:rPr>
      </w:pPr>
      <w:r>
        <w:rPr>
          <w:rFonts w:ascii="Arial" w:cs="Arial" w:eastAsia="Arial" w:hAnsi="Arial"/>
          <w:sz w:val="22"/>
          <w:szCs w:val="22"/>
          <w:color w:val="auto"/>
        </w:rPr>
        <w:t>initial impacts from enacted tax law changes</w:t>
      </w:r>
      <w:r>
        <w:rPr>
          <w:rFonts w:ascii="Arial" w:cs="Arial" w:eastAsia="Arial" w:hAnsi="Arial"/>
          <w:sz w:val="24"/>
          <w:szCs w:val="24"/>
          <w:color w:val="auto"/>
          <w:vertAlign w:val="superscript"/>
        </w:rPr>
        <w:t>(9)</w:t>
      </w:r>
      <w:r>
        <w:rPr>
          <w:rFonts w:ascii="Arial" w:cs="Arial" w:eastAsia="Arial" w:hAnsi="Arial"/>
          <w:sz w:val="22"/>
          <w:szCs w:val="22"/>
          <w:color w:val="auto"/>
        </w:rPr>
        <w:t>;</w:t>
      </w:r>
    </w:p>
    <w:p>
      <w:pPr>
        <w:spacing w:after="0" w:line="2" w:lineRule="exact"/>
        <w:rPr>
          <w:rFonts w:ascii="Arial" w:cs="Arial" w:eastAsia="Arial" w:hAnsi="Arial"/>
          <w:sz w:val="22"/>
          <w:szCs w:val="22"/>
          <w:color w:val="582C83"/>
        </w:rPr>
      </w:pPr>
    </w:p>
    <w:p>
      <w:pPr>
        <w:ind w:left="220" w:hanging="211"/>
        <w:spacing w:after="0"/>
        <w:tabs>
          <w:tab w:leader="none" w:pos="220" w:val="left"/>
        </w:tabs>
        <w:numPr>
          <w:ilvl w:val="0"/>
          <w:numId w:val="104"/>
        </w:numPr>
        <w:rPr>
          <w:rFonts w:ascii="Arial" w:cs="Arial" w:eastAsia="Arial" w:hAnsi="Arial"/>
          <w:sz w:val="22"/>
          <w:szCs w:val="22"/>
          <w:color w:val="582C83"/>
        </w:rPr>
      </w:pPr>
      <w:r>
        <w:rPr>
          <w:rFonts w:ascii="Arial" w:cs="Arial" w:eastAsia="Arial" w:hAnsi="Arial"/>
          <w:sz w:val="22"/>
          <w:szCs w:val="22"/>
          <w:color w:val="auto"/>
        </w:rPr>
        <w:t>And within Adjusted EPS:</w:t>
      </w:r>
    </w:p>
    <w:p>
      <w:pPr>
        <w:spacing w:after="0" w:line="10" w:lineRule="exact"/>
        <w:rPr>
          <w:rFonts w:ascii="Arial" w:cs="Arial" w:eastAsia="Arial" w:hAnsi="Arial"/>
          <w:sz w:val="22"/>
          <w:szCs w:val="22"/>
          <w:color w:val="582C83"/>
        </w:rPr>
      </w:pPr>
    </w:p>
    <w:p>
      <w:pPr>
        <w:ind w:left="220" w:right="5160" w:hanging="211"/>
        <w:spacing w:after="0" w:line="249" w:lineRule="auto"/>
        <w:tabs>
          <w:tab w:leader="none" w:pos="220" w:val="left"/>
        </w:tabs>
        <w:numPr>
          <w:ilvl w:val="0"/>
          <w:numId w:val="104"/>
        </w:numPr>
        <w:rPr>
          <w:rFonts w:ascii="Arial" w:cs="Arial" w:eastAsia="Arial" w:hAnsi="Arial"/>
          <w:sz w:val="22"/>
          <w:szCs w:val="22"/>
          <w:color w:val="582C83"/>
        </w:rPr>
      </w:pPr>
      <w:r>
        <w:rPr>
          <w:rFonts w:ascii="Arial" w:cs="Arial" w:eastAsia="Arial" w:hAnsi="Arial"/>
          <w:sz w:val="22"/>
          <w:szCs w:val="22"/>
          <w:color w:val="auto"/>
        </w:rPr>
        <w:t>equity method investment earnings exclude our proportionate share of our investees’ significant operating and non-operating items</w:t>
      </w:r>
      <w:r>
        <w:rPr>
          <w:rFonts w:ascii="Arial" w:cs="Arial" w:eastAsia="Arial" w:hAnsi="Arial"/>
          <w:sz w:val="24"/>
          <w:szCs w:val="24"/>
          <w:color w:val="auto"/>
          <w:vertAlign w:val="superscript"/>
        </w:rPr>
        <w:t>(10)</w:t>
      </w:r>
      <w:r>
        <w:rPr>
          <w:rFonts w:ascii="Arial" w:cs="Arial" w:eastAsia="Arial" w:hAnsi="Arial"/>
          <w:sz w:val="22"/>
          <w:szCs w:val="22"/>
          <w:color w:val="auto"/>
        </w:rPr>
        <w:t>.</w:t>
      </w:r>
    </w:p>
    <w:p>
      <w:pPr>
        <w:spacing w:after="0" w:line="20" w:lineRule="exact"/>
        <w:rPr>
          <w:sz w:val="20"/>
          <w:szCs w:val="20"/>
          <w:color w:val="auto"/>
        </w:rPr>
      </w:pPr>
    </w:p>
    <w:p>
      <w:pPr>
        <w:spacing w:after="0"/>
        <w:tabs>
          <w:tab w:leader="none" w:pos="7340" w:val="left"/>
        </w:tabs>
        <w:rPr>
          <w:sz w:val="20"/>
          <w:szCs w:val="20"/>
          <w:color w:val="auto"/>
        </w:rPr>
      </w:pPr>
      <w:r>
        <w:rPr>
          <w:rFonts w:ascii="Arial" w:cs="Arial" w:eastAsia="Arial" w:hAnsi="Arial"/>
          <w:sz w:val="22"/>
          <w:szCs w:val="22"/>
          <w:color w:val="auto"/>
        </w:rPr>
        <w:t>Free Cash Flow is defined as Net Cash</w:t>
      </w:r>
      <w:r>
        <w:rPr>
          <w:sz w:val="20"/>
          <w:szCs w:val="20"/>
          <w:color w:val="auto"/>
        </w:rPr>
        <w:tab/>
      </w:r>
      <w:r>
        <w:rPr>
          <w:rFonts w:ascii="Arial" w:cs="Arial" w:eastAsia="Arial" w:hAnsi="Arial"/>
          <w:sz w:val="21"/>
          <w:szCs w:val="21"/>
          <w:color w:val="auto"/>
        </w:rPr>
        <w:t>Reflects financial</w:t>
      </w:r>
    </w:p>
    <w:p>
      <w:pPr>
        <w:spacing w:after="0"/>
        <w:tabs>
          <w:tab w:leader="none" w:pos="7340" w:val="left"/>
        </w:tabs>
        <w:rPr>
          <w:sz w:val="20"/>
          <w:szCs w:val="20"/>
          <w:color w:val="auto"/>
        </w:rPr>
      </w:pPr>
      <w:r>
        <w:rPr>
          <w:rFonts w:ascii="Arial" w:cs="Arial" w:eastAsia="Arial" w:hAnsi="Arial"/>
          <w:sz w:val="22"/>
          <w:szCs w:val="22"/>
          <w:color w:val="auto"/>
        </w:rPr>
        <w:t>Provided By Operating Activities less capital</w:t>
      </w:r>
      <w:r>
        <w:rPr>
          <w:sz w:val="20"/>
          <w:szCs w:val="20"/>
          <w:color w:val="auto"/>
        </w:rPr>
        <w:tab/>
      </w:r>
      <w:r>
        <w:rPr>
          <w:rFonts w:ascii="Arial" w:cs="Arial" w:eastAsia="Arial" w:hAnsi="Arial"/>
          <w:sz w:val="21"/>
          <w:szCs w:val="21"/>
          <w:color w:val="auto"/>
        </w:rPr>
        <w:t>liquidity, working</w:t>
      </w:r>
    </w:p>
    <w:p>
      <w:pPr>
        <w:spacing w:after="0"/>
        <w:tabs>
          <w:tab w:leader="none" w:pos="7340" w:val="left"/>
        </w:tabs>
        <w:rPr>
          <w:sz w:val="20"/>
          <w:szCs w:val="20"/>
          <w:color w:val="auto"/>
        </w:rPr>
      </w:pPr>
      <w:r>
        <w:rPr>
          <w:rFonts w:ascii="Arial" w:cs="Arial" w:eastAsia="Arial" w:hAnsi="Arial"/>
          <w:sz w:val="21"/>
          <w:szCs w:val="21"/>
          <w:color w:val="auto"/>
        </w:rPr>
        <w:t>expenditures.</w:t>
      </w:r>
      <w:r>
        <w:rPr>
          <w:sz w:val="20"/>
          <w:szCs w:val="20"/>
          <w:color w:val="auto"/>
        </w:rPr>
        <w:tab/>
      </w:r>
      <w:r>
        <w:rPr>
          <w:rFonts w:ascii="Arial" w:cs="Arial" w:eastAsia="Arial" w:hAnsi="Arial"/>
          <w:sz w:val="21"/>
          <w:szCs w:val="21"/>
          <w:color w:val="auto"/>
        </w:rPr>
        <w:t>capital efficiency and</w:t>
      </w:r>
    </w:p>
    <w:p>
      <w:pPr>
        <w:spacing w:after="0" w:line="2" w:lineRule="exact"/>
        <w:rPr>
          <w:sz w:val="20"/>
          <w:szCs w:val="20"/>
          <w:color w:val="auto"/>
        </w:rPr>
      </w:pPr>
    </w:p>
    <w:p>
      <w:pPr>
        <w:jc w:val="right"/>
        <w:ind w:right="680"/>
        <w:spacing w:after="0"/>
        <w:rPr>
          <w:sz w:val="20"/>
          <w:szCs w:val="20"/>
          <w:color w:val="auto"/>
        </w:rPr>
      </w:pPr>
      <w:r>
        <w:rPr>
          <w:rFonts w:ascii="Arial" w:cs="Arial" w:eastAsia="Arial" w:hAnsi="Arial"/>
          <w:sz w:val="22"/>
          <w:szCs w:val="22"/>
          <w:color w:val="auto"/>
        </w:rPr>
        <w:t>financial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32385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40" w:space="560"/>
            <w:col w:w="9540"/>
          </w:cols>
          <w:pgMar w:left="320" w:top="130" w:right="339" w:bottom="1440" w:gutter="0" w:footer="0" w:header="0"/>
          <w:type w:val="continuous"/>
        </w:sectPr>
      </w:pPr>
    </w:p>
    <w:p>
      <w:pPr>
        <w:spacing w:after="0" w:line="121" w:lineRule="exact"/>
        <w:rPr>
          <w:sz w:val="20"/>
          <w:szCs w:val="20"/>
          <w:color w:val="auto"/>
        </w:rPr>
      </w:pPr>
    </w:p>
    <w:p>
      <w:pPr>
        <w:ind w:left="460" w:right="260" w:hanging="371"/>
        <w:spacing w:after="0" w:line="239"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Divestitures include completed sales of businesses (including the partial or full sale of an equity method investment) and the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During the third quarter of 2021, we began to exclude the impact of certain adjustments made to our acquisition contingent consideration liabilities that were recorded as of the date of the acquisition. We made this adjustment to better facilitate comparisons of our underlying operating performance across periods. See Note 2, Acquisitions and Divestitures, and Note 7, Equity Method Investments, in our 2021 Form 10-K for more information.</w:t>
      </w:r>
    </w:p>
    <w:p>
      <w:pPr>
        <w:spacing w:after="0" w:line="15" w:lineRule="exact"/>
        <w:rPr>
          <w:rFonts w:ascii="Arial" w:cs="Arial" w:eastAsia="Arial" w:hAnsi="Arial"/>
          <w:sz w:val="18"/>
          <w:szCs w:val="18"/>
          <w:i w:val="1"/>
          <w:iCs w:val="1"/>
          <w:color w:val="auto"/>
        </w:rPr>
      </w:pPr>
    </w:p>
    <w:p>
      <w:pPr>
        <w:ind w:left="460" w:right="280" w:hanging="371"/>
        <w:spacing w:after="0" w:line="244"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8" w:lineRule="exact"/>
        <w:rPr>
          <w:rFonts w:ascii="Arial" w:cs="Arial" w:eastAsia="Arial" w:hAnsi="Arial"/>
          <w:sz w:val="18"/>
          <w:szCs w:val="18"/>
          <w:i w:val="1"/>
          <w:iCs w:val="1"/>
          <w:color w:val="auto"/>
        </w:rPr>
      </w:pPr>
    </w:p>
    <w:p>
      <w:pPr>
        <w:ind w:left="460" w:right="340" w:hanging="371"/>
        <w:spacing w:after="0" w:line="248"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spacing w:after="0" w:line="6" w:lineRule="exact"/>
        <w:rPr>
          <w:rFonts w:ascii="Arial" w:cs="Arial" w:eastAsia="Arial" w:hAnsi="Arial"/>
          <w:sz w:val="18"/>
          <w:szCs w:val="18"/>
          <w:i w:val="1"/>
          <w:iCs w:val="1"/>
          <w:color w:val="auto"/>
        </w:rPr>
      </w:pPr>
    </w:p>
    <w:p>
      <w:pPr>
        <w:ind w:left="460" w:right="120" w:hanging="371"/>
        <w:spacing w:after="0" w:line="244"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During the third quarter of 2018, as we began to apply highly inflationary accounting for Argentina, we excluded the remeasurement gains or losses related to remeasuring net monetary assets or liabilities in Argentina to be consistent with our prior accounting for these remeasurement gains or losses for Venezuela when it was subject to highly inflationary accounting prior to 2016. See Note 1, Summary of Significant Accounting Policies, in our 2021 Form 10-K for more information.</w:t>
      </w:r>
    </w:p>
    <w:p>
      <w:pPr>
        <w:spacing w:after="0" w:line="8" w:lineRule="exact"/>
        <w:rPr>
          <w:rFonts w:ascii="Arial" w:cs="Arial" w:eastAsia="Arial" w:hAnsi="Arial"/>
          <w:sz w:val="18"/>
          <w:szCs w:val="18"/>
          <w:i w:val="1"/>
          <w:iCs w:val="1"/>
          <w:color w:val="auto"/>
        </w:rPr>
      </w:pPr>
    </w:p>
    <w:p>
      <w:pPr>
        <w:ind w:left="460" w:right="140" w:hanging="371"/>
        <w:spacing w:after="0" w:line="239"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We exclude unrealized gains and losses (mark-to-market impacts) from outstanding commodity and forecasted currency and equity method investment transaction derivatives from our non-GAAP earnings measures. The mark-to-market impacts of commodity and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exclude equity method investment derivative contract settlements as they represent protection of value for future divestitures.</w:t>
      </w:r>
    </w:p>
    <w:p>
      <w:pPr>
        <w:spacing w:after="0" w:line="15" w:lineRule="exact"/>
        <w:rPr>
          <w:rFonts w:ascii="Arial" w:cs="Arial" w:eastAsia="Arial" w:hAnsi="Arial"/>
          <w:sz w:val="18"/>
          <w:szCs w:val="18"/>
          <w:i w:val="1"/>
          <w:iCs w:val="1"/>
          <w:color w:val="auto"/>
        </w:rPr>
      </w:pPr>
    </w:p>
    <w:p>
      <w:pPr>
        <w:ind w:left="460" w:hanging="371"/>
        <w:spacing w:after="0"/>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See Note 14, Commitments and Contingencies – Tax Matters, in our 2021 Form 10-K for more information.</w:t>
      </w:r>
    </w:p>
    <w:p>
      <w:pPr>
        <w:spacing w:after="0" w:line="36" w:lineRule="exact"/>
        <w:rPr>
          <w:rFonts w:ascii="Arial" w:cs="Arial" w:eastAsia="Arial" w:hAnsi="Arial"/>
          <w:sz w:val="18"/>
          <w:szCs w:val="18"/>
          <w:i w:val="1"/>
          <w:iCs w:val="1"/>
          <w:color w:val="auto"/>
        </w:rPr>
      </w:pPr>
    </w:p>
    <w:p>
      <w:pPr>
        <w:ind w:left="460" w:right="160" w:hanging="371"/>
        <w:spacing w:after="0" w:line="237" w:lineRule="auto"/>
        <w:tabs>
          <w:tab w:leader="none" w:pos="4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PSUs and stock options. In connection with Irene Rosenfeld’s retirement, we made her outstanding grants of PSUs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 During the first quarter of 2020, Mr. Van de Put’s equity grants became fully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2" w:name="page133"/>
    <w:bookmarkEnd w:id="132"/>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4" w:lineRule="exact"/>
        <w:rPr>
          <w:sz w:val="20"/>
          <w:szCs w:val="20"/>
          <w:color w:val="auto"/>
        </w:rPr>
      </w:pPr>
    </w:p>
    <w:p>
      <w:pPr>
        <w:ind w:left="460" w:right="180" w:hanging="371"/>
        <w:spacing w:after="0" w:line="244" w:lineRule="auto"/>
        <w:tabs>
          <w:tab w:leader="none" w:pos="4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from pension participation changes represents the charges incurred when employee groups are withdrawn from multiemployer pension plans and other changes in employee group pension plan participation. We exclude these charges from our non– GAAP results because those amounts do not reflect our ongoing pension obligations. See Note 11, Benefit Plans, in our 2021 Form 10-K for more information.</w:t>
      </w:r>
    </w:p>
    <w:p>
      <w:pPr>
        <w:spacing w:after="0" w:line="8" w:lineRule="exact"/>
        <w:rPr>
          <w:rFonts w:ascii="Arial" w:cs="Arial" w:eastAsia="Arial" w:hAnsi="Arial"/>
          <w:sz w:val="18"/>
          <w:szCs w:val="18"/>
          <w:i w:val="1"/>
          <w:iCs w:val="1"/>
          <w:color w:val="auto"/>
        </w:rPr>
      </w:pPr>
    </w:p>
    <w:p>
      <w:pPr>
        <w:ind w:left="460" w:right="120" w:hanging="371"/>
        <w:spacing w:after="0" w:line="241" w:lineRule="auto"/>
        <w:tabs>
          <w:tab w:leader="none" w:pos="4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We have excluded the initial impacts form enacted tax law changes. Initial impacts includes items such as the remeasurement of deferred tax balances and the transition tax from the 2017 U.S. tax reform. Previously, we only excluded the initial impacts from more material tax reforms, specifically the impacts of the 2019 Swiss tax reform and the 2017 U.S. tax reform. We exclude initial impacts from enacted tax law changes from our Adjusted EPS as they do not reflect our ongoing tax obligations under the enacted tax law changes. Refer to Note 16, Income Taxes, in our 2021 Form 10-K for more information.</w:t>
      </w:r>
    </w:p>
    <w:p>
      <w:pPr>
        <w:spacing w:after="0" w:line="13" w:lineRule="exact"/>
        <w:rPr>
          <w:rFonts w:ascii="Arial" w:cs="Arial" w:eastAsia="Arial" w:hAnsi="Arial"/>
          <w:sz w:val="18"/>
          <w:szCs w:val="18"/>
          <w:i w:val="1"/>
          <w:iCs w:val="1"/>
          <w:color w:val="auto"/>
        </w:rPr>
      </w:pPr>
    </w:p>
    <w:p>
      <w:pPr>
        <w:ind w:left="460" w:right="240" w:hanging="371"/>
        <w:spacing w:after="0" w:line="238" w:lineRule="auto"/>
        <w:tabs>
          <w:tab w:leader="none" w:pos="4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We have excluded our proportionate share of our equity method investees’ significant operating and non-operating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31"/>
          <w:szCs w:val="31"/>
          <w:b w:val="1"/>
          <w:bCs w:val="1"/>
          <w:color w:val="auto"/>
        </w:rPr>
        <w:t xml:space="preserve"> GAAP to Non-GAAP Reconciliations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40" w:type="dxa"/>
            <w:vAlign w:val="bottom"/>
          </w:tcPr>
          <w:p>
            <w:pPr>
              <w:ind w:left="80"/>
              <w:spacing w:after="0"/>
              <w:rPr>
                <w:sz w:val="20"/>
                <w:szCs w:val="20"/>
                <w:color w:val="auto"/>
              </w:rPr>
            </w:pPr>
            <w:r>
              <w:rPr>
                <w:rFonts w:ascii="Arial" w:cs="Arial" w:eastAsia="Arial" w:hAnsi="Arial"/>
                <w:sz w:val="18"/>
                <w:szCs w:val="18"/>
                <w:b w:val="1"/>
                <w:bCs w:val="1"/>
                <w:color w:val="auto"/>
              </w:rPr>
              <w:t>Net Revenues to Organic Net Revenue</w:t>
            </w:r>
          </w:p>
        </w:tc>
        <w:tc>
          <w:tcPr>
            <w:tcW w:w="4100" w:type="dxa"/>
            <w:vAlign w:val="bottom"/>
            <w:gridSpan w:val="2"/>
          </w:tcPr>
          <w:p>
            <w:pPr>
              <w:jc w:val="right"/>
              <w:spacing w:after="0"/>
              <w:rPr>
                <w:sz w:val="20"/>
                <w:szCs w:val="20"/>
                <w:color w:val="auto"/>
              </w:rPr>
            </w:pPr>
            <w:r>
              <w:rPr>
                <w:rFonts w:ascii="Arial" w:cs="Arial" w:eastAsia="Arial" w:hAnsi="Arial"/>
                <w:sz w:val="18"/>
                <w:szCs w:val="18"/>
                <w:b w:val="1"/>
                <w:bCs w:val="1"/>
                <w:color w:val="auto"/>
              </w:rPr>
              <w:t>Mondelēz</w:t>
            </w:r>
          </w:p>
        </w:tc>
      </w:tr>
      <w:tr>
        <w:trPr>
          <w:trHeight w:val="265"/>
        </w:trPr>
        <w:tc>
          <w:tcPr>
            <w:tcW w:w="714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(in millions of U.S. dollars) (Unaudited)</w:t>
            </w:r>
          </w:p>
        </w:tc>
        <w:tc>
          <w:tcPr>
            <w:tcW w:w="4100" w:type="dxa"/>
            <w:vAlign w:val="bottom"/>
            <w:tcBorders>
              <w:bottom w:val="single" w:sz="8" w:color="582C83"/>
            </w:tcBorders>
            <w:gridSpan w:val="2"/>
          </w:tcPr>
          <w:p>
            <w:pPr>
              <w:jc w:val="right"/>
              <w:spacing w:after="0"/>
              <w:rPr>
                <w:sz w:val="20"/>
                <w:szCs w:val="20"/>
                <w:color w:val="auto"/>
              </w:rPr>
            </w:pPr>
            <w:r>
              <w:rPr>
                <w:rFonts w:ascii="Arial" w:cs="Arial" w:eastAsia="Arial" w:hAnsi="Arial"/>
                <w:sz w:val="18"/>
                <w:szCs w:val="18"/>
                <w:b w:val="1"/>
                <w:bCs w:val="1"/>
                <w:color w:val="auto"/>
              </w:rPr>
              <w:t>International</w:t>
            </w:r>
          </w:p>
        </w:tc>
      </w:tr>
      <w:tr>
        <w:trPr>
          <w:trHeight w:val="316"/>
        </w:trPr>
        <w:tc>
          <w:tcPr>
            <w:tcW w:w="71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For the Twelve Months Ended December 31, 2021</w:t>
            </w:r>
          </w:p>
        </w:tc>
        <w:tc>
          <w:tcPr>
            <w:tcW w:w="3380" w:type="dxa"/>
            <w:vAlign w:val="bottom"/>
            <w:tcBorders>
              <w:bottom w:val="single" w:sz="8" w:color="EBE6F0"/>
            </w:tcBorders>
            <w:shd w:val="clear" w:color="auto" w:fill="EBE6F0"/>
          </w:tcPr>
          <w:p>
            <w:pPr>
              <w:spacing w:after="0"/>
              <w:rPr>
                <w:sz w:val="24"/>
                <w:szCs w:val="24"/>
                <w:color w:val="auto"/>
              </w:rPr>
            </w:pPr>
          </w:p>
        </w:tc>
        <w:tc>
          <w:tcPr>
            <w:tcW w:w="720" w:type="dxa"/>
            <w:vAlign w:val="bottom"/>
            <w:tcBorders>
              <w:bottom w:val="single" w:sz="8" w:color="EBE6F0"/>
            </w:tcBorders>
            <w:shd w:val="clear" w:color="auto" w:fill="EBE6F0"/>
          </w:tcPr>
          <w:p>
            <w:pPr>
              <w:spacing w:after="0"/>
              <w:rPr>
                <w:sz w:val="24"/>
                <w:szCs w:val="24"/>
                <w:color w:val="auto"/>
              </w:rPr>
            </w:pPr>
          </w:p>
        </w:tc>
      </w:tr>
      <w:tr>
        <w:trPr>
          <w:trHeight w:val="273"/>
        </w:trPr>
        <w:tc>
          <w:tcPr>
            <w:tcW w:w="714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Reported (GAAP)</w:t>
            </w:r>
          </w:p>
        </w:tc>
        <w:tc>
          <w:tcPr>
            <w:tcW w:w="33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28,720</w:t>
            </w:r>
          </w:p>
        </w:tc>
      </w:tr>
      <w:tr>
        <w:trPr>
          <w:trHeight w:val="31"/>
        </w:trPr>
        <w:tc>
          <w:tcPr>
            <w:tcW w:w="7140" w:type="dxa"/>
            <w:vAlign w:val="bottom"/>
            <w:tcBorders>
              <w:bottom w:val="single" w:sz="8" w:color="572C83"/>
            </w:tcBorders>
          </w:tcPr>
          <w:p>
            <w:pPr>
              <w:spacing w:after="0"/>
              <w:rPr>
                <w:sz w:val="2"/>
                <w:szCs w:val="2"/>
                <w:color w:val="auto"/>
              </w:rPr>
            </w:pPr>
          </w:p>
        </w:tc>
        <w:tc>
          <w:tcPr>
            <w:tcW w:w="338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r>
      <w:tr>
        <w:trPr>
          <w:trHeight w:val="309"/>
        </w:trPr>
        <w:tc>
          <w:tcPr>
            <w:tcW w:w="71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Currency</w:t>
            </w:r>
          </w:p>
        </w:tc>
        <w:tc>
          <w:tcPr>
            <w:tcW w:w="3380" w:type="dxa"/>
            <w:vAlign w:val="bottom"/>
            <w:tcBorders>
              <w:bottom w:val="single" w:sz="8" w:color="EBE6F0"/>
            </w:tcBorders>
            <w:shd w:val="clear" w:color="auto" w:fill="EBE6F0"/>
          </w:tcPr>
          <w:p>
            <w:pPr>
              <w:spacing w:after="0"/>
              <w:rPr>
                <w:sz w:val="24"/>
                <w:szCs w:val="24"/>
                <w:color w:val="auto"/>
              </w:rPr>
            </w:pPr>
          </w:p>
        </w:tc>
        <w:tc>
          <w:tcPr>
            <w:tcW w:w="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(462)</w:t>
            </w:r>
          </w:p>
        </w:tc>
      </w:tr>
      <w:tr>
        <w:trPr>
          <w:trHeight w:val="345"/>
        </w:trPr>
        <w:tc>
          <w:tcPr>
            <w:tcW w:w="7140" w:type="dxa"/>
            <w:vAlign w:val="bottom"/>
            <w:tcBorders>
              <w:top w:val="single" w:sz="8" w:color="572C83"/>
              <w:bottom w:val="single" w:sz="8" w:color="572C83"/>
            </w:tcBorders>
          </w:tcPr>
          <w:p>
            <w:pPr>
              <w:ind w:left="80"/>
              <w:spacing w:after="0"/>
              <w:rPr>
                <w:sz w:val="20"/>
                <w:szCs w:val="20"/>
                <w:color w:val="auto"/>
              </w:rPr>
            </w:pPr>
            <w:r>
              <w:rPr>
                <w:rFonts w:ascii="Arial" w:cs="Arial" w:eastAsia="Arial" w:hAnsi="Arial"/>
                <w:sz w:val="18"/>
                <w:szCs w:val="18"/>
                <w:color w:val="auto"/>
              </w:rPr>
              <w:t>Acquisitions</w:t>
            </w:r>
            <w:r>
              <w:rPr>
                <w:rFonts w:ascii="Arial" w:cs="Arial" w:eastAsia="Arial" w:hAnsi="Arial"/>
                <w:sz w:val="29"/>
                <w:szCs w:val="29"/>
                <w:color w:val="auto"/>
                <w:vertAlign w:val="superscript"/>
              </w:rPr>
              <w:t>(1)</w:t>
            </w:r>
          </w:p>
        </w:tc>
        <w:tc>
          <w:tcPr>
            <w:tcW w:w="3380" w:type="dxa"/>
            <w:vAlign w:val="bottom"/>
            <w:tcBorders>
              <w:top w:val="single" w:sz="8" w:color="572C83"/>
              <w:bottom w:val="single" w:sz="8" w:color="572C83"/>
            </w:tcBorders>
          </w:tcPr>
          <w:p>
            <w:pPr>
              <w:spacing w:after="0"/>
              <w:rPr>
                <w:sz w:val="24"/>
                <w:szCs w:val="24"/>
                <w:color w:val="auto"/>
              </w:rPr>
            </w:pPr>
          </w:p>
        </w:tc>
        <w:tc>
          <w:tcPr>
            <w:tcW w:w="720" w:type="dxa"/>
            <w:vAlign w:val="bottom"/>
            <w:tcBorders>
              <w:top w:val="single" w:sz="8" w:color="572C83"/>
              <w:bottom w:val="single" w:sz="8" w:color="572C83"/>
            </w:tcBorders>
          </w:tcPr>
          <w:p>
            <w:pPr>
              <w:jc w:val="right"/>
              <w:spacing w:after="0"/>
              <w:rPr>
                <w:sz w:val="20"/>
                <w:szCs w:val="20"/>
                <w:color w:val="auto"/>
              </w:rPr>
            </w:pPr>
            <w:r>
              <w:rPr>
                <w:rFonts w:ascii="Arial" w:cs="Arial" w:eastAsia="Arial" w:hAnsi="Arial"/>
                <w:sz w:val="18"/>
                <w:szCs w:val="18"/>
                <w:color w:val="auto"/>
              </w:rPr>
              <w:t>(254)</w:t>
            </w:r>
          </w:p>
        </w:tc>
      </w:tr>
      <w:tr>
        <w:trPr>
          <w:trHeight w:val="344"/>
        </w:trPr>
        <w:tc>
          <w:tcPr>
            <w:tcW w:w="714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Divestitures</w:t>
            </w:r>
            <w:r>
              <w:rPr>
                <w:rFonts w:ascii="Arial" w:cs="Arial" w:eastAsia="Arial" w:hAnsi="Arial"/>
                <w:sz w:val="29"/>
                <w:szCs w:val="29"/>
                <w:color w:val="auto"/>
                <w:vertAlign w:val="superscript"/>
              </w:rPr>
              <w:t>(1)</w:t>
            </w:r>
          </w:p>
        </w:tc>
        <w:tc>
          <w:tcPr>
            <w:tcW w:w="3380" w:type="dxa"/>
            <w:vAlign w:val="bottom"/>
            <w:tcBorders>
              <w:bottom w:val="single" w:sz="8" w:color="572C83"/>
            </w:tcBorders>
            <w:shd w:val="clear" w:color="auto" w:fill="EBE6F0"/>
          </w:tcPr>
          <w:p>
            <w:pPr>
              <w:spacing w:after="0"/>
              <w:rPr>
                <w:sz w:val="24"/>
                <w:szCs w:val="24"/>
                <w:color w:val="auto"/>
              </w:rPr>
            </w:pPr>
          </w:p>
        </w:tc>
        <w:tc>
          <w:tcPr>
            <w:tcW w:w="720" w:type="dxa"/>
            <w:vAlign w:val="bottom"/>
            <w:tcBorders>
              <w:bottom w:val="single" w:sz="8" w:color="572C83"/>
            </w:tcBorders>
            <w:shd w:val="clear" w:color="auto" w:fill="EBE6F0"/>
          </w:tcPr>
          <w:p>
            <w:pPr>
              <w:jc w:val="right"/>
              <w:spacing w:after="0"/>
              <w:rPr>
                <w:sz w:val="20"/>
                <w:szCs w:val="20"/>
                <w:color w:val="auto"/>
              </w:rPr>
            </w:pPr>
            <w:r>
              <w:rPr>
                <w:rFonts w:ascii="Arial" w:cs="Arial" w:eastAsia="Arial" w:hAnsi="Arial"/>
                <w:sz w:val="18"/>
                <w:szCs w:val="18"/>
                <w:color w:val="auto"/>
              </w:rPr>
              <w:t>(35)</w:t>
            </w:r>
          </w:p>
        </w:tc>
      </w:tr>
      <w:tr>
        <w:trPr>
          <w:trHeight w:val="274"/>
        </w:trPr>
        <w:tc>
          <w:tcPr>
            <w:tcW w:w="7140" w:type="dxa"/>
            <w:vAlign w:val="bottom"/>
          </w:tcPr>
          <w:p>
            <w:pPr>
              <w:ind w:left="80"/>
              <w:spacing w:after="0"/>
              <w:rPr>
                <w:sz w:val="20"/>
                <w:szCs w:val="20"/>
                <w:color w:val="auto"/>
              </w:rPr>
            </w:pPr>
            <w:r>
              <w:rPr>
                <w:rFonts w:ascii="Arial" w:cs="Arial" w:eastAsia="Arial" w:hAnsi="Arial"/>
                <w:sz w:val="18"/>
                <w:szCs w:val="18"/>
                <w:b w:val="1"/>
                <w:bCs w:val="1"/>
                <w:color w:val="auto"/>
              </w:rPr>
              <w:t>Organic (Non-GAAP)</w:t>
            </w:r>
          </w:p>
        </w:tc>
        <w:tc>
          <w:tcPr>
            <w:tcW w:w="3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27,969</w:t>
            </w:r>
          </w:p>
        </w:tc>
      </w:tr>
      <w:tr>
        <w:trPr>
          <w:trHeight w:val="30"/>
        </w:trPr>
        <w:tc>
          <w:tcPr>
            <w:tcW w:w="7140" w:type="dxa"/>
            <w:vAlign w:val="bottom"/>
            <w:tcBorders>
              <w:bottom w:val="single" w:sz="8" w:color="572C83"/>
            </w:tcBorders>
          </w:tcPr>
          <w:p>
            <w:pPr>
              <w:spacing w:after="0"/>
              <w:rPr>
                <w:sz w:val="2"/>
                <w:szCs w:val="2"/>
                <w:color w:val="auto"/>
              </w:rPr>
            </w:pPr>
          </w:p>
        </w:tc>
        <w:tc>
          <w:tcPr>
            <w:tcW w:w="338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r>
      <w:tr>
        <w:trPr>
          <w:trHeight w:val="309"/>
        </w:trPr>
        <w:tc>
          <w:tcPr>
            <w:tcW w:w="71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For the Twelve Months Ended December 31, 2020</w:t>
            </w:r>
          </w:p>
        </w:tc>
        <w:tc>
          <w:tcPr>
            <w:tcW w:w="3380" w:type="dxa"/>
            <w:vAlign w:val="bottom"/>
            <w:tcBorders>
              <w:bottom w:val="single" w:sz="8" w:color="EBE6F0"/>
            </w:tcBorders>
            <w:shd w:val="clear" w:color="auto" w:fill="EBE6F0"/>
          </w:tcPr>
          <w:p>
            <w:pPr>
              <w:spacing w:after="0"/>
              <w:rPr>
                <w:sz w:val="24"/>
                <w:szCs w:val="24"/>
                <w:color w:val="auto"/>
              </w:rPr>
            </w:pPr>
          </w:p>
        </w:tc>
        <w:tc>
          <w:tcPr>
            <w:tcW w:w="720" w:type="dxa"/>
            <w:vAlign w:val="bottom"/>
            <w:tcBorders>
              <w:bottom w:val="single" w:sz="8" w:color="EBE6F0"/>
            </w:tcBorders>
            <w:shd w:val="clear" w:color="auto" w:fill="EBE6F0"/>
          </w:tcPr>
          <w:p>
            <w:pPr>
              <w:spacing w:after="0"/>
              <w:rPr>
                <w:sz w:val="24"/>
                <w:szCs w:val="24"/>
                <w:color w:val="auto"/>
              </w:rPr>
            </w:pPr>
          </w:p>
        </w:tc>
      </w:tr>
      <w:tr>
        <w:trPr>
          <w:trHeight w:val="273"/>
        </w:trPr>
        <w:tc>
          <w:tcPr>
            <w:tcW w:w="714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Reported (GAAP)</w:t>
            </w:r>
          </w:p>
        </w:tc>
        <w:tc>
          <w:tcPr>
            <w:tcW w:w="33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26,581</w:t>
            </w:r>
          </w:p>
        </w:tc>
      </w:tr>
      <w:tr>
        <w:trPr>
          <w:trHeight w:val="30"/>
        </w:trPr>
        <w:tc>
          <w:tcPr>
            <w:tcW w:w="7140" w:type="dxa"/>
            <w:vAlign w:val="bottom"/>
            <w:tcBorders>
              <w:bottom w:val="single" w:sz="8" w:color="572C83"/>
            </w:tcBorders>
          </w:tcPr>
          <w:p>
            <w:pPr>
              <w:spacing w:after="0"/>
              <w:rPr>
                <w:sz w:val="2"/>
                <w:szCs w:val="2"/>
                <w:color w:val="auto"/>
              </w:rPr>
            </w:pPr>
          </w:p>
        </w:tc>
        <w:tc>
          <w:tcPr>
            <w:tcW w:w="338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r>
      <w:tr>
        <w:trPr>
          <w:trHeight w:val="309"/>
        </w:trPr>
        <w:tc>
          <w:tcPr>
            <w:tcW w:w="71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Divestitures</w:t>
            </w:r>
          </w:p>
        </w:tc>
        <w:tc>
          <w:tcPr>
            <w:tcW w:w="3380" w:type="dxa"/>
            <w:vAlign w:val="bottom"/>
            <w:tcBorders>
              <w:bottom w:val="single" w:sz="8" w:color="EBE6F0"/>
            </w:tcBorders>
            <w:shd w:val="clear" w:color="auto" w:fill="EBE6F0"/>
          </w:tcPr>
          <w:p>
            <w:pPr>
              <w:spacing w:after="0"/>
              <w:rPr>
                <w:sz w:val="24"/>
                <w:szCs w:val="24"/>
                <w:color w:val="auto"/>
              </w:rPr>
            </w:pPr>
          </w:p>
        </w:tc>
        <w:tc>
          <w:tcPr>
            <w:tcW w:w="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color w:val="auto"/>
              </w:rPr>
              <w:t>-</w:t>
            </w:r>
          </w:p>
        </w:tc>
      </w:tr>
      <w:tr>
        <w:trPr>
          <w:trHeight w:val="273"/>
        </w:trPr>
        <w:tc>
          <w:tcPr>
            <w:tcW w:w="714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Organic (Non-GAAP)</w:t>
            </w:r>
          </w:p>
        </w:tc>
        <w:tc>
          <w:tcPr>
            <w:tcW w:w="33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26,581</w:t>
            </w:r>
          </w:p>
        </w:tc>
      </w:tr>
      <w:tr>
        <w:trPr>
          <w:trHeight w:val="30"/>
        </w:trPr>
        <w:tc>
          <w:tcPr>
            <w:tcW w:w="7140" w:type="dxa"/>
            <w:vAlign w:val="bottom"/>
            <w:tcBorders>
              <w:bottom w:val="single" w:sz="8" w:color="572C83"/>
            </w:tcBorders>
          </w:tcPr>
          <w:p>
            <w:pPr>
              <w:spacing w:after="0"/>
              <w:rPr>
                <w:sz w:val="2"/>
                <w:szCs w:val="2"/>
                <w:color w:val="auto"/>
              </w:rPr>
            </w:pPr>
          </w:p>
        </w:tc>
        <w:tc>
          <w:tcPr>
            <w:tcW w:w="338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r>
      <w:tr>
        <w:trPr>
          <w:trHeight w:val="309"/>
        </w:trPr>
        <w:tc>
          <w:tcPr>
            <w:tcW w:w="714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 Change</w:t>
            </w:r>
          </w:p>
        </w:tc>
        <w:tc>
          <w:tcPr>
            <w:tcW w:w="3380" w:type="dxa"/>
            <w:vAlign w:val="bottom"/>
            <w:tcBorders>
              <w:bottom w:val="single" w:sz="8" w:color="EBE6F0"/>
            </w:tcBorders>
            <w:shd w:val="clear" w:color="auto" w:fill="EBE6F0"/>
          </w:tcPr>
          <w:p>
            <w:pPr>
              <w:spacing w:after="0"/>
              <w:rPr>
                <w:sz w:val="24"/>
                <w:szCs w:val="24"/>
                <w:color w:val="auto"/>
              </w:rPr>
            </w:pPr>
          </w:p>
        </w:tc>
        <w:tc>
          <w:tcPr>
            <w:tcW w:w="720" w:type="dxa"/>
            <w:vAlign w:val="bottom"/>
            <w:tcBorders>
              <w:bottom w:val="single" w:sz="8" w:color="EBE6F0"/>
            </w:tcBorders>
            <w:shd w:val="clear" w:color="auto" w:fill="EBE6F0"/>
          </w:tcPr>
          <w:p>
            <w:pPr>
              <w:spacing w:after="0"/>
              <w:rPr>
                <w:sz w:val="24"/>
                <w:szCs w:val="24"/>
                <w:color w:val="auto"/>
              </w:rPr>
            </w:pPr>
          </w:p>
        </w:tc>
      </w:tr>
      <w:tr>
        <w:trPr>
          <w:trHeight w:val="273"/>
        </w:trPr>
        <w:tc>
          <w:tcPr>
            <w:tcW w:w="714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Reported (GAAP)</w:t>
            </w:r>
          </w:p>
        </w:tc>
        <w:tc>
          <w:tcPr>
            <w:tcW w:w="3380" w:type="dxa"/>
            <w:vAlign w:val="bottom"/>
            <w:tcBorders>
              <w:top w:val="single" w:sz="8" w:color="572C83"/>
            </w:tcBorders>
          </w:tcPr>
          <w:p>
            <w:pPr>
              <w:spacing w:after="0"/>
              <w:rPr>
                <w:sz w:val="23"/>
                <w:szCs w:val="23"/>
                <w:color w:val="auto"/>
              </w:rPr>
            </w:pPr>
          </w:p>
        </w:tc>
        <w:tc>
          <w:tcPr>
            <w:tcW w:w="7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8.0%</w:t>
            </w:r>
          </w:p>
        </w:tc>
      </w:tr>
      <w:tr>
        <w:trPr>
          <w:trHeight w:val="30"/>
        </w:trPr>
        <w:tc>
          <w:tcPr>
            <w:tcW w:w="7140" w:type="dxa"/>
            <w:vAlign w:val="bottom"/>
            <w:tcBorders>
              <w:bottom w:val="single" w:sz="8" w:color="572C83"/>
            </w:tcBorders>
          </w:tcPr>
          <w:p>
            <w:pPr>
              <w:spacing w:after="0"/>
              <w:rPr>
                <w:sz w:val="2"/>
                <w:szCs w:val="2"/>
                <w:color w:val="auto"/>
              </w:rPr>
            </w:pPr>
          </w:p>
        </w:tc>
        <w:tc>
          <w:tcPr>
            <w:tcW w:w="338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r>
      <w:tr>
        <w:trPr>
          <w:trHeight w:val="274"/>
        </w:trPr>
        <w:tc>
          <w:tcPr>
            <w:tcW w:w="7140" w:type="dxa"/>
            <w:vAlign w:val="bottom"/>
          </w:tcPr>
          <w:p>
            <w:pPr>
              <w:ind w:left="80"/>
              <w:spacing w:after="0"/>
              <w:rPr>
                <w:sz w:val="20"/>
                <w:szCs w:val="20"/>
                <w:color w:val="auto"/>
              </w:rPr>
            </w:pPr>
            <w:r>
              <w:rPr>
                <w:rFonts w:ascii="Arial" w:cs="Arial" w:eastAsia="Arial" w:hAnsi="Arial"/>
                <w:sz w:val="18"/>
                <w:szCs w:val="18"/>
                <w:b w:val="1"/>
                <w:bCs w:val="1"/>
                <w:color w:val="auto"/>
              </w:rPr>
              <w:t>Organic (Non-GAAP)</w:t>
            </w:r>
          </w:p>
        </w:tc>
        <w:tc>
          <w:tcPr>
            <w:tcW w:w="33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p>
      <w:pPr>
        <w:ind w:left="440" w:right="340" w:hanging="351"/>
        <w:spacing w:after="0" w:line="266" w:lineRule="auto"/>
        <w:tabs>
          <w:tab w:leader="none" w:pos="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to the consolidated financial statements in the 2021 Form 10-K for more information on the April 1, 2021 acquisition of Gourmet Food; March 25, 2021 acquisition of a majority interest in Grenade; January 4, 2021 acquisition of the remaining 93% equity interest in Hu; and April 1, 2020 acquisition of a significant majority interest in Give &amp; 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60" w:type="dxa"/>
            <w:vAlign w:val="bottom"/>
          </w:tcPr>
          <w:p>
            <w:pPr>
              <w:ind w:left="80"/>
              <w:spacing w:after="0"/>
              <w:rPr>
                <w:sz w:val="20"/>
                <w:szCs w:val="20"/>
                <w:color w:val="auto"/>
              </w:rPr>
            </w:pPr>
            <w:r>
              <w:rPr>
                <w:rFonts w:ascii="Arial" w:cs="Arial" w:eastAsia="Arial" w:hAnsi="Arial"/>
                <w:sz w:val="18"/>
                <w:szCs w:val="18"/>
                <w:b w:val="1"/>
                <w:bCs w:val="1"/>
                <w:color w:val="auto"/>
              </w:rPr>
              <w:t>Gross Profit to Adjusted Gross Profit</w:t>
            </w:r>
          </w:p>
        </w:tc>
        <w:tc>
          <w:tcPr>
            <w:tcW w:w="700" w:type="dxa"/>
            <w:vAlign w:val="bottom"/>
            <w:tcBorders>
              <w:bottom w:val="single" w:sz="8" w:color="572C83"/>
            </w:tcBorders>
          </w:tcPr>
          <w:p>
            <w:pPr>
              <w:spacing w:after="0"/>
              <w:rPr>
                <w:sz w:val="21"/>
                <w:szCs w:val="21"/>
                <w:color w:val="auto"/>
              </w:rPr>
            </w:pPr>
          </w:p>
        </w:tc>
        <w:tc>
          <w:tcPr>
            <w:tcW w:w="4680" w:type="dxa"/>
            <w:vAlign w:val="bottom"/>
            <w:tcBorders>
              <w:bottom w:val="single" w:sz="8" w:color="572C83"/>
            </w:tcBorders>
            <w:gridSpan w:val="5"/>
          </w:tcPr>
          <w:p>
            <w:pPr>
              <w:jc w:val="right"/>
              <w:ind w:right="772"/>
              <w:spacing w:after="0"/>
              <w:rPr>
                <w:sz w:val="20"/>
                <w:szCs w:val="20"/>
                <w:color w:val="auto"/>
              </w:rPr>
            </w:pPr>
            <w:r>
              <w:rPr>
                <w:rFonts w:ascii="Arial" w:cs="Arial" w:eastAsia="Arial" w:hAnsi="Arial"/>
                <w:sz w:val="18"/>
                <w:szCs w:val="18"/>
                <w:b w:val="1"/>
                <w:bCs w:val="1"/>
                <w:color w:val="auto"/>
              </w:rPr>
              <w:t>For the Twelve Months Ended December 31,</w:t>
            </w:r>
          </w:p>
        </w:tc>
      </w:tr>
      <w:tr>
        <w:trPr>
          <w:trHeight w:val="298"/>
        </w:trPr>
        <w:tc>
          <w:tcPr>
            <w:tcW w:w="586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(in millions of U.S. dollars) (Unaudited)</w:t>
            </w:r>
          </w:p>
        </w:tc>
        <w:tc>
          <w:tcPr>
            <w:tcW w:w="700" w:type="dxa"/>
            <w:vAlign w:val="bottom"/>
            <w:tcBorders>
              <w:bottom w:val="single" w:sz="8" w:color="582C83"/>
            </w:tcBorders>
          </w:tcPr>
          <w:p>
            <w:pPr>
              <w:spacing w:after="0"/>
              <w:rPr>
                <w:sz w:val="24"/>
                <w:szCs w:val="24"/>
                <w:color w:val="auto"/>
              </w:rPr>
            </w:pPr>
          </w:p>
        </w:tc>
        <w:tc>
          <w:tcPr>
            <w:tcW w:w="900" w:type="dxa"/>
            <w:vAlign w:val="bottom"/>
            <w:tcBorders>
              <w:bottom w:val="single" w:sz="8" w:color="582C83"/>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300" w:type="dxa"/>
            <w:vAlign w:val="bottom"/>
            <w:tcBorders>
              <w:bottom w:val="single" w:sz="8" w:color="582C83"/>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582C83"/>
            </w:tcBorders>
            <w:gridSpan w:val="2"/>
          </w:tcPr>
          <w:p>
            <w:pPr>
              <w:jc w:val="right"/>
              <w:ind w:right="152"/>
              <w:spacing w:after="0"/>
              <w:rPr>
                <w:sz w:val="20"/>
                <w:szCs w:val="20"/>
                <w:color w:val="auto"/>
              </w:rPr>
            </w:pPr>
            <w:r>
              <w:rPr>
                <w:rFonts w:ascii="Arial" w:cs="Arial" w:eastAsia="Arial" w:hAnsi="Arial"/>
                <w:sz w:val="18"/>
                <w:szCs w:val="18"/>
                <w:b w:val="1"/>
                <w:bCs w:val="1"/>
                <w:color w:val="auto"/>
              </w:rPr>
              <w:t>$ Change</w:t>
            </w:r>
          </w:p>
        </w:tc>
        <w:tc>
          <w:tcPr>
            <w:tcW w:w="118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 Change</w:t>
            </w:r>
          </w:p>
        </w:tc>
      </w:tr>
      <w:tr>
        <w:trPr>
          <w:trHeight w:val="316"/>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Reported (GAAP)</w:t>
            </w:r>
          </w:p>
        </w:tc>
        <w:tc>
          <w:tcPr>
            <w:tcW w:w="7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EBE6F0"/>
            </w:tcBorders>
            <w:shd w:val="clear" w:color="auto" w:fill="EBE6F0"/>
          </w:tcPr>
          <w:p>
            <w:pPr>
              <w:jc w:val="right"/>
              <w:ind w:right="232"/>
              <w:spacing w:after="0"/>
              <w:rPr>
                <w:sz w:val="20"/>
                <w:szCs w:val="20"/>
                <w:color w:val="auto"/>
              </w:rPr>
            </w:pPr>
            <w:r>
              <w:rPr>
                <w:rFonts w:ascii="Arial" w:cs="Arial" w:eastAsia="Arial" w:hAnsi="Arial"/>
                <w:sz w:val="18"/>
                <w:szCs w:val="18"/>
                <w:b w:val="1"/>
                <w:bCs w:val="1"/>
                <w:color w:val="auto"/>
              </w:rPr>
              <w:t>11,254</w:t>
            </w:r>
          </w:p>
        </w:tc>
        <w:tc>
          <w:tcPr>
            <w:tcW w:w="1300" w:type="dxa"/>
            <w:vAlign w:val="bottom"/>
            <w:tcBorders>
              <w:bottom w:val="single" w:sz="8" w:color="EBE6F0"/>
            </w:tcBorders>
            <w:shd w:val="clear" w:color="auto" w:fill="EBE6F0"/>
          </w:tcPr>
          <w:p>
            <w:pPr>
              <w:jc w:val="right"/>
              <w:ind w:right="172"/>
              <w:spacing w:after="0"/>
              <w:rPr>
                <w:sz w:val="20"/>
                <w:szCs w:val="20"/>
                <w:color w:val="auto"/>
              </w:rPr>
            </w:pPr>
            <w:r>
              <w:rPr>
                <w:rFonts w:ascii="Arial" w:cs="Arial" w:eastAsia="Arial" w:hAnsi="Arial"/>
                <w:sz w:val="18"/>
                <w:szCs w:val="18"/>
                <w:b w:val="1"/>
                <w:bCs w:val="1"/>
                <w:color w:val="auto"/>
              </w:rPr>
              <w:t>$ 10,446</w:t>
            </w:r>
          </w:p>
        </w:tc>
        <w:tc>
          <w:tcPr>
            <w:tcW w:w="560" w:type="dxa"/>
            <w:vAlign w:val="bottom"/>
            <w:tcBorders>
              <w:bottom w:val="single" w:sz="8" w:color="EBE6F0"/>
            </w:tcBorders>
            <w:shd w:val="clear" w:color="auto" w:fill="EBE6F0"/>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EBE6F0"/>
            </w:tcBorders>
            <w:shd w:val="clear" w:color="auto" w:fill="EBE6F0"/>
          </w:tcPr>
          <w:p>
            <w:pPr>
              <w:jc w:val="right"/>
              <w:ind w:right="152"/>
              <w:spacing w:after="0"/>
              <w:rPr>
                <w:sz w:val="20"/>
                <w:szCs w:val="20"/>
                <w:color w:val="auto"/>
              </w:rPr>
            </w:pPr>
            <w:r>
              <w:rPr>
                <w:rFonts w:ascii="Arial" w:cs="Arial" w:eastAsia="Arial" w:hAnsi="Arial"/>
                <w:sz w:val="18"/>
                <w:szCs w:val="18"/>
                <w:b w:val="1"/>
                <w:bCs w:val="1"/>
                <w:color w:val="auto"/>
              </w:rPr>
              <w:t>808</w:t>
            </w:r>
          </w:p>
        </w:tc>
        <w:tc>
          <w:tcPr>
            <w:tcW w:w="11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7.7%</w:t>
            </w:r>
          </w:p>
        </w:tc>
      </w:tr>
      <w:tr>
        <w:trPr>
          <w:trHeight w:val="344"/>
        </w:trPr>
        <w:tc>
          <w:tcPr>
            <w:tcW w:w="5860" w:type="dxa"/>
            <w:vAlign w:val="bottom"/>
            <w:tcBorders>
              <w:top w:val="single" w:sz="8" w:color="572C83"/>
              <w:bottom w:val="single" w:sz="8" w:color="572C83"/>
            </w:tcBorders>
          </w:tcPr>
          <w:p>
            <w:pPr>
              <w:ind w:left="80"/>
              <w:spacing w:after="0"/>
              <w:rPr>
                <w:sz w:val="20"/>
                <w:szCs w:val="20"/>
                <w:color w:val="auto"/>
              </w:rPr>
            </w:pPr>
            <w:r>
              <w:rPr>
                <w:rFonts w:ascii="Arial" w:cs="Arial" w:eastAsia="Arial" w:hAnsi="Arial"/>
                <w:sz w:val="18"/>
                <w:szCs w:val="18"/>
                <w:color w:val="auto"/>
              </w:rPr>
              <w:t>Simplify to Grow Program</w:t>
            </w:r>
            <w:r>
              <w:rPr>
                <w:rFonts w:ascii="Arial" w:cs="Arial" w:eastAsia="Arial" w:hAnsi="Arial"/>
                <w:sz w:val="29"/>
                <w:szCs w:val="29"/>
                <w:color w:val="auto"/>
                <w:vertAlign w:val="superscript"/>
              </w:rPr>
              <w:t>(1)</w:t>
            </w:r>
          </w:p>
        </w:tc>
        <w:tc>
          <w:tcPr>
            <w:tcW w:w="700" w:type="dxa"/>
            <w:vAlign w:val="bottom"/>
            <w:tcBorders>
              <w:top w:val="single" w:sz="8" w:color="572C83"/>
              <w:bottom w:val="single" w:sz="8" w:color="572C83"/>
            </w:tcBorders>
          </w:tcPr>
          <w:p>
            <w:pPr>
              <w:spacing w:after="0"/>
              <w:rPr>
                <w:sz w:val="24"/>
                <w:szCs w:val="24"/>
                <w:color w:val="auto"/>
              </w:rPr>
            </w:pPr>
          </w:p>
        </w:tc>
        <w:tc>
          <w:tcPr>
            <w:tcW w:w="900" w:type="dxa"/>
            <w:vAlign w:val="bottom"/>
            <w:tcBorders>
              <w:top w:val="single" w:sz="8" w:color="572C83"/>
              <w:bottom w:val="single" w:sz="8" w:color="572C83"/>
            </w:tcBorders>
          </w:tcPr>
          <w:p>
            <w:pPr>
              <w:jc w:val="right"/>
              <w:ind w:right="232"/>
              <w:spacing w:after="0"/>
              <w:rPr>
                <w:sz w:val="20"/>
                <w:szCs w:val="20"/>
                <w:color w:val="auto"/>
              </w:rPr>
            </w:pPr>
            <w:r>
              <w:rPr>
                <w:rFonts w:ascii="Arial" w:cs="Arial" w:eastAsia="Arial" w:hAnsi="Arial"/>
                <w:sz w:val="18"/>
                <w:szCs w:val="18"/>
                <w:color w:val="auto"/>
              </w:rPr>
              <w:t>114</w:t>
            </w:r>
          </w:p>
        </w:tc>
        <w:tc>
          <w:tcPr>
            <w:tcW w:w="1300" w:type="dxa"/>
            <w:vAlign w:val="bottom"/>
            <w:tcBorders>
              <w:top w:val="single" w:sz="8" w:color="572C83"/>
              <w:bottom w:val="single" w:sz="8" w:color="572C83"/>
            </w:tcBorders>
          </w:tcPr>
          <w:p>
            <w:pPr>
              <w:jc w:val="right"/>
              <w:ind w:right="172"/>
              <w:spacing w:after="0"/>
              <w:rPr>
                <w:sz w:val="20"/>
                <w:szCs w:val="20"/>
                <w:color w:val="auto"/>
              </w:rPr>
            </w:pPr>
            <w:r>
              <w:rPr>
                <w:rFonts w:ascii="Arial" w:cs="Arial" w:eastAsia="Arial" w:hAnsi="Arial"/>
                <w:sz w:val="18"/>
                <w:szCs w:val="18"/>
                <w:color w:val="auto"/>
              </w:rPr>
              <w:t>90</w:t>
            </w:r>
          </w:p>
        </w:tc>
        <w:tc>
          <w:tcPr>
            <w:tcW w:w="560" w:type="dxa"/>
            <w:vAlign w:val="bottom"/>
            <w:tcBorders>
              <w:top w:val="single" w:sz="8" w:color="572C83"/>
              <w:bottom w:val="single" w:sz="8" w:color="572C83"/>
            </w:tcBorders>
          </w:tcPr>
          <w:p>
            <w:pPr>
              <w:spacing w:after="0"/>
              <w:rPr>
                <w:sz w:val="24"/>
                <w:szCs w:val="24"/>
                <w:color w:val="auto"/>
              </w:rPr>
            </w:pPr>
          </w:p>
        </w:tc>
        <w:tc>
          <w:tcPr>
            <w:tcW w:w="740" w:type="dxa"/>
            <w:vAlign w:val="bottom"/>
            <w:tcBorders>
              <w:top w:val="single" w:sz="8" w:color="572C83"/>
              <w:bottom w:val="single" w:sz="8" w:color="572C83"/>
            </w:tcBorders>
          </w:tcPr>
          <w:p>
            <w:pPr>
              <w:jc w:val="right"/>
              <w:ind w:right="152"/>
              <w:spacing w:after="0"/>
              <w:rPr>
                <w:sz w:val="20"/>
                <w:szCs w:val="20"/>
                <w:color w:val="auto"/>
              </w:rPr>
            </w:pPr>
            <w:r>
              <w:rPr>
                <w:rFonts w:ascii="Arial" w:cs="Arial" w:eastAsia="Arial" w:hAnsi="Arial"/>
                <w:sz w:val="18"/>
                <w:szCs w:val="18"/>
                <w:color w:val="auto"/>
              </w:rPr>
              <w:t>24</w:t>
            </w:r>
          </w:p>
        </w:tc>
        <w:tc>
          <w:tcPr>
            <w:tcW w:w="1180" w:type="dxa"/>
            <w:vAlign w:val="bottom"/>
            <w:tcBorders>
              <w:top w:val="single" w:sz="8" w:color="572C83"/>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Mark-to-market (gains)/losses from derivatives</w:t>
            </w:r>
            <w:r>
              <w:rPr>
                <w:rFonts w:ascii="Arial" w:cs="Arial" w:eastAsia="Arial" w:hAnsi="Arial"/>
                <w:sz w:val="29"/>
                <w:szCs w:val="29"/>
                <w:color w:val="auto"/>
                <w:vertAlign w:val="superscript"/>
              </w:rPr>
              <w:t>(2)</w:t>
            </w:r>
          </w:p>
        </w:tc>
        <w:tc>
          <w:tcPr>
            <w:tcW w:w="700" w:type="dxa"/>
            <w:vAlign w:val="bottom"/>
            <w:tcBorders>
              <w:bottom w:val="single" w:sz="8" w:color="572C83"/>
            </w:tcBorders>
            <w:shd w:val="clear" w:color="auto" w:fill="EBE6F0"/>
          </w:tcPr>
          <w:p>
            <w:pPr>
              <w:spacing w:after="0"/>
              <w:rPr>
                <w:sz w:val="24"/>
                <w:szCs w:val="24"/>
                <w:color w:val="auto"/>
              </w:rPr>
            </w:pPr>
          </w:p>
        </w:tc>
        <w:tc>
          <w:tcPr>
            <w:tcW w:w="90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(279)</w:t>
            </w:r>
          </w:p>
        </w:tc>
        <w:tc>
          <w:tcPr>
            <w:tcW w:w="1300" w:type="dxa"/>
            <w:vAlign w:val="bottom"/>
            <w:tcBorders>
              <w:bottom w:val="single" w:sz="8" w:color="572C83"/>
            </w:tcBorders>
            <w:shd w:val="clear" w:color="auto" w:fill="EBE6F0"/>
          </w:tcPr>
          <w:p>
            <w:pPr>
              <w:jc w:val="right"/>
              <w:ind w:right="172"/>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572C83"/>
            </w:tcBorders>
            <w:shd w:val="clear" w:color="auto" w:fill="EBE6F0"/>
          </w:tcPr>
          <w:p>
            <w:pPr>
              <w:spacing w:after="0"/>
              <w:rPr>
                <w:sz w:val="24"/>
                <w:szCs w:val="24"/>
                <w:color w:val="auto"/>
              </w:rPr>
            </w:pPr>
          </w:p>
        </w:tc>
        <w:tc>
          <w:tcPr>
            <w:tcW w:w="74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(263)</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4"/>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w w:val="98"/>
              </w:rPr>
              <w:t>Acquisition integration costs and contingent consideration adjustments</w:t>
            </w:r>
            <w:r>
              <w:rPr>
                <w:rFonts w:ascii="Arial" w:cs="Arial" w:eastAsia="Arial" w:hAnsi="Arial"/>
                <w:sz w:val="29"/>
                <w:szCs w:val="29"/>
                <w:color w:val="auto"/>
                <w:w w:val="98"/>
                <w:vertAlign w:val="superscript"/>
              </w:rPr>
              <w:t>(3)</w:t>
            </w:r>
          </w:p>
        </w:tc>
        <w:tc>
          <w:tcPr>
            <w:tcW w:w="700" w:type="dxa"/>
            <w:vAlign w:val="bottom"/>
            <w:tcBorders>
              <w:bottom w:val="single" w:sz="8" w:color="572C83"/>
            </w:tcBorders>
          </w:tcPr>
          <w:p>
            <w:pPr>
              <w:spacing w:after="0"/>
              <w:rPr>
                <w:sz w:val="24"/>
                <w:szCs w:val="24"/>
                <w:color w:val="auto"/>
              </w:rPr>
            </w:pPr>
          </w:p>
        </w:tc>
        <w:tc>
          <w:tcPr>
            <w:tcW w:w="90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572C83"/>
            </w:tcBorders>
          </w:tcPr>
          <w:p>
            <w:pPr>
              <w:jc w:val="right"/>
              <w:ind w:right="172"/>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572C83"/>
            </w:tcBorders>
          </w:tcPr>
          <w:p>
            <w:pPr>
              <w:spacing w:after="0"/>
              <w:rPr>
                <w:sz w:val="24"/>
                <w:szCs w:val="24"/>
                <w:color w:val="auto"/>
              </w:rPr>
            </w:pPr>
          </w:p>
        </w:tc>
        <w:tc>
          <w:tcPr>
            <w:tcW w:w="74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572C83"/>
            </w:tcBorders>
          </w:tcPr>
          <w:p>
            <w:pPr>
              <w:spacing w:after="0"/>
              <w:rPr>
                <w:sz w:val="24"/>
                <w:szCs w:val="24"/>
                <w:color w:val="auto"/>
              </w:rPr>
            </w:pPr>
          </w:p>
        </w:tc>
      </w:tr>
      <w:tr>
        <w:trPr>
          <w:trHeight w:val="344"/>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Operating results from divestitures</w:t>
            </w:r>
            <w:r>
              <w:rPr>
                <w:rFonts w:ascii="Arial" w:cs="Arial" w:eastAsia="Arial" w:hAnsi="Arial"/>
                <w:sz w:val="29"/>
                <w:szCs w:val="29"/>
                <w:color w:val="auto"/>
                <w:vertAlign w:val="superscript"/>
              </w:rPr>
              <w:t>(3)</w:t>
            </w:r>
          </w:p>
        </w:tc>
        <w:tc>
          <w:tcPr>
            <w:tcW w:w="700" w:type="dxa"/>
            <w:vAlign w:val="bottom"/>
            <w:tcBorders>
              <w:bottom w:val="single" w:sz="8" w:color="572C83"/>
            </w:tcBorders>
            <w:shd w:val="clear" w:color="auto" w:fill="EBE6F0"/>
          </w:tcPr>
          <w:p>
            <w:pPr>
              <w:spacing w:after="0"/>
              <w:rPr>
                <w:sz w:val="24"/>
                <w:szCs w:val="24"/>
                <w:color w:val="auto"/>
              </w:rPr>
            </w:pPr>
          </w:p>
        </w:tc>
        <w:tc>
          <w:tcPr>
            <w:tcW w:w="90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572C83"/>
            </w:tcBorders>
            <w:shd w:val="clear" w:color="auto" w:fill="EBE6F0"/>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572C83"/>
            </w:tcBorders>
            <w:shd w:val="clear" w:color="auto" w:fill="EBE6F0"/>
          </w:tcPr>
          <w:p>
            <w:pPr>
              <w:spacing w:after="0"/>
              <w:rPr>
                <w:sz w:val="24"/>
                <w:szCs w:val="24"/>
                <w:color w:val="auto"/>
              </w:rPr>
            </w:pPr>
          </w:p>
        </w:tc>
        <w:tc>
          <w:tcPr>
            <w:tcW w:w="74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5"/>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Impact from pension participation changes</w:t>
            </w:r>
            <w:r>
              <w:rPr>
                <w:rFonts w:ascii="Arial" w:cs="Arial" w:eastAsia="Arial" w:hAnsi="Arial"/>
                <w:sz w:val="29"/>
                <w:szCs w:val="29"/>
                <w:color w:val="auto"/>
                <w:vertAlign w:val="superscript"/>
              </w:rPr>
              <w:t>(4)</w:t>
            </w:r>
          </w:p>
        </w:tc>
        <w:tc>
          <w:tcPr>
            <w:tcW w:w="700" w:type="dxa"/>
            <w:vAlign w:val="bottom"/>
            <w:tcBorders>
              <w:bottom w:val="single" w:sz="8" w:color="572C83"/>
            </w:tcBorders>
          </w:tcPr>
          <w:p>
            <w:pPr>
              <w:spacing w:after="0"/>
              <w:rPr>
                <w:sz w:val="24"/>
                <w:szCs w:val="24"/>
                <w:color w:val="auto"/>
              </w:rPr>
            </w:pPr>
          </w:p>
        </w:tc>
        <w:tc>
          <w:tcPr>
            <w:tcW w:w="90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20</w:t>
            </w:r>
          </w:p>
        </w:tc>
        <w:tc>
          <w:tcPr>
            <w:tcW w:w="1300" w:type="dxa"/>
            <w:vAlign w:val="bottom"/>
            <w:tcBorders>
              <w:bottom w:val="single" w:sz="8" w:color="572C83"/>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572C83"/>
            </w:tcBorders>
          </w:tcPr>
          <w:p>
            <w:pPr>
              <w:spacing w:after="0"/>
              <w:rPr>
                <w:sz w:val="24"/>
                <w:szCs w:val="24"/>
                <w:color w:val="auto"/>
              </w:rPr>
            </w:pPr>
          </w:p>
        </w:tc>
        <w:tc>
          <w:tcPr>
            <w:tcW w:w="74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572C83"/>
            </w:tcBorders>
          </w:tcPr>
          <w:p>
            <w:pPr>
              <w:spacing w:after="0"/>
              <w:rPr>
                <w:sz w:val="24"/>
                <w:szCs w:val="24"/>
                <w:color w:val="auto"/>
              </w:rPr>
            </w:pPr>
          </w:p>
        </w:tc>
      </w:tr>
      <w:tr>
        <w:trPr>
          <w:trHeight w:val="309"/>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Other/Rounding</w:t>
            </w:r>
          </w:p>
        </w:tc>
        <w:tc>
          <w:tcPr>
            <w:tcW w:w="700" w:type="dxa"/>
            <w:vAlign w:val="bottom"/>
            <w:tcBorders>
              <w:bottom w:val="single" w:sz="8" w:color="EBE6F0"/>
            </w:tcBorders>
            <w:shd w:val="clear" w:color="auto" w:fill="EBE6F0"/>
          </w:tcPr>
          <w:p>
            <w:pPr>
              <w:spacing w:after="0"/>
              <w:rPr>
                <w:sz w:val="24"/>
                <w:szCs w:val="24"/>
                <w:color w:val="auto"/>
              </w:rPr>
            </w:pPr>
          </w:p>
        </w:tc>
        <w:tc>
          <w:tcPr>
            <w:tcW w:w="900" w:type="dxa"/>
            <w:vAlign w:val="bottom"/>
            <w:tcBorders>
              <w:bottom w:val="single" w:sz="8" w:color="EBE6F0"/>
            </w:tcBorders>
            <w:shd w:val="clear" w:color="auto" w:fill="EBE6F0"/>
          </w:tcPr>
          <w:p>
            <w:pPr>
              <w:jc w:val="right"/>
              <w:ind w:right="232"/>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EBE6F0"/>
            </w:tcBorders>
            <w:shd w:val="clear" w:color="auto" w:fill="EBE6F0"/>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EBE6F0"/>
            </w:tcBorders>
            <w:shd w:val="clear" w:color="auto" w:fill="EBE6F0"/>
          </w:tcPr>
          <w:p>
            <w:pPr>
              <w:spacing w:after="0"/>
              <w:rPr>
                <w:sz w:val="24"/>
                <w:szCs w:val="24"/>
                <w:color w:val="auto"/>
              </w:rPr>
            </w:pPr>
          </w:p>
        </w:tc>
        <w:tc>
          <w:tcPr>
            <w:tcW w:w="740" w:type="dxa"/>
            <w:vAlign w:val="bottom"/>
            <w:tcBorders>
              <w:bottom w:val="single" w:sz="8" w:color="EBE6F0"/>
            </w:tcBorders>
            <w:shd w:val="clear" w:color="auto" w:fill="EBE6F0"/>
          </w:tcPr>
          <w:p>
            <w:pPr>
              <w:jc w:val="right"/>
              <w:ind w:right="152"/>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EBE6F0"/>
            </w:tcBorders>
            <w:shd w:val="clear" w:color="auto" w:fill="EBE6F0"/>
          </w:tcPr>
          <w:p>
            <w:pPr>
              <w:spacing w:after="0"/>
              <w:rPr>
                <w:sz w:val="24"/>
                <w:szCs w:val="24"/>
                <w:color w:val="auto"/>
              </w:rPr>
            </w:pPr>
          </w:p>
        </w:tc>
      </w:tr>
      <w:tr>
        <w:trPr>
          <w:trHeight w:val="273"/>
        </w:trPr>
        <w:tc>
          <w:tcPr>
            <w:tcW w:w="586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Adjusted (Non-GAAP)</w:t>
            </w:r>
          </w:p>
        </w:tc>
        <w:tc>
          <w:tcPr>
            <w:tcW w:w="70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572C83"/>
            </w:tcBorders>
          </w:tcPr>
          <w:p>
            <w:pPr>
              <w:jc w:val="right"/>
              <w:ind w:right="232"/>
              <w:spacing w:after="0"/>
              <w:rPr>
                <w:sz w:val="20"/>
                <w:szCs w:val="20"/>
                <w:color w:val="auto"/>
              </w:rPr>
            </w:pPr>
            <w:r>
              <w:rPr>
                <w:rFonts w:ascii="Arial" w:cs="Arial" w:eastAsia="Arial" w:hAnsi="Arial"/>
                <w:sz w:val="18"/>
                <w:szCs w:val="18"/>
                <w:b w:val="1"/>
                <w:bCs w:val="1"/>
                <w:color w:val="auto"/>
              </w:rPr>
              <w:t>11,106</w:t>
            </w:r>
          </w:p>
        </w:tc>
        <w:tc>
          <w:tcPr>
            <w:tcW w:w="1300" w:type="dxa"/>
            <w:vAlign w:val="bottom"/>
            <w:tcBorders>
              <w:top w:val="single" w:sz="8" w:color="572C83"/>
            </w:tcBorders>
          </w:tcPr>
          <w:p>
            <w:pPr>
              <w:jc w:val="right"/>
              <w:ind w:right="172"/>
              <w:spacing w:after="0"/>
              <w:rPr>
                <w:sz w:val="20"/>
                <w:szCs w:val="20"/>
                <w:color w:val="auto"/>
              </w:rPr>
            </w:pPr>
            <w:r>
              <w:rPr>
                <w:rFonts w:ascii="Arial" w:cs="Arial" w:eastAsia="Arial" w:hAnsi="Arial"/>
                <w:sz w:val="18"/>
                <w:szCs w:val="18"/>
                <w:b w:val="1"/>
                <w:bCs w:val="1"/>
                <w:color w:val="auto"/>
              </w:rPr>
              <w:t>$ 10,521</w:t>
            </w:r>
          </w:p>
        </w:tc>
        <w:tc>
          <w:tcPr>
            <w:tcW w:w="560" w:type="dxa"/>
            <w:vAlign w:val="bottom"/>
            <w:tcBorders>
              <w:top w:val="single" w:sz="8" w:color="572C83"/>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572C83"/>
            </w:tcBorders>
          </w:tcPr>
          <w:p>
            <w:pPr>
              <w:jc w:val="right"/>
              <w:ind w:right="152"/>
              <w:spacing w:after="0"/>
              <w:rPr>
                <w:sz w:val="20"/>
                <w:szCs w:val="20"/>
                <w:color w:val="auto"/>
              </w:rPr>
            </w:pPr>
            <w:r>
              <w:rPr>
                <w:rFonts w:ascii="Arial" w:cs="Arial" w:eastAsia="Arial" w:hAnsi="Arial"/>
                <w:sz w:val="18"/>
                <w:szCs w:val="18"/>
                <w:b w:val="1"/>
                <w:bCs w:val="1"/>
                <w:color w:val="auto"/>
              </w:rPr>
              <w:t>585</w:t>
            </w:r>
          </w:p>
        </w:tc>
        <w:tc>
          <w:tcPr>
            <w:tcW w:w="11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30"/>
        </w:trPr>
        <w:tc>
          <w:tcPr>
            <w:tcW w:w="5860" w:type="dxa"/>
            <w:vAlign w:val="bottom"/>
            <w:tcBorders>
              <w:bottom w:val="single" w:sz="8" w:color="572C83"/>
            </w:tcBorders>
          </w:tcPr>
          <w:p>
            <w:pPr>
              <w:spacing w:after="0"/>
              <w:rPr>
                <w:sz w:val="2"/>
                <w:szCs w:val="2"/>
                <w:color w:val="auto"/>
              </w:rPr>
            </w:pPr>
          </w:p>
        </w:tc>
        <w:tc>
          <w:tcPr>
            <w:tcW w:w="700" w:type="dxa"/>
            <w:vAlign w:val="bottom"/>
            <w:tcBorders>
              <w:bottom w:val="single" w:sz="8" w:color="572C83"/>
            </w:tcBorders>
          </w:tcPr>
          <w:p>
            <w:pPr>
              <w:spacing w:after="0"/>
              <w:rPr>
                <w:sz w:val="2"/>
                <w:szCs w:val="2"/>
                <w:color w:val="auto"/>
              </w:rPr>
            </w:pPr>
          </w:p>
        </w:tc>
        <w:tc>
          <w:tcPr>
            <w:tcW w:w="900" w:type="dxa"/>
            <w:vAlign w:val="bottom"/>
            <w:tcBorders>
              <w:bottom w:val="single" w:sz="8" w:color="572C83"/>
            </w:tcBorders>
          </w:tcPr>
          <w:p>
            <w:pPr>
              <w:spacing w:after="0"/>
              <w:rPr>
                <w:sz w:val="2"/>
                <w:szCs w:val="2"/>
                <w:color w:val="auto"/>
              </w:rPr>
            </w:pPr>
          </w:p>
        </w:tc>
        <w:tc>
          <w:tcPr>
            <w:tcW w:w="1300" w:type="dxa"/>
            <w:vAlign w:val="bottom"/>
            <w:tcBorders>
              <w:bottom w:val="single" w:sz="8" w:color="572C83"/>
            </w:tcBorders>
          </w:tcPr>
          <w:p>
            <w:pPr>
              <w:spacing w:after="0"/>
              <w:rPr>
                <w:sz w:val="2"/>
                <w:szCs w:val="2"/>
                <w:color w:val="auto"/>
              </w:rPr>
            </w:pPr>
          </w:p>
        </w:tc>
        <w:tc>
          <w:tcPr>
            <w:tcW w:w="560" w:type="dxa"/>
            <w:vAlign w:val="bottom"/>
            <w:tcBorders>
              <w:bottom w:val="single" w:sz="8" w:color="572C83"/>
            </w:tcBorders>
          </w:tcPr>
          <w:p>
            <w:pPr>
              <w:spacing w:after="0"/>
              <w:rPr>
                <w:sz w:val="2"/>
                <w:szCs w:val="2"/>
                <w:color w:val="auto"/>
              </w:rPr>
            </w:pPr>
          </w:p>
        </w:tc>
        <w:tc>
          <w:tcPr>
            <w:tcW w:w="740" w:type="dxa"/>
            <w:vAlign w:val="bottom"/>
            <w:tcBorders>
              <w:bottom w:val="single" w:sz="8" w:color="572C83"/>
            </w:tcBorders>
          </w:tcPr>
          <w:p>
            <w:pPr>
              <w:spacing w:after="0"/>
              <w:rPr>
                <w:sz w:val="2"/>
                <w:szCs w:val="2"/>
                <w:color w:val="auto"/>
              </w:rPr>
            </w:pPr>
          </w:p>
        </w:tc>
        <w:tc>
          <w:tcPr>
            <w:tcW w:w="1180" w:type="dxa"/>
            <w:vAlign w:val="bottom"/>
            <w:tcBorders>
              <w:bottom w:val="single" w:sz="8" w:color="572C83"/>
            </w:tcBorders>
          </w:tcPr>
          <w:p>
            <w:pPr>
              <w:spacing w:after="0"/>
              <w:rPr>
                <w:sz w:val="2"/>
                <w:szCs w:val="2"/>
                <w:color w:val="auto"/>
              </w:rPr>
            </w:pPr>
          </w:p>
        </w:tc>
      </w:tr>
      <w:tr>
        <w:trPr>
          <w:trHeight w:val="309"/>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Impact of unfavorable currency</w:t>
            </w:r>
          </w:p>
        </w:tc>
        <w:tc>
          <w:tcPr>
            <w:tcW w:w="700" w:type="dxa"/>
            <w:vAlign w:val="bottom"/>
            <w:tcBorders>
              <w:bottom w:val="single" w:sz="8" w:color="EBE6F0"/>
            </w:tcBorders>
            <w:shd w:val="clear" w:color="auto" w:fill="EBE6F0"/>
          </w:tcPr>
          <w:p>
            <w:pPr>
              <w:spacing w:after="0"/>
              <w:rPr>
                <w:sz w:val="24"/>
                <w:szCs w:val="24"/>
                <w:color w:val="auto"/>
              </w:rPr>
            </w:pPr>
          </w:p>
        </w:tc>
        <w:tc>
          <w:tcPr>
            <w:tcW w:w="900" w:type="dxa"/>
            <w:vAlign w:val="bottom"/>
            <w:tcBorders>
              <w:bottom w:val="single" w:sz="8" w:color="EBE6F0"/>
            </w:tcBorders>
            <w:shd w:val="clear" w:color="auto" w:fill="EBE6F0"/>
          </w:tcPr>
          <w:p>
            <w:pPr>
              <w:jc w:val="right"/>
              <w:ind w:right="232"/>
              <w:spacing w:after="0"/>
              <w:rPr>
                <w:sz w:val="20"/>
                <w:szCs w:val="20"/>
                <w:color w:val="auto"/>
              </w:rPr>
            </w:pPr>
            <w:r>
              <w:rPr>
                <w:rFonts w:ascii="Arial" w:cs="Arial" w:eastAsia="Arial" w:hAnsi="Arial"/>
                <w:sz w:val="18"/>
                <w:szCs w:val="18"/>
                <w:color w:val="auto"/>
              </w:rPr>
              <w:t>(209)</w:t>
            </w:r>
          </w:p>
        </w:tc>
        <w:tc>
          <w:tcPr>
            <w:tcW w:w="1300" w:type="dxa"/>
            <w:vAlign w:val="bottom"/>
            <w:tcBorders>
              <w:bottom w:val="single" w:sz="8" w:color="EBE6F0"/>
            </w:tcBorders>
            <w:shd w:val="clear" w:color="auto" w:fill="EBE6F0"/>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EBE6F0"/>
            </w:tcBorders>
            <w:shd w:val="clear" w:color="auto" w:fill="EBE6F0"/>
          </w:tcPr>
          <w:p>
            <w:pPr>
              <w:spacing w:after="0"/>
              <w:rPr>
                <w:sz w:val="24"/>
                <w:szCs w:val="24"/>
                <w:color w:val="auto"/>
              </w:rPr>
            </w:pPr>
          </w:p>
        </w:tc>
        <w:tc>
          <w:tcPr>
            <w:tcW w:w="740" w:type="dxa"/>
            <w:vAlign w:val="bottom"/>
            <w:tcBorders>
              <w:bottom w:val="single" w:sz="8" w:color="EBE6F0"/>
            </w:tcBorders>
            <w:shd w:val="clear" w:color="auto" w:fill="EBE6F0"/>
          </w:tcPr>
          <w:p>
            <w:pPr>
              <w:jc w:val="right"/>
              <w:ind w:right="152"/>
              <w:spacing w:after="0"/>
              <w:rPr>
                <w:sz w:val="20"/>
                <w:szCs w:val="20"/>
                <w:color w:val="auto"/>
              </w:rPr>
            </w:pPr>
            <w:r>
              <w:rPr>
                <w:rFonts w:ascii="Arial" w:cs="Arial" w:eastAsia="Arial" w:hAnsi="Arial"/>
                <w:sz w:val="18"/>
                <w:szCs w:val="18"/>
                <w:color w:val="auto"/>
              </w:rPr>
              <w:t>(209)</w:t>
            </w:r>
          </w:p>
        </w:tc>
        <w:tc>
          <w:tcPr>
            <w:tcW w:w="1180" w:type="dxa"/>
            <w:vAlign w:val="bottom"/>
            <w:tcBorders>
              <w:bottom w:val="single" w:sz="8" w:color="EBE6F0"/>
            </w:tcBorders>
            <w:shd w:val="clear" w:color="auto" w:fill="EBE6F0"/>
          </w:tcPr>
          <w:p>
            <w:pPr>
              <w:spacing w:after="0"/>
              <w:rPr>
                <w:sz w:val="24"/>
                <w:szCs w:val="24"/>
                <w:color w:val="auto"/>
              </w:rPr>
            </w:pPr>
          </w:p>
        </w:tc>
      </w:tr>
      <w:tr>
        <w:trPr>
          <w:trHeight w:val="274"/>
        </w:trPr>
        <w:tc>
          <w:tcPr>
            <w:tcW w:w="586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Adjusted @ Constant FX (Non-GAAP)</w:t>
            </w:r>
          </w:p>
        </w:tc>
        <w:tc>
          <w:tcPr>
            <w:tcW w:w="70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572C83"/>
            </w:tcBorders>
          </w:tcPr>
          <w:p>
            <w:pPr>
              <w:jc w:val="right"/>
              <w:ind w:right="232"/>
              <w:spacing w:after="0"/>
              <w:rPr>
                <w:sz w:val="20"/>
                <w:szCs w:val="20"/>
                <w:color w:val="auto"/>
              </w:rPr>
            </w:pPr>
            <w:r>
              <w:rPr>
                <w:rFonts w:ascii="Arial" w:cs="Arial" w:eastAsia="Arial" w:hAnsi="Arial"/>
                <w:sz w:val="18"/>
                <w:szCs w:val="18"/>
                <w:b w:val="1"/>
                <w:bCs w:val="1"/>
                <w:color w:val="auto"/>
              </w:rPr>
              <w:t>10,897</w:t>
            </w:r>
          </w:p>
        </w:tc>
        <w:tc>
          <w:tcPr>
            <w:tcW w:w="1300" w:type="dxa"/>
            <w:vAlign w:val="bottom"/>
            <w:tcBorders>
              <w:top w:val="single" w:sz="8" w:color="572C83"/>
            </w:tcBorders>
          </w:tcPr>
          <w:p>
            <w:pPr>
              <w:jc w:val="right"/>
              <w:ind w:right="172"/>
              <w:spacing w:after="0"/>
              <w:rPr>
                <w:sz w:val="20"/>
                <w:szCs w:val="20"/>
                <w:color w:val="auto"/>
              </w:rPr>
            </w:pPr>
            <w:r>
              <w:rPr>
                <w:rFonts w:ascii="Arial" w:cs="Arial" w:eastAsia="Arial" w:hAnsi="Arial"/>
                <w:sz w:val="18"/>
                <w:szCs w:val="18"/>
                <w:b w:val="1"/>
                <w:bCs w:val="1"/>
                <w:color w:val="auto"/>
              </w:rPr>
              <w:t>$ 10,521</w:t>
            </w:r>
          </w:p>
        </w:tc>
        <w:tc>
          <w:tcPr>
            <w:tcW w:w="560" w:type="dxa"/>
            <w:vAlign w:val="bottom"/>
            <w:tcBorders>
              <w:top w:val="single" w:sz="8" w:color="572C83"/>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572C83"/>
            </w:tcBorders>
          </w:tcPr>
          <w:p>
            <w:pPr>
              <w:jc w:val="right"/>
              <w:ind w:right="152"/>
              <w:spacing w:after="0"/>
              <w:rPr>
                <w:sz w:val="20"/>
                <w:szCs w:val="20"/>
                <w:color w:val="auto"/>
              </w:rPr>
            </w:pPr>
            <w:r>
              <w:rPr>
                <w:rFonts w:ascii="Arial" w:cs="Arial" w:eastAsia="Arial" w:hAnsi="Arial"/>
                <w:sz w:val="18"/>
                <w:szCs w:val="18"/>
                <w:b w:val="1"/>
                <w:bCs w:val="1"/>
                <w:color w:val="auto"/>
              </w:rPr>
              <w:t>376</w:t>
            </w:r>
          </w:p>
        </w:tc>
        <w:tc>
          <w:tcPr>
            <w:tcW w:w="11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0"/>
          <w:szCs w:val="20"/>
          <w:color w:val="auto"/>
        </w:rPr>
      </w:pPr>
    </w:p>
    <w:p>
      <w:pPr>
        <w:ind w:left="440" w:hanging="351"/>
        <w:spacing w:after="0"/>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Restructuring Program</w:t>
      </w:r>
      <w:r>
        <w:rPr>
          <w:rFonts w:ascii="Arial" w:cs="Arial" w:eastAsia="Arial" w:hAnsi="Arial"/>
          <w:sz w:val="16"/>
          <w:szCs w:val="16"/>
          <w:color w:val="auto"/>
        </w:rPr>
        <w:t>, to the consolidated financial statements in the 2021 Form 10-K for more information.</w:t>
      </w:r>
    </w:p>
    <w:p>
      <w:pPr>
        <w:spacing w:after="0" w:line="45" w:lineRule="exact"/>
        <w:rPr>
          <w:rFonts w:ascii="Arial" w:cs="Arial" w:eastAsia="Arial" w:hAnsi="Arial"/>
          <w:sz w:val="16"/>
          <w:szCs w:val="16"/>
          <w:color w:val="auto"/>
        </w:rPr>
      </w:pPr>
    </w:p>
    <w:p>
      <w:pPr>
        <w:ind w:left="440" w:right="300" w:hanging="351"/>
        <w:spacing w:after="0" w:line="272" w:lineRule="auto"/>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Note 18, </w:t>
      </w:r>
      <w:r>
        <w:rPr>
          <w:rFonts w:ascii="Arial" w:cs="Arial" w:eastAsia="Arial" w:hAnsi="Arial"/>
          <w:sz w:val="16"/>
          <w:szCs w:val="16"/>
          <w:i w:val="1"/>
          <w:iCs w:val="1"/>
          <w:color w:val="auto"/>
        </w:rPr>
        <w:t>Segment Reporting</w:t>
      </w:r>
      <w:r>
        <w:rPr>
          <w:rFonts w:ascii="Arial" w:cs="Arial" w:eastAsia="Arial" w:hAnsi="Arial"/>
          <w:sz w:val="16"/>
          <w:szCs w:val="16"/>
          <w:color w:val="auto"/>
        </w:rPr>
        <w:t>, to the consolidated financial statements in the 2021 Form 10-K for more information on the unrealized gains and losses on commodity and forecasted currency transaction derivatives.</w:t>
      </w:r>
    </w:p>
    <w:p>
      <w:pPr>
        <w:spacing w:after="0" w:line="1" w:lineRule="exact"/>
        <w:rPr>
          <w:rFonts w:ascii="Arial" w:cs="Arial" w:eastAsia="Arial" w:hAnsi="Arial"/>
          <w:sz w:val="16"/>
          <w:szCs w:val="16"/>
          <w:color w:val="auto"/>
        </w:rPr>
      </w:pPr>
    </w:p>
    <w:p>
      <w:pPr>
        <w:ind w:left="440" w:right="340" w:hanging="351"/>
        <w:spacing w:after="0" w:line="272" w:lineRule="auto"/>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Acquisitions and Divestitures</w:t>
      </w:r>
      <w:r>
        <w:rPr>
          <w:rFonts w:ascii="Arial" w:cs="Arial" w:eastAsia="Arial" w:hAnsi="Arial"/>
          <w:sz w:val="16"/>
          <w:szCs w:val="16"/>
          <w:color w:val="auto"/>
        </w:rPr>
        <w:t>, to the consolidated financial statements in the 2021 Form 10-K for more information on acquisitions and divestitures.</w:t>
      </w:r>
    </w:p>
    <w:p>
      <w:pPr>
        <w:spacing w:after="0" w:line="1" w:lineRule="exact"/>
        <w:rPr>
          <w:rFonts w:ascii="Arial" w:cs="Arial" w:eastAsia="Arial" w:hAnsi="Arial"/>
          <w:sz w:val="16"/>
          <w:szCs w:val="16"/>
          <w:color w:val="auto"/>
        </w:rPr>
      </w:pPr>
    </w:p>
    <w:p>
      <w:pPr>
        <w:ind w:left="440" w:hanging="351"/>
        <w:spacing w:after="0"/>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Benefit Plans</w:t>
      </w:r>
      <w:r>
        <w:rPr>
          <w:rFonts w:ascii="Arial" w:cs="Arial" w:eastAsia="Arial" w:hAnsi="Arial"/>
          <w:sz w:val="16"/>
          <w:szCs w:val="16"/>
          <w:color w:val="auto"/>
        </w:rPr>
        <w:t>, to the consolidated financial statements in the 2021 Form 10-K for more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860" w:type="dxa"/>
            <w:vAlign w:val="bottom"/>
          </w:tcPr>
          <w:p>
            <w:pPr>
              <w:ind w:left="80"/>
              <w:spacing w:after="0"/>
              <w:rPr>
                <w:sz w:val="20"/>
                <w:szCs w:val="20"/>
                <w:color w:val="auto"/>
              </w:rPr>
            </w:pPr>
            <w:r>
              <w:rPr>
                <w:rFonts w:ascii="Arial" w:cs="Arial" w:eastAsia="Arial" w:hAnsi="Arial"/>
                <w:sz w:val="18"/>
                <w:szCs w:val="18"/>
                <w:b w:val="1"/>
                <w:bCs w:val="1"/>
                <w:color w:val="auto"/>
              </w:rPr>
              <w:t>Diluted EPS to Adjusted EPS</w:t>
            </w:r>
            <w:r>
              <w:rPr>
                <w:rFonts w:ascii="Arial" w:cs="Arial" w:eastAsia="Arial" w:hAnsi="Arial"/>
                <w:sz w:val="29"/>
                <w:szCs w:val="29"/>
                <w:b w:val="1"/>
                <w:bCs w:val="1"/>
                <w:color w:val="auto"/>
                <w:vertAlign w:val="superscript"/>
              </w:rPr>
              <w:t>(1)</w:t>
            </w:r>
          </w:p>
        </w:tc>
        <w:tc>
          <w:tcPr>
            <w:tcW w:w="720" w:type="dxa"/>
            <w:vAlign w:val="bottom"/>
            <w:tcBorders>
              <w:bottom w:val="single" w:sz="8" w:color="572C83"/>
            </w:tcBorders>
          </w:tcPr>
          <w:p>
            <w:pPr>
              <w:spacing w:after="0"/>
              <w:rPr>
                <w:sz w:val="24"/>
                <w:szCs w:val="24"/>
                <w:color w:val="auto"/>
              </w:rPr>
            </w:pPr>
          </w:p>
        </w:tc>
        <w:tc>
          <w:tcPr>
            <w:tcW w:w="4660" w:type="dxa"/>
            <w:vAlign w:val="bottom"/>
            <w:tcBorders>
              <w:bottom w:val="single" w:sz="8" w:color="572C83"/>
            </w:tcBorders>
            <w:gridSpan w:val="6"/>
          </w:tcPr>
          <w:p>
            <w:pPr>
              <w:jc w:val="right"/>
              <w:ind w:right="772"/>
              <w:spacing w:after="0"/>
              <w:rPr>
                <w:sz w:val="20"/>
                <w:szCs w:val="20"/>
                <w:color w:val="auto"/>
              </w:rPr>
            </w:pPr>
            <w:r>
              <w:rPr>
                <w:rFonts w:ascii="Arial" w:cs="Arial" w:eastAsia="Arial" w:hAnsi="Arial"/>
                <w:sz w:val="18"/>
                <w:szCs w:val="18"/>
                <w:b w:val="1"/>
                <w:bCs w:val="1"/>
                <w:color w:val="auto"/>
              </w:rPr>
              <w:t>For the Twelve Months Ended December 31,</w:t>
            </w:r>
          </w:p>
        </w:tc>
      </w:tr>
      <w:tr>
        <w:trPr>
          <w:trHeight w:val="298"/>
        </w:trPr>
        <w:tc>
          <w:tcPr>
            <w:tcW w:w="5860" w:type="dxa"/>
            <w:vAlign w:val="bottom"/>
            <w:tcBorders>
              <w:bottom w:val="single" w:sz="8" w:color="582C83"/>
            </w:tcBorders>
          </w:tcPr>
          <w:p>
            <w:pPr>
              <w:ind w:left="80"/>
              <w:spacing w:after="0"/>
              <w:rPr>
                <w:sz w:val="20"/>
                <w:szCs w:val="20"/>
                <w:color w:val="auto"/>
              </w:rPr>
            </w:pPr>
            <w:r>
              <w:rPr>
                <w:rFonts w:ascii="Arial" w:cs="Arial" w:eastAsia="Arial" w:hAnsi="Arial"/>
                <w:sz w:val="18"/>
                <w:szCs w:val="18"/>
                <w:b w:val="1"/>
                <w:bCs w:val="1"/>
                <w:color w:val="auto"/>
              </w:rPr>
              <w:t>(Unaudited)</w:t>
            </w:r>
          </w:p>
        </w:tc>
        <w:tc>
          <w:tcPr>
            <w:tcW w:w="720" w:type="dxa"/>
            <w:vAlign w:val="bottom"/>
            <w:tcBorders>
              <w:bottom w:val="single" w:sz="8" w:color="582C83"/>
            </w:tcBorders>
          </w:tcPr>
          <w:p>
            <w:pPr>
              <w:spacing w:after="0"/>
              <w:rPr>
                <w:sz w:val="24"/>
                <w:szCs w:val="24"/>
                <w:color w:val="auto"/>
              </w:rPr>
            </w:pPr>
          </w:p>
        </w:tc>
        <w:tc>
          <w:tcPr>
            <w:tcW w:w="860" w:type="dxa"/>
            <w:vAlign w:val="bottom"/>
            <w:tcBorders>
              <w:bottom w:val="single" w:sz="8" w:color="582C83"/>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582C83"/>
            </w:tcBorders>
          </w:tcPr>
          <w:p>
            <w:pPr>
              <w:spacing w:after="0"/>
              <w:rPr>
                <w:sz w:val="24"/>
                <w:szCs w:val="24"/>
                <w:color w:val="auto"/>
              </w:rPr>
            </w:pPr>
          </w:p>
        </w:tc>
        <w:tc>
          <w:tcPr>
            <w:tcW w:w="820" w:type="dxa"/>
            <w:vAlign w:val="bottom"/>
            <w:tcBorders>
              <w:bottom w:val="single" w:sz="8" w:color="582C83"/>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300" w:type="dxa"/>
            <w:vAlign w:val="bottom"/>
            <w:tcBorders>
              <w:bottom w:val="single" w:sz="8" w:color="582C83"/>
            </w:tcBorders>
            <w:gridSpan w:val="2"/>
          </w:tcPr>
          <w:p>
            <w:pPr>
              <w:jc w:val="right"/>
              <w:ind w:right="152"/>
              <w:spacing w:after="0"/>
              <w:rPr>
                <w:sz w:val="20"/>
                <w:szCs w:val="20"/>
                <w:color w:val="auto"/>
              </w:rPr>
            </w:pPr>
            <w:r>
              <w:rPr>
                <w:rFonts w:ascii="Arial" w:cs="Arial" w:eastAsia="Arial" w:hAnsi="Arial"/>
                <w:sz w:val="18"/>
                <w:szCs w:val="18"/>
                <w:b w:val="1"/>
                <w:bCs w:val="1"/>
                <w:color w:val="auto"/>
              </w:rPr>
              <w:t>$ Change</w:t>
            </w:r>
          </w:p>
        </w:tc>
        <w:tc>
          <w:tcPr>
            <w:tcW w:w="1180" w:type="dxa"/>
            <w:vAlign w:val="bottom"/>
            <w:tcBorders>
              <w:bottom w:val="single" w:sz="8" w:color="582C83"/>
            </w:tcBorders>
          </w:tcPr>
          <w:p>
            <w:pPr>
              <w:jc w:val="right"/>
              <w:spacing w:after="0"/>
              <w:rPr>
                <w:sz w:val="20"/>
                <w:szCs w:val="20"/>
                <w:color w:val="auto"/>
              </w:rPr>
            </w:pPr>
            <w:r>
              <w:rPr>
                <w:rFonts w:ascii="Arial" w:cs="Arial" w:eastAsia="Arial" w:hAnsi="Arial"/>
                <w:sz w:val="18"/>
                <w:szCs w:val="18"/>
                <w:b w:val="1"/>
                <w:bCs w:val="1"/>
                <w:color w:val="auto"/>
              </w:rPr>
              <w:t>% Change</w:t>
            </w:r>
          </w:p>
        </w:tc>
      </w:tr>
      <w:tr>
        <w:trPr>
          <w:trHeight w:val="315"/>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Diluted EPS attributable to Mondelēz International (GAAP)</w:t>
            </w:r>
          </w:p>
        </w:tc>
        <w:tc>
          <w:tcPr>
            <w:tcW w:w="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EBE6F0"/>
            </w:tcBorders>
            <w:shd w:val="clear" w:color="auto" w:fill="EBE6F0"/>
          </w:tcPr>
          <w:p>
            <w:pPr>
              <w:jc w:val="right"/>
              <w:ind w:right="232"/>
              <w:spacing w:after="0"/>
              <w:rPr>
                <w:sz w:val="20"/>
                <w:szCs w:val="20"/>
                <w:color w:val="auto"/>
              </w:rPr>
            </w:pPr>
            <w:r>
              <w:rPr>
                <w:rFonts w:ascii="Arial" w:cs="Arial" w:eastAsia="Arial" w:hAnsi="Arial"/>
                <w:sz w:val="18"/>
                <w:szCs w:val="18"/>
                <w:b w:val="1"/>
                <w:bCs w:val="1"/>
                <w:color w:val="auto"/>
              </w:rPr>
              <w:t>3.04</w:t>
            </w:r>
          </w:p>
        </w:tc>
        <w:tc>
          <w:tcPr>
            <w:tcW w:w="5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EBE6F0"/>
            </w:tcBorders>
            <w:shd w:val="clear" w:color="auto" w:fill="EBE6F0"/>
          </w:tcPr>
          <w:p>
            <w:pPr>
              <w:jc w:val="right"/>
              <w:ind w:right="192"/>
              <w:spacing w:after="0"/>
              <w:rPr>
                <w:sz w:val="20"/>
                <w:szCs w:val="20"/>
                <w:color w:val="auto"/>
              </w:rPr>
            </w:pPr>
            <w:r>
              <w:rPr>
                <w:rFonts w:ascii="Arial" w:cs="Arial" w:eastAsia="Arial" w:hAnsi="Arial"/>
                <w:sz w:val="18"/>
                <w:szCs w:val="18"/>
                <w:b w:val="1"/>
                <w:bCs w:val="1"/>
                <w:color w:val="auto"/>
              </w:rPr>
              <w:t>2.47</w:t>
            </w:r>
          </w:p>
        </w:tc>
        <w:tc>
          <w:tcPr>
            <w:tcW w:w="5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EBE6F0"/>
            </w:tcBorders>
            <w:shd w:val="clear" w:color="auto" w:fill="EBE6F0"/>
          </w:tcPr>
          <w:p>
            <w:pPr>
              <w:jc w:val="right"/>
              <w:ind w:right="152"/>
              <w:spacing w:after="0"/>
              <w:rPr>
                <w:sz w:val="20"/>
                <w:szCs w:val="20"/>
                <w:color w:val="auto"/>
              </w:rPr>
            </w:pPr>
            <w:r>
              <w:rPr>
                <w:rFonts w:ascii="Arial" w:cs="Arial" w:eastAsia="Arial" w:hAnsi="Arial"/>
                <w:sz w:val="18"/>
                <w:szCs w:val="18"/>
                <w:b w:val="1"/>
                <w:bCs w:val="1"/>
                <w:color w:val="auto"/>
              </w:rPr>
              <w:t>0.57</w:t>
            </w:r>
          </w:p>
        </w:tc>
        <w:tc>
          <w:tcPr>
            <w:tcW w:w="118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23.1%</w:t>
            </w:r>
          </w:p>
        </w:tc>
      </w:tr>
      <w:tr>
        <w:trPr>
          <w:trHeight w:val="344"/>
        </w:trPr>
        <w:tc>
          <w:tcPr>
            <w:tcW w:w="5860" w:type="dxa"/>
            <w:vAlign w:val="bottom"/>
            <w:tcBorders>
              <w:top w:val="single" w:sz="8" w:color="572C83"/>
              <w:bottom w:val="single" w:sz="8" w:color="572C83"/>
            </w:tcBorders>
          </w:tcPr>
          <w:p>
            <w:pPr>
              <w:ind w:left="80"/>
              <w:spacing w:after="0"/>
              <w:rPr>
                <w:sz w:val="20"/>
                <w:szCs w:val="20"/>
                <w:color w:val="auto"/>
              </w:rPr>
            </w:pPr>
            <w:r>
              <w:rPr>
                <w:rFonts w:ascii="Arial" w:cs="Arial" w:eastAsia="Arial" w:hAnsi="Arial"/>
                <w:sz w:val="18"/>
                <w:szCs w:val="18"/>
                <w:color w:val="auto"/>
              </w:rPr>
              <w:t>Simplify to Grow Program</w:t>
            </w:r>
            <w:r>
              <w:rPr>
                <w:rFonts w:ascii="Arial" w:cs="Arial" w:eastAsia="Arial" w:hAnsi="Arial"/>
                <w:sz w:val="29"/>
                <w:szCs w:val="29"/>
                <w:color w:val="auto"/>
                <w:vertAlign w:val="superscript"/>
              </w:rPr>
              <w:t>(2)</w:t>
            </w:r>
          </w:p>
        </w:tc>
        <w:tc>
          <w:tcPr>
            <w:tcW w:w="720" w:type="dxa"/>
            <w:vAlign w:val="bottom"/>
            <w:tcBorders>
              <w:top w:val="single" w:sz="8" w:color="572C83"/>
              <w:bottom w:val="single" w:sz="8" w:color="572C83"/>
            </w:tcBorders>
          </w:tcPr>
          <w:p>
            <w:pPr>
              <w:spacing w:after="0"/>
              <w:rPr>
                <w:sz w:val="24"/>
                <w:szCs w:val="24"/>
                <w:color w:val="auto"/>
              </w:rPr>
            </w:pPr>
          </w:p>
        </w:tc>
        <w:tc>
          <w:tcPr>
            <w:tcW w:w="860" w:type="dxa"/>
            <w:vAlign w:val="bottom"/>
            <w:tcBorders>
              <w:top w:val="single" w:sz="8" w:color="572C83"/>
              <w:bottom w:val="single" w:sz="8" w:color="572C83"/>
            </w:tcBorders>
          </w:tcPr>
          <w:p>
            <w:pPr>
              <w:jc w:val="right"/>
              <w:ind w:right="232"/>
              <w:spacing w:after="0"/>
              <w:rPr>
                <w:sz w:val="20"/>
                <w:szCs w:val="20"/>
                <w:color w:val="auto"/>
              </w:rPr>
            </w:pPr>
            <w:r>
              <w:rPr>
                <w:rFonts w:ascii="Arial" w:cs="Arial" w:eastAsia="Arial" w:hAnsi="Arial"/>
                <w:sz w:val="18"/>
                <w:szCs w:val="18"/>
                <w:color w:val="auto"/>
              </w:rPr>
              <w:t>0.17</w:t>
            </w:r>
          </w:p>
        </w:tc>
        <w:tc>
          <w:tcPr>
            <w:tcW w:w="500" w:type="dxa"/>
            <w:vAlign w:val="bottom"/>
            <w:tcBorders>
              <w:top w:val="single" w:sz="8" w:color="572C83"/>
              <w:bottom w:val="single" w:sz="8" w:color="572C83"/>
            </w:tcBorders>
          </w:tcPr>
          <w:p>
            <w:pPr>
              <w:spacing w:after="0"/>
              <w:rPr>
                <w:sz w:val="24"/>
                <w:szCs w:val="24"/>
                <w:color w:val="auto"/>
              </w:rPr>
            </w:pPr>
          </w:p>
        </w:tc>
        <w:tc>
          <w:tcPr>
            <w:tcW w:w="820" w:type="dxa"/>
            <w:vAlign w:val="bottom"/>
            <w:tcBorders>
              <w:top w:val="single" w:sz="8" w:color="572C83"/>
              <w:bottom w:val="single" w:sz="8" w:color="572C83"/>
            </w:tcBorders>
          </w:tcPr>
          <w:p>
            <w:pPr>
              <w:jc w:val="right"/>
              <w:ind w:right="192"/>
              <w:spacing w:after="0"/>
              <w:rPr>
                <w:sz w:val="20"/>
                <w:szCs w:val="20"/>
                <w:color w:val="auto"/>
              </w:rPr>
            </w:pPr>
            <w:r>
              <w:rPr>
                <w:rFonts w:ascii="Arial" w:cs="Arial" w:eastAsia="Arial" w:hAnsi="Arial"/>
                <w:sz w:val="18"/>
                <w:szCs w:val="18"/>
                <w:color w:val="auto"/>
              </w:rPr>
              <w:t>0.20</w:t>
            </w:r>
          </w:p>
        </w:tc>
        <w:tc>
          <w:tcPr>
            <w:tcW w:w="520" w:type="dxa"/>
            <w:vAlign w:val="bottom"/>
            <w:tcBorders>
              <w:top w:val="single" w:sz="8" w:color="572C83"/>
              <w:bottom w:val="single" w:sz="8" w:color="572C83"/>
            </w:tcBorders>
          </w:tcPr>
          <w:p>
            <w:pPr>
              <w:spacing w:after="0"/>
              <w:rPr>
                <w:sz w:val="24"/>
                <w:szCs w:val="24"/>
                <w:color w:val="auto"/>
              </w:rPr>
            </w:pPr>
          </w:p>
        </w:tc>
        <w:tc>
          <w:tcPr>
            <w:tcW w:w="780" w:type="dxa"/>
            <w:vAlign w:val="bottom"/>
            <w:tcBorders>
              <w:top w:val="single" w:sz="8" w:color="572C83"/>
              <w:bottom w:val="single" w:sz="8" w:color="572C83"/>
            </w:tcBorders>
          </w:tcPr>
          <w:p>
            <w:pPr>
              <w:jc w:val="right"/>
              <w:ind w:right="152"/>
              <w:spacing w:after="0"/>
              <w:rPr>
                <w:sz w:val="20"/>
                <w:szCs w:val="20"/>
                <w:color w:val="auto"/>
              </w:rPr>
            </w:pPr>
            <w:r>
              <w:rPr>
                <w:rFonts w:ascii="Arial" w:cs="Arial" w:eastAsia="Arial" w:hAnsi="Arial"/>
                <w:sz w:val="18"/>
                <w:szCs w:val="18"/>
                <w:color w:val="auto"/>
              </w:rPr>
              <w:t>(0.03)</w:t>
            </w:r>
          </w:p>
        </w:tc>
        <w:tc>
          <w:tcPr>
            <w:tcW w:w="1180" w:type="dxa"/>
            <w:vAlign w:val="bottom"/>
            <w:tcBorders>
              <w:top w:val="single" w:sz="8" w:color="572C83"/>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Intangible asset impairment charges</w:t>
            </w:r>
            <w:r>
              <w:rPr>
                <w:rFonts w:ascii="Arial" w:cs="Arial" w:eastAsia="Arial" w:hAnsi="Arial"/>
                <w:sz w:val="29"/>
                <w:szCs w:val="29"/>
                <w:color w:val="auto"/>
                <w:vertAlign w:val="superscript"/>
              </w:rPr>
              <w:t>(3)</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0.08</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(0.06)</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5"/>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Mark-to-market (gains)/losses from derivatives</w:t>
            </w:r>
            <w:r>
              <w:rPr>
                <w:rFonts w:ascii="Arial" w:cs="Arial" w:eastAsia="Arial" w:hAnsi="Arial"/>
                <w:sz w:val="29"/>
                <w:szCs w:val="29"/>
                <w:color w:val="auto"/>
                <w:vertAlign w:val="superscript"/>
              </w:rPr>
              <w:t>(2)</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(0.17)</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(0.16)</w:t>
            </w:r>
          </w:p>
        </w:tc>
        <w:tc>
          <w:tcPr>
            <w:tcW w:w="1180" w:type="dxa"/>
            <w:vAlign w:val="bottom"/>
            <w:tcBorders>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w w:val="98"/>
              </w:rPr>
              <w:t>Acquisition integration costs and contingent consideration adjustments</w:t>
            </w:r>
            <w:r>
              <w:rPr>
                <w:rFonts w:ascii="Arial" w:cs="Arial" w:eastAsia="Arial" w:hAnsi="Arial"/>
                <w:sz w:val="29"/>
                <w:szCs w:val="29"/>
                <w:color w:val="auto"/>
                <w:w w:val="98"/>
                <w:vertAlign w:val="superscript"/>
              </w:rPr>
              <w:t>(2)</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(0.02)</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4"/>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Acquisition-related costs</w:t>
            </w:r>
            <w:r>
              <w:rPr>
                <w:rFonts w:ascii="Arial" w:cs="Arial" w:eastAsia="Arial" w:hAnsi="Arial"/>
                <w:sz w:val="29"/>
                <w:szCs w:val="29"/>
                <w:color w:val="auto"/>
                <w:vertAlign w:val="superscript"/>
              </w:rPr>
              <w:t>(2)</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0.01</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Divestiture-related costs</w:t>
            </w:r>
            <w:r>
              <w:rPr>
                <w:rFonts w:ascii="Arial" w:cs="Arial" w:eastAsia="Arial" w:hAnsi="Arial"/>
                <w:sz w:val="29"/>
                <w:szCs w:val="29"/>
                <w:color w:val="auto"/>
                <w:vertAlign w:val="superscript"/>
              </w:rPr>
              <w:t>(2)</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0.01</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0.01</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5"/>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Net earnings from divestitures</w:t>
            </w:r>
            <w:r>
              <w:rPr>
                <w:rFonts w:ascii="Arial" w:cs="Arial" w:eastAsia="Arial" w:hAnsi="Arial"/>
                <w:sz w:val="29"/>
                <w:szCs w:val="29"/>
                <w:color w:val="auto"/>
                <w:vertAlign w:val="superscript"/>
              </w:rPr>
              <w:t>(2)</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(0.07)</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0.05</w:t>
            </w:r>
          </w:p>
        </w:tc>
        <w:tc>
          <w:tcPr>
            <w:tcW w:w="1180" w:type="dxa"/>
            <w:vAlign w:val="bottom"/>
            <w:tcBorders>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Costs associated with JDE Peet’s transaction</w:t>
            </w:r>
            <w:r>
              <w:rPr>
                <w:rFonts w:ascii="Arial" w:cs="Arial" w:eastAsia="Arial" w:hAnsi="Arial"/>
                <w:sz w:val="29"/>
                <w:szCs w:val="29"/>
                <w:color w:val="auto"/>
                <w:vertAlign w:val="superscript"/>
              </w:rPr>
              <w:t>(4)</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0.20</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(0.20)</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4"/>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Remeasurement of net monetary position</w:t>
            </w:r>
            <w:r>
              <w:rPr>
                <w:rFonts w:ascii="Arial" w:cs="Arial" w:eastAsia="Arial" w:hAnsi="Arial"/>
                <w:sz w:val="29"/>
                <w:szCs w:val="29"/>
                <w:color w:val="auto"/>
                <w:vertAlign w:val="superscript"/>
              </w:rPr>
              <w:t>(5)</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0.01</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Impact from pension participation changes</w:t>
            </w:r>
            <w:r>
              <w:rPr>
                <w:rFonts w:ascii="Arial" w:cs="Arial" w:eastAsia="Arial" w:hAnsi="Arial"/>
                <w:sz w:val="29"/>
                <w:szCs w:val="29"/>
                <w:color w:val="auto"/>
                <w:vertAlign w:val="superscript"/>
              </w:rPr>
              <w:t>(2)</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0.01</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0.01</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5"/>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Impact from resolution of tax matters</w:t>
            </w:r>
            <w:r>
              <w:rPr>
                <w:rFonts w:ascii="Arial" w:cs="Arial" w:eastAsia="Arial" w:hAnsi="Arial"/>
                <w:sz w:val="29"/>
                <w:szCs w:val="29"/>
                <w:color w:val="auto"/>
                <w:vertAlign w:val="superscript"/>
              </w:rPr>
              <w:t>(6)</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(0.02)</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0.02</w:t>
            </w:r>
          </w:p>
        </w:tc>
        <w:tc>
          <w:tcPr>
            <w:tcW w:w="1180" w:type="dxa"/>
            <w:vAlign w:val="bottom"/>
            <w:tcBorders>
              <w:bottom w:val="single" w:sz="8" w:color="572C83"/>
            </w:tcBorders>
          </w:tcPr>
          <w:p>
            <w:pPr>
              <w:spacing w:after="0"/>
              <w:rPr>
                <w:sz w:val="24"/>
                <w:szCs w:val="24"/>
                <w:color w:val="auto"/>
              </w:rPr>
            </w:pPr>
          </w:p>
        </w:tc>
      </w:tr>
      <w:tr>
        <w:trPr>
          <w:trHeight w:val="344"/>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Loss related to interest rate swaps</w:t>
            </w:r>
            <w:r>
              <w:rPr>
                <w:rFonts w:ascii="Arial" w:cs="Arial" w:eastAsia="Arial" w:hAnsi="Arial"/>
                <w:sz w:val="29"/>
                <w:szCs w:val="29"/>
                <w:color w:val="auto"/>
                <w:vertAlign w:val="superscript"/>
              </w:rPr>
              <w:t>(7)</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0.05</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(0.05)</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5"/>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Loss on debt extinguishment and related expenses</w:t>
            </w:r>
            <w:r>
              <w:rPr>
                <w:rFonts w:ascii="Arial" w:cs="Arial" w:eastAsia="Arial" w:hAnsi="Arial"/>
                <w:sz w:val="29"/>
                <w:szCs w:val="29"/>
                <w:color w:val="auto"/>
                <w:vertAlign w:val="superscript"/>
              </w:rPr>
              <w:t>(8)</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0.10</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(0.03)</w:t>
            </w:r>
          </w:p>
        </w:tc>
        <w:tc>
          <w:tcPr>
            <w:tcW w:w="1180" w:type="dxa"/>
            <w:vAlign w:val="bottom"/>
            <w:tcBorders>
              <w:bottom w:val="single" w:sz="8" w:color="572C83"/>
            </w:tcBorders>
          </w:tcPr>
          <w:p>
            <w:pPr>
              <w:spacing w:after="0"/>
              <w:rPr>
                <w:sz w:val="24"/>
                <w:szCs w:val="24"/>
                <w:color w:val="auto"/>
              </w:rPr>
            </w:pPr>
          </w:p>
        </w:tc>
      </w:tr>
      <w:tr>
        <w:trPr>
          <w:trHeight w:val="344"/>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Initial impacts from enacted tax law changes</w:t>
            </w:r>
            <w:r>
              <w:rPr>
                <w:rFonts w:ascii="Arial" w:cs="Arial" w:eastAsia="Arial" w:hAnsi="Arial"/>
                <w:sz w:val="29"/>
                <w:szCs w:val="29"/>
                <w:color w:val="auto"/>
                <w:vertAlign w:val="superscript"/>
              </w:rPr>
              <w:t>(9)</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0.02</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0.05</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344"/>
        </w:trPr>
        <w:tc>
          <w:tcPr>
            <w:tcW w:w="5860" w:type="dxa"/>
            <w:vAlign w:val="bottom"/>
            <w:tcBorders>
              <w:bottom w:val="single" w:sz="8" w:color="572C83"/>
            </w:tcBorders>
          </w:tcPr>
          <w:p>
            <w:pPr>
              <w:ind w:left="80"/>
              <w:spacing w:after="0"/>
              <w:rPr>
                <w:sz w:val="20"/>
                <w:szCs w:val="20"/>
                <w:color w:val="auto"/>
              </w:rPr>
            </w:pPr>
            <w:r>
              <w:rPr>
                <w:rFonts w:ascii="Arial" w:cs="Arial" w:eastAsia="Arial" w:hAnsi="Arial"/>
                <w:sz w:val="18"/>
                <w:szCs w:val="18"/>
                <w:color w:val="auto"/>
              </w:rPr>
              <w:t>(Gain)/loss on equity method investment transactions</w:t>
            </w:r>
            <w:r>
              <w:rPr>
                <w:rFonts w:ascii="Arial" w:cs="Arial" w:eastAsia="Arial" w:hAnsi="Arial"/>
                <w:sz w:val="29"/>
                <w:szCs w:val="29"/>
                <w:color w:val="auto"/>
                <w:vertAlign w:val="superscript"/>
              </w:rPr>
              <w:t>(4)</w:t>
            </w:r>
          </w:p>
        </w:tc>
        <w:tc>
          <w:tcPr>
            <w:tcW w:w="720" w:type="dxa"/>
            <w:vAlign w:val="bottom"/>
            <w:tcBorders>
              <w:bottom w:val="single" w:sz="8" w:color="572C83"/>
            </w:tcBorders>
          </w:tcPr>
          <w:p>
            <w:pPr>
              <w:spacing w:after="0"/>
              <w:rPr>
                <w:sz w:val="24"/>
                <w:szCs w:val="24"/>
                <w:color w:val="auto"/>
              </w:rPr>
            </w:pPr>
          </w:p>
        </w:tc>
        <w:tc>
          <w:tcPr>
            <w:tcW w:w="860" w:type="dxa"/>
            <w:vAlign w:val="bottom"/>
            <w:tcBorders>
              <w:bottom w:val="single" w:sz="8" w:color="572C83"/>
            </w:tcBorders>
          </w:tcPr>
          <w:p>
            <w:pPr>
              <w:jc w:val="right"/>
              <w:ind w:right="232"/>
              <w:spacing w:after="0"/>
              <w:rPr>
                <w:sz w:val="20"/>
                <w:szCs w:val="20"/>
                <w:color w:val="auto"/>
              </w:rPr>
            </w:pPr>
            <w:r>
              <w:rPr>
                <w:rFonts w:ascii="Arial" w:cs="Arial" w:eastAsia="Arial" w:hAnsi="Arial"/>
                <w:sz w:val="18"/>
                <w:szCs w:val="18"/>
                <w:color w:val="auto"/>
              </w:rPr>
              <w:t>(0.39)</w:t>
            </w:r>
          </w:p>
        </w:tc>
        <w:tc>
          <w:tcPr>
            <w:tcW w:w="500" w:type="dxa"/>
            <w:vAlign w:val="bottom"/>
            <w:tcBorders>
              <w:bottom w:val="single" w:sz="8" w:color="572C83"/>
            </w:tcBorders>
          </w:tcPr>
          <w:p>
            <w:pPr>
              <w:spacing w:after="0"/>
              <w:rPr>
                <w:sz w:val="24"/>
                <w:szCs w:val="24"/>
                <w:color w:val="auto"/>
              </w:rPr>
            </w:pPr>
          </w:p>
        </w:tc>
        <w:tc>
          <w:tcPr>
            <w:tcW w:w="820" w:type="dxa"/>
            <w:vAlign w:val="bottom"/>
            <w:tcBorders>
              <w:bottom w:val="single" w:sz="8" w:color="572C83"/>
            </w:tcBorders>
          </w:tcPr>
          <w:p>
            <w:pPr>
              <w:jc w:val="right"/>
              <w:ind w:right="192"/>
              <w:spacing w:after="0"/>
              <w:rPr>
                <w:sz w:val="20"/>
                <w:szCs w:val="20"/>
                <w:color w:val="auto"/>
              </w:rPr>
            </w:pPr>
            <w:r>
              <w:rPr>
                <w:rFonts w:ascii="Arial" w:cs="Arial" w:eastAsia="Arial" w:hAnsi="Arial"/>
                <w:sz w:val="18"/>
                <w:szCs w:val="18"/>
                <w:color w:val="auto"/>
              </w:rPr>
              <w:t>(0.55)</w:t>
            </w:r>
          </w:p>
        </w:tc>
        <w:tc>
          <w:tcPr>
            <w:tcW w:w="520" w:type="dxa"/>
            <w:vAlign w:val="bottom"/>
            <w:tcBorders>
              <w:bottom w:val="single" w:sz="8" w:color="572C83"/>
            </w:tcBorders>
          </w:tcPr>
          <w:p>
            <w:pPr>
              <w:spacing w:after="0"/>
              <w:rPr>
                <w:sz w:val="24"/>
                <w:szCs w:val="24"/>
                <w:color w:val="auto"/>
              </w:rPr>
            </w:pPr>
          </w:p>
        </w:tc>
        <w:tc>
          <w:tcPr>
            <w:tcW w:w="780" w:type="dxa"/>
            <w:vAlign w:val="bottom"/>
            <w:tcBorders>
              <w:bottom w:val="single" w:sz="8" w:color="572C83"/>
            </w:tcBorders>
          </w:tcPr>
          <w:p>
            <w:pPr>
              <w:jc w:val="right"/>
              <w:ind w:right="152"/>
              <w:spacing w:after="0"/>
              <w:rPr>
                <w:sz w:val="20"/>
                <w:szCs w:val="20"/>
                <w:color w:val="auto"/>
              </w:rPr>
            </w:pPr>
            <w:r>
              <w:rPr>
                <w:rFonts w:ascii="Arial" w:cs="Arial" w:eastAsia="Arial" w:hAnsi="Arial"/>
                <w:sz w:val="18"/>
                <w:szCs w:val="18"/>
                <w:color w:val="auto"/>
              </w:rPr>
              <w:t>0.16</w:t>
            </w:r>
          </w:p>
        </w:tc>
        <w:tc>
          <w:tcPr>
            <w:tcW w:w="1180" w:type="dxa"/>
            <w:vAlign w:val="bottom"/>
            <w:tcBorders>
              <w:bottom w:val="single" w:sz="8" w:color="572C83"/>
            </w:tcBorders>
          </w:tcPr>
          <w:p>
            <w:pPr>
              <w:spacing w:after="0"/>
              <w:rPr>
                <w:sz w:val="24"/>
                <w:szCs w:val="24"/>
                <w:color w:val="auto"/>
              </w:rPr>
            </w:pPr>
          </w:p>
        </w:tc>
      </w:tr>
      <w:tr>
        <w:trPr>
          <w:trHeight w:val="345"/>
        </w:trPr>
        <w:tc>
          <w:tcPr>
            <w:tcW w:w="5860" w:type="dxa"/>
            <w:vAlign w:val="bottom"/>
            <w:tcBorders>
              <w:bottom w:val="single" w:sz="8" w:color="572C83"/>
            </w:tcBorders>
            <w:shd w:val="clear" w:color="auto" w:fill="EBE6F0"/>
          </w:tcPr>
          <w:p>
            <w:pPr>
              <w:ind w:left="80"/>
              <w:spacing w:after="0"/>
              <w:rPr>
                <w:sz w:val="20"/>
                <w:szCs w:val="20"/>
                <w:color w:val="auto"/>
              </w:rPr>
            </w:pPr>
            <w:r>
              <w:rPr>
                <w:rFonts w:ascii="Arial" w:cs="Arial" w:eastAsia="Arial" w:hAnsi="Arial"/>
                <w:sz w:val="18"/>
                <w:szCs w:val="18"/>
                <w:color w:val="auto"/>
              </w:rPr>
              <w:t>Equity method investee items</w:t>
            </w:r>
            <w:r>
              <w:rPr>
                <w:rFonts w:ascii="Arial" w:cs="Arial" w:eastAsia="Arial" w:hAnsi="Arial"/>
                <w:sz w:val="29"/>
                <w:szCs w:val="29"/>
                <w:color w:val="auto"/>
                <w:vertAlign w:val="superscript"/>
              </w:rPr>
              <w:t>(10)</w:t>
            </w:r>
          </w:p>
        </w:tc>
        <w:tc>
          <w:tcPr>
            <w:tcW w:w="720" w:type="dxa"/>
            <w:vAlign w:val="bottom"/>
            <w:tcBorders>
              <w:bottom w:val="single" w:sz="8" w:color="572C83"/>
            </w:tcBorders>
            <w:shd w:val="clear" w:color="auto" w:fill="EBE6F0"/>
          </w:tcPr>
          <w:p>
            <w:pPr>
              <w:spacing w:after="0"/>
              <w:rPr>
                <w:sz w:val="24"/>
                <w:szCs w:val="24"/>
                <w:color w:val="auto"/>
              </w:rPr>
            </w:pPr>
          </w:p>
        </w:tc>
        <w:tc>
          <w:tcPr>
            <w:tcW w:w="860" w:type="dxa"/>
            <w:vAlign w:val="bottom"/>
            <w:tcBorders>
              <w:bottom w:val="single" w:sz="8" w:color="572C83"/>
            </w:tcBorders>
            <w:shd w:val="clear" w:color="auto" w:fill="EBE6F0"/>
          </w:tcPr>
          <w:p>
            <w:pPr>
              <w:jc w:val="right"/>
              <w:ind w:right="232"/>
              <w:spacing w:after="0"/>
              <w:rPr>
                <w:sz w:val="20"/>
                <w:szCs w:val="20"/>
                <w:color w:val="auto"/>
              </w:rPr>
            </w:pPr>
            <w:r>
              <w:rPr>
                <w:rFonts w:ascii="Arial" w:cs="Arial" w:eastAsia="Arial" w:hAnsi="Arial"/>
                <w:sz w:val="18"/>
                <w:szCs w:val="18"/>
                <w:color w:val="auto"/>
              </w:rPr>
              <w:t>0.05</w:t>
            </w:r>
          </w:p>
        </w:tc>
        <w:tc>
          <w:tcPr>
            <w:tcW w:w="500" w:type="dxa"/>
            <w:vAlign w:val="bottom"/>
            <w:tcBorders>
              <w:bottom w:val="single" w:sz="8" w:color="572C83"/>
            </w:tcBorders>
            <w:shd w:val="clear" w:color="auto" w:fill="EBE6F0"/>
          </w:tcPr>
          <w:p>
            <w:pPr>
              <w:spacing w:after="0"/>
              <w:rPr>
                <w:sz w:val="24"/>
                <w:szCs w:val="24"/>
                <w:color w:val="auto"/>
              </w:rPr>
            </w:pPr>
          </w:p>
        </w:tc>
        <w:tc>
          <w:tcPr>
            <w:tcW w:w="820" w:type="dxa"/>
            <w:vAlign w:val="bottom"/>
            <w:tcBorders>
              <w:bottom w:val="single" w:sz="8" w:color="572C83"/>
            </w:tcBorders>
            <w:shd w:val="clear" w:color="auto" w:fill="EBE6F0"/>
          </w:tcPr>
          <w:p>
            <w:pPr>
              <w:jc w:val="right"/>
              <w:ind w:right="192"/>
              <w:spacing w:after="0"/>
              <w:rPr>
                <w:sz w:val="20"/>
                <w:szCs w:val="20"/>
                <w:color w:val="auto"/>
              </w:rPr>
            </w:pPr>
            <w:r>
              <w:rPr>
                <w:rFonts w:ascii="Arial" w:cs="Arial" w:eastAsia="Arial" w:hAnsi="Arial"/>
                <w:sz w:val="18"/>
                <w:szCs w:val="18"/>
                <w:color w:val="auto"/>
              </w:rPr>
              <w:t>0.06</w:t>
            </w:r>
          </w:p>
        </w:tc>
        <w:tc>
          <w:tcPr>
            <w:tcW w:w="520" w:type="dxa"/>
            <w:vAlign w:val="bottom"/>
            <w:tcBorders>
              <w:bottom w:val="single" w:sz="8" w:color="572C83"/>
            </w:tcBorders>
            <w:shd w:val="clear" w:color="auto" w:fill="EBE6F0"/>
          </w:tcPr>
          <w:p>
            <w:pPr>
              <w:spacing w:after="0"/>
              <w:rPr>
                <w:sz w:val="24"/>
                <w:szCs w:val="24"/>
                <w:color w:val="auto"/>
              </w:rPr>
            </w:pPr>
          </w:p>
        </w:tc>
        <w:tc>
          <w:tcPr>
            <w:tcW w:w="780" w:type="dxa"/>
            <w:vAlign w:val="bottom"/>
            <w:tcBorders>
              <w:bottom w:val="single" w:sz="8" w:color="572C83"/>
            </w:tcBorders>
            <w:shd w:val="clear" w:color="auto" w:fill="EBE6F0"/>
          </w:tcPr>
          <w:p>
            <w:pPr>
              <w:jc w:val="right"/>
              <w:ind w:right="152"/>
              <w:spacing w:after="0"/>
              <w:rPr>
                <w:sz w:val="20"/>
                <w:szCs w:val="20"/>
                <w:color w:val="auto"/>
              </w:rPr>
            </w:pPr>
            <w:r>
              <w:rPr>
                <w:rFonts w:ascii="Arial" w:cs="Arial" w:eastAsia="Arial" w:hAnsi="Arial"/>
                <w:sz w:val="18"/>
                <w:szCs w:val="18"/>
                <w:color w:val="auto"/>
              </w:rPr>
              <w:t>(0.01)</w:t>
            </w:r>
          </w:p>
        </w:tc>
        <w:tc>
          <w:tcPr>
            <w:tcW w:w="1180" w:type="dxa"/>
            <w:vAlign w:val="bottom"/>
            <w:tcBorders>
              <w:bottom w:val="single" w:sz="8" w:color="572C83"/>
            </w:tcBorders>
            <w:shd w:val="clear" w:color="auto" w:fill="EBE6F0"/>
          </w:tcPr>
          <w:p>
            <w:pPr>
              <w:spacing w:after="0"/>
              <w:rPr>
                <w:sz w:val="24"/>
                <w:szCs w:val="24"/>
                <w:color w:val="auto"/>
              </w:rPr>
            </w:pPr>
          </w:p>
        </w:tc>
      </w:tr>
      <w:tr>
        <w:trPr>
          <w:trHeight w:val="273"/>
        </w:trPr>
        <w:tc>
          <w:tcPr>
            <w:tcW w:w="5860" w:type="dxa"/>
            <w:vAlign w:val="bottom"/>
          </w:tcPr>
          <w:p>
            <w:pPr>
              <w:ind w:left="80"/>
              <w:spacing w:after="0"/>
              <w:rPr>
                <w:sz w:val="20"/>
                <w:szCs w:val="20"/>
                <w:color w:val="auto"/>
              </w:rPr>
            </w:pPr>
            <w:r>
              <w:rPr>
                <w:rFonts w:ascii="Arial" w:cs="Arial" w:eastAsia="Arial" w:hAnsi="Arial"/>
                <w:sz w:val="18"/>
                <w:szCs w:val="18"/>
                <w:b w:val="1"/>
                <w:bCs w:val="1"/>
                <w:color w:val="auto"/>
              </w:rPr>
              <w:t>Adjusted EPS (Non-GAAP)</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2.87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2.56</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0.31</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31"/>
        </w:trPr>
        <w:tc>
          <w:tcPr>
            <w:tcW w:w="586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c>
          <w:tcPr>
            <w:tcW w:w="860" w:type="dxa"/>
            <w:vAlign w:val="bottom"/>
            <w:tcBorders>
              <w:bottom w:val="single" w:sz="8" w:color="572C83"/>
            </w:tcBorders>
          </w:tcPr>
          <w:p>
            <w:pPr>
              <w:spacing w:after="0"/>
              <w:rPr>
                <w:sz w:val="2"/>
                <w:szCs w:val="2"/>
                <w:color w:val="auto"/>
              </w:rPr>
            </w:pPr>
          </w:p>
        </w:tc>
        <w:tc>
          <w:tcPr>
            <w:tcW w:w="500" w:type="dxa"/>
            <w:vAlign w:val="bottom"/>
            <w:tcBorders>
              <w:bottom w:val="single" w:sz="8" w:color="572C83"/>
            </w:tcBorders>
          </w:tcPr>
          <w:p>
            <w:pPr>
              <w:spacing w:after="0"/>
              <w:rPr>
                <w:sz w:val="2"/>
                <w:szCs w:val="2"/>
                <w:color w:val="auto"/>
              </w:rPr>
            </w:pPr>
          </w:p>
        </w:tc>
        <w:tc>
          <w:tcPr>
            <w:tcW w:w="820" w:type="dxa"/>
            <w:vAlign w:val="bottom"/>
            <w:tcBorders>
              <w:bottom w:val="single" w:sz="8" w:color="572C83"/>
            </w:tcBorders>
          </w:tcPr>
          <w:p>
            <w:pPr>
              <w:spacing w:after="0"/>
              <w:rPr>
                <w:sz w:val="2"/>
                <w:szCs w:val="2"/>
                <w:color w:val="auto"/>
              </w:rPr>
            </w:pPr>
          </w:p>
        </w:tc>
        <w:tc>
          <w:tcPr>
            <w:tcW w:w="520" w:type="dxa"/>
            <w:vAlign w:val="bottom"/>
            <w:tcBorders>
              <w:bottom w:val="single" w:sz="8" w:color="572C83"/>
            </w:tcBorders>
          </w:tcPr>
          <w:p>
            <w:pPr>
              <w:spacing w:after="0"/>
              <w:rPr>
                <w:sz w:val="2"/>
                <w:szCs w:val="2"/>
                <w:color w:val="auto"/>
              </w:rPr>
            </w:pPr>
          </w:p>
        </w:tc>
        <w:tc>
          <w:tcPr>
            <w:tcW w:w="780" w:type="dxa"/>
            <w:vAlign w:val="bottom"/>
            <w:tcBorders>
              <w:bottom w:val="single" w:sz="8" w:color="572C83"/>
            </w:tcBorders>
          </w:tcPr>
          <w:p>
            <w:pPr>
              <w:spacing w:after="0"/>
              <w:rPr>
                <w:sz w:val="2"/>
                <w:szCs w:val="2"/>
                <w:color w:val="auto"/>
              </w:rPr>
            </w:pPr>
          </w:p>
        </w:tc>
        <w:tc>
          <w:tcPr>
            <w:tcW w:w="1180" w:type="dxa"/>
            <w:vAlign w:val="bottom"/>
            <w:tcBorders>
              <w:bottom w:val="single" w:sz="8" w:color="572C83"/>
            </w:tcBorders>
          </w:tcPr>
          <w:p>
            <w:pPr>
              <w:spacing w:after="0"/>
              <w:rPr>
                <w:sz w:val="2"/>
                <w:szCs w:val="2"/>
                <w:color w:val="auto"/>
              </w:rPr>
            </w:pPr>
          </w:p>
        </w:tc>
      </w:tr>
      <w:tr>
        <w:trPr>
          <w:trHeight w:val="309"/>
        </w:trPr>
        <w:tc>
          <w:tcPr>
            <w:tcW w:w="586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color w:val="auto"/>
              </w:rPr>
              <w:t>Impact of unfavorable currency</w:t>
            </w:r>
          </w:p>
        </w:tc>
        <w:tc>
          <w:tcPr>
            <w:tcW w:w="720" w:type="dxa"/>
            <w:vAlign w:val="bottom"/>
            <w:tcBorders>
              <w:bottom w:val="single" w:sz="8" w:color="EBE6F0"/>
            </w:tcBorders>
            <w:shd w:val="clear" w:color="auto" w:fill="EBE6F0"/>
          </w:tcPr>
          <w:p>
            <w:pPr>
              <w:spacing w:after="0"/>
              <w:rPr>
                <w:sz w:val="24"/>
                <w:szCs w:val="24"/>
                <w:color w:val="auto"/>
              </w:rPr>
            </w:pPr>
          </w:p>
        </w:tc>
        <w:tc>
          <w:tcPr>
            <w:tcW w:w="860" w:type="dxa"/>
            <w:vAlign w:val="bottom"/>
            <w:tcBorders>
              <w:bottom w:val="single" w:sz="8" w:color="EBE6F0"/>
            </w:tcBorders>
            <w:shd w:val="clear" w:color="auto" w:fill="EBE6F0"/>
          </w:tcPr>
          <w:p>
            <w:pPr>
              <w:jc w:val="right"/>
              <w:ind w:right="232"/>
              <w:spacing w:after="0"/>
              <w:rPr>
                <w:sz w:val="20"/>
                <w:szCs w:val="20"/>
                <w:color w:val="auto"/>
              </w:rPr>
            </w:pPr>
            <w:r>
              <w:rPr>
                <w:rFonts w:ascii="Arial" w:cs="Arial" w:eastAsia="Arial" w:hAnsi="Arial"/>
                <w:sz w:val="18"/>
                <w:szCs w:val="18"/>
                <w:color w:val="auto"/>
              </w:rPr>
              <w:t>(0.08)</w:t>
            </w:r>
          </w:p>
        </w:tc>
        <w:tc>
          <w:tcPr>
            <w:tcW w:w="500" w:type="dxa"/>
            <w:vAlign w:val="bottom"/>
            <w:tcBorders>
              <w:bottom w:val="single" w:sz="8" w:color="EBE6F0"/>
            </w:tcBorders>
            <w:shd w:val="clear" w:color="auto" w:fill="EBE6F0"/>
          </w:tcPr>
          <w:p>
            <w:pPr>
              <w:spacing w:after="0"/>
              <w:rPr>
                <w:sz w:val="24"/>
                <w:szCs w:val="24"/>
                <w:color w:val="auto"/>
              </w:rPr>
            </w:pPr>
          </w:p>
        </w:tc>
        <w:tc>
          <w:tcPr>
            <w:tcW w:w="820" w:type="dxa"/>
            <w:vAlign w:val="bottom"/>
            <w:tcBorders>
              <w:bottom w:val="single" w:sz="8" w:color="EBE6F0"/>
            </w:tcBorders>
            <w:shd w:val="clear" w:color="auto" w:fill="EBE6F0"/>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BE6F0"/>
            </w:tcBorders>
            <w:shd w:val="clear" w:color="auto" w:fill="EBE6F0"/>
          </w:tcPr>
          <w:p>
            <w:pPr>
              <w:spacing w:after="0"/>
              <w:rPr>
                <w:sz w:val="24"/>
                <w:szCs w:val="24"/>
                <w:color w:val="auto"/>
              </w:rPr>
            </w:pPr>
          </w:p>
        </w:tc>
        <w:tc>
          <w:tcPr>
            <w:tcW w:w="780" w:type="dxa"/>
            <w:vAlign w:val="bottom"/>
            <w:tcBorders>
              <w:bottom w:val="single" w:sz="8" w:color="EBE6F0"/>
            </w:tcBorders>
            <w:shd w:val="clear" w:color="auto" w:fill="EBE6F0"/>
          </w:tcPr>
          <w:p>
            <w:pPr>
              <w:jc w:val="right"/>
              <w:ind w:right="152"/>
              <w:spacing w:after="0"/>
              <w:rPr>
                <w:sz w:val="20"/>
                <w:szCs w:val="20"/>
                <w:color w:val="auto"/>
              </w:rPr>
            </w:pPr>
            <w:r>
              <w:rPr>
                <w:rFonts w:ascii="Arial" w:cs="Arial" w:eastAsia="Arial" w:hAnsi="Arial"/>
                <w:sz w:val="18"/>
                <w:szCs w:val="18"/>
                <w:color w:val="auto"/>
              </w:rPr>
              <w:t>(0.08)</w:t>
            </w:r>
          </w:p>
        </w:tc>
        <w:tc>
          <w:tcPr>
            <w:tcW w:w="1180" w:type="dxa"/>
            <w:vAlign w:val="bottom"/>
            <w:tcBorders>
              <w:bottom w:val="single" w:sz="8" w:color="EBE6F0"/>
            </w:tcBorders>
            <w:shd w:val="clear" w:color="auto" w:fill="EBE6F0"/>
          </w:tcPr>
          <w:p>
            <w:pPr>
              <w:spacing w:after="0"/>
              <w:rPr>
                <w:sz w:val="24"/>
                <w:szCs w:val="24"/>
                <w:color w:val="auto"/>
              </w:rPr>
            </w:pPr>
          </w:p>
        </w:tc>
      </w:tr>
      <w:tr>
        <w:trPr>
          <w:trHeight w:val="274"/>
        </w:trPr>
        <w:tc>
          <w:tcPr>
            <w:tcW w:w="5860" w:type="dxa"/>
            <w:vAlign w:val="bottom"/>
            <w:tcBorders>
              <w:top w:val="single" w:sz="8" w:color="572C83"/>
            </w:tcBorders>
          </w:tcPr>
          <w:p>
            <w:pPr>
              <w:ind w:left="80"/>
              <w:spacing w:after="0"/>
              <w:rPr>
                <w:sz w:val="20"/>
                <w:szCs w:val="20"/>
                <w:color w:val="auto"/>
              </w:rPr>
            </w:pPr>
            <w:r>
              <w:rPr>
                <w:rFonts w:ascii="Arial" w:cs="Arial" w:eastAsia="Arial" w:hAnsi="Arial"/>
                <w:sz w:val="18"/>
                <w:szCs w:val="18"/>
                <w:b w:val="1"/>
                <w:bCs w:val="1"/>
                <w:color w:val="auto"/>
              </w:rPr>
              <w:t>Adjusted EPS @ Constant FX (Non-GAAP)</w:t>
            </w:r>
          </w:p>
        </w:tc>
        <w:tc>
          <w:tcPr>
            <w:tcW w:w="7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572C83"/>
            </w:tcBorders>
          </w:tcPr>
          <w:p>
            <w:pPr>
              <w:jc w:val="right"/>
              <w:ind w:right="232"/>
              <w:spacing w:after="0"/>
              <w:rPr>
                <w:sz w:val="20"/>
                <w:szCs w:val="20"/>
                <w:color w:val="auto"/>
              </w:rPr>
            </w:pPr>
            <w:r>
              <w:rPr>
                <w:rFonts w:ascii="Arial" w:cs="Arial" w:eastAsia="Arial" w:hAnsi="Arial"/>
                <w:sz w:val="18"/>
                <w:szCs w:val="18"/>
                <w:b w:val="1"/>
                <w:bCs w:val="1"/>
                <w:color w:val="auto"/>
              </w:rPr>
              <w:t>2.79</w:t>
            </w:r>
          </w:p>
        </w:tc>
        <w:tc>
          <w:tcPr>
            <w:tcW w:w="50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572C83"/>
            </w:tcBorders>
          </w:tcPr>
          <w:p>
            <w:pPr>
              <w:jc w:val="right"/>
              <w:ind w:right="192"/>
              <w:spacing w:after="0"/>
              <w:rPr>
                <w:sz w:val="20"/>
                <w:szCs w:val="20"/>
                <w:color w:val="auto"/>
              </w:rPr>
            </w:pPr>
            <w:r>
              <w:rPr>
                <w:rFonts w:ascii="Arial" w:cs="Arial" w:eastAsia="Arial" w:hAnsi="Arial"/>
                <w:sz w:val="18"/>
                <w:szCs w:val="18"/>
                <w:b w:val="1"/>
                <w:bCs w:val="1"/>
                <w:color w:val="auto"/>
              </w:rPr>
              <w:t>2.56</w:t>
            </w:r>
          </w:p>
        </w:tc>
        <w:tc>
          <w:tcPr>
            <w:tcW w:w="52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572C83"/>
            </w:tcBorders>
          </w:tcPr>
          <w:p>
            <w:pPr>
              <w:jc w:val="right"/>
              <w:ind w:right="152"/>
              <w:spacing w:after="0"/>
              <w:rPr>
                <w:sz w:val="20"/>
                <w:szCs w:val="20"/>
                <w:color w:val="auto"/>
              </w:rPr>
            </w:pPr>
            <w:r>
              <w:rPr>
                <w:rFonts w:ascii="Arial" w:cs="Arial" w:eastAsia="Arial" w:hAnsi="Arial"/>
                <w:sz w:val="18"/>
                <w:szCs w:val="18"/>
                <w:b w:val="1"/>
                <w:bCs w:val="1"/>
                <w:color w:val="auto"/>
              </w:rPr>
              <w:t>0.23</w:t>
            </w:r>
          </w:p>
        </w:tc>
        <w:tc>
          <w:tcPr>
            <w:tcW w:w="1180" w:type="dxa"/>
            <w:vAlign w:val="bottom"/>
            <w:tcBorders>
              <w:top w:val="single" w:sz="8" w:color="572C83"/>
            </w:tcBorders>
          </w:tcPr>
          <w:p>
            <w:pPr>
              <w:jc w:val="right"/>
              <w:spacing w:after="0"/>
              <w:rPr>
                <w:sz w:val="20"/>
                <w:szCs w:val="20"/>
                <w:color w:val="auto"/>
              </w:rPr>
            </w:pPr>
            <w:r>
              <w:rPr>
                <w:rFonts w:ascii="Arial" w:cs="Arial" w:eastAsia="Arial" w:hAnsi="Arial"/>
                <w:sz w:val="18"/>
                <w:szCs w:val="18"/>
                <w:b w:val="1"/>
                <w:bCs w:val="1"/>
                <w:color w:val="auto"/>
              </w:rPr>
              <w:t>9.0%</w:t>
            </w:r>
          </w:p>
        </w:tc>
      </w:tr>
      <w:tr>
        <w:trPr>
          <w:trHeight w:val="30"/>
        </w:trPr>
        <w:tc>
          <w:tcPr>
            <w:tcW w:w="5860" w:type="dxa"/>
            <w:vAlign w:val="bottom"/>
            <w:tcBorders>
              <w:bottom w:val="single" w:sz="8" w:color="572C83"/>
            </w:tcBorders>
          </w:tcPr>
          <w:p>
            <w:pPr>
              <w:spacing w:after="0"/>
              <w:rPr>
                <w:sz w:val="2"/>
                <w:szCs w:val="2"/>
                <w:color w:val="auto"/>
              </w:rPr>
            </w:pPr>
          </w:p>
        </w:tc>
        <w:tc>
          <w:tcPr>
            <w:tcW w:w="720" w:type="dxa"/>
            <w:vAlign w:val="bottom"/>
            <w:tcBorders>
              <w:bottom w:val="single" w:sz="8" w:color="572C83"/>
            </w:tcBorders>
          </w:tcPr>
          <w:p>
            <w:pPr>
              <w:spacing w:after="0"/>
              <w:rPr>
                <w:sz w:val="2"/>
                <w:szCs w:val="2"/>
                <w:color w:val="auto"/>
              </w:rPr>
            </w:pPr>
          </w:p>
        </w:tc>
        <w:tc>
          <w:tcPr>
            <w:tcW w:w="860" w:type="dxa"/>
            <w:vAlign w:val="bottom"/>
            <w:tcBorders>
              <w:bottom w:val="single" w:sz="8" w:color="572C83"/>
            </w:tcBorders>
          </w:tcPr>
          <w:p>
            <w:pPr>
              <w:spacing w:after="0"/>
              <w:rPr>
                <w:sz w:val="2"/>
                <w:szCs w:val="2"/>
                <w:color w:val="auto"/>
              </w:rPr>
            </w:pPr>
          </w:p>
        </w:tc>
        <w:tc>
          <w:tcPr>
            <w:tcW w:w="500" w:type="dxa"/>
            <w:vAlign w:val="bottom"/>
            <w:tcBorders>
              <w:bottom w:val="single" w:sz="8" w:color="572C83"/>
            </w:tcBorders>
          </w:tcPr>
          <w:p>
            <w:pPr>
              <w:spacing w:after="0"/>
              <w:rPr>
                <w:sz w:val="2"/>
                <w:szCs w:val="2"/>
                <w:color w:val="auto"/>
              </w:rPr>
            </w:pPr>
          </w:p>
        </w:tc>
        <w:tc>
          <w:tcPr>
            <w:tcW w:w="820" w:type="dxa"/>
            <w:vAlign w:val="bottom"/>
            <w:tcBorders>
              <w:bottom w:val="single" w:sz="8" w:color="572C83"/>
            </w:tcBorders>
          </w:tcPr>
          <w:p>
            <w:pPr>
              <w:spacing w:after="0"/>
              <w:rPr>
                <w:sz w:val="2"/>
                <w:szCs w:val="2"/>
                <w:color w:val="auto"/>
              </w:rPr>
            </w:pPr>
          </w:p>
        </w:tc>
        <w:tc>
          <w:tcPr>
            <w:tcW w:w="520" w:type="dxa"/>
            <w:vAlign w:val="bottom"/>
            <w:tcBorders>
              <w:bottom w:val="single" w:sz="8" w:color="572C83"/>
            </w:tcBorders>
          </w:tcPr>
          <w:p>
            <w:pPr>
              <w:spacing w:after="0"/>
              <w:rPr>
                <w:sz w:val="2"/>
                <w:szCs w:val="2"/>
                <w:color w:val="auto"/>
              </w:rPr>
            </w:pPr>
          </w:p>
        </w:tc>
        <w:tc>
          <w:tcPr>
            <w:tcW w:w="780" w:type="dxa"/>
            <w:vAlign w:val="bottom"/>
            <w:tcBorders>
              <w:bottom w:val="single" w:sz="8" w:color="572C83"/>
            </w:tcBorders>
          </w:tcPr>
          <w:p>
            <w:pPr>
              <w:spacing w:after="0"/>
              <w:rPr>
                <w:sz w:val="2"/>
                <w:szCs w:val="2"/>
                <w:color w:val="auto"/>
              </w:rPr>
            </w:pPr>
          </w:p>
        </w:tc>
        <w:tc>
          <w:tcPr>
            <w:tcW w:w="1180" w:type="dxa"/>
            <w:vAlign w:val="bottom"/>
            <w:tcBorders>
              <w:bottom w:val="single" w:sz="8" w:color="572C8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0" w:lineRule="exact"/>
        <w:rPr>
          <w:sz w:val="20"/>
          <w:szCs w:val="20"/>
          <w:color w:val="auto"/>
        </w:rPr>
      </w:pPr>
    </w:p>
    <w:p>
      <w:pPr>
        <w:spacing w:after="0" w:line="363" w:lineRule="exact"/>
        <w:rPr>
          <w:sz w:val="20"/>
          <w:szCs w:val="20"/>
          <w:color w:val="auto"/>
        </w:rPr>
      </w:pPr>
    </w:p>
    <w:p>
      <w:pPr>
        <w:ind w:left="420" w:right="64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tax expense/(benefit) of each of the pre-tax items excluded from our GAAP results was computed based on the facts and tax assumptions associated with each item, and such impacts have also been excluded from Adjusted EPS.</w:t>
      </w:r>
    </w:p>
    <w:p>
      <w:pPr>
        <w:spacing w:after="0" w:line="1" w:lineRule="exact"/>
        <w:rPr>
          <w:rFonts w:ascii="Arial" w:cs="Arial" w:eastAsia="Arial" w:hAnsi="Arial"/>
          <w:sz w:val="16"/>
          <w:szCs w:val="16"/>
          <w:color w:val="auto"/>
        </w:rPr>
      </w:pPr>
    </w:p>
    <w:p>
      <w:pPr>
        <w:ind w:left="540" w:right="180" w:hanging="127"/>
        <w:spacing w:after="0" w:line="254" w:lineRule="auto"/>
        <w:tabs>
          <w:tab w:leader="none" w:pos="540" w:val="left"/>
        </w:tabs>
        <w:numPr>
          <w:ilvl w:val="1"/>
          <w:numId w:val="109"/>
        </w:numPr>
        <w:rPr>
          <w:rFonts w:ascii="Arial" w:cs="Arial" w:eastAsia="Arial" w:hAnsi="Arial"/>
          <w:sz w:val="16"/>
          <w:szCs w:val="16"/>
          <w:color w:val="582C83"/>
        </w:rPr>
      </w:pPr>
      <w:r>
        <w:rPr>
          <w:rFonts w:ascii="Arial" w:cs="Arial" w:eastAsia="Arial" w:hAnsi="Arial"/>
          <w:sz w:val="16"/>
          <w:szCs w:val="16"/>
          <w:color w:val="auto"/>
        </w:rPr>
        <w:t>For the year ended December 31, 2021, taxes for the: Simplify to Grow Program were $(83) million, intangible asset impairment charges were $(8) million, mark-to-market gains from derivatives were $44 million, acquisition-related costs were $(4) million, acquisition integration costs and contingent consideration adjustments were $12 million, divestiture-related costs were $(8) million, net earnings from divestiture were $9 million, remeasurement of net monetary position were zero, impact from pension participation changes were $(8) million, loss on debt extinguishment were $(34) million, initial impacts from enacted tax law changes were $100 million, gain on equity method investment transactions were $184 million and equity method investee items were $(4) million.</w:t>
      </w:r>
    </w:p>
    <w:p>
      <w:pPr>
        <w:spacing w:after="0" w:line="6" w:lineRule="exact"/>
        <w:rPr>
          <w:rFonts w:ascii="Arial" w:cs="Arial" w:eastAsia="Arial" w:hAnsi="Arial"/>
          <w:sz w:val="16"/>
          <w:szCs w:val="16"/>
          <w:color w:val="582C83"/>
        </w:rPr>
      </w:pPr>
    </w:p>
    <w:p>
      <w:pPr>
        <w:ind w:left="540" w:right="140" w:hanging="127"/>
        <w:spacing w:after="0" w:line="254" w:lineRule="auto"/>
        <w:tabs>
          <w:tab w:leader="none" w:pos="540" w:val="left"/>
        </w:tabs>
        <w:numPr>
          <w:ilvl w:val="1"/>
          <w:numId w:val="109"/>
        </w:numPr>
        <w:rPr>
          <w:rFonts w:ascii="Arial" w:cs="Arial" w:eastAsia="Arial" w:hAnsi="Arial"/>
          <w:sz w:val="16"/>
          <w:szCs w:val="16"/>
          <w:color w:val="582C83"/>
        </w:rPr>
      </w:pPr>
      <w:r>
        <w:rPr>
          <w:rFonts w:ascii="Arial" w:cs="Arial" w:eastAsia="Arial" w:hAnsi="Arial"/>
          <w:sz w:val="16"/>
          <w:szCs w:val="16"/>
          <w:color w:val="auto"/>
        </w:rPr>
        <w:t>For the year ended December 31, 2020, taxes for the: Simplify to Grow Program were $(81) million, intangible asset impairment charges were $(33) million, mark-to-market gains from derivatives were $8 million, acquisition-related costs were zero, net earnings from divestiture were $26 million, costs associated with JDE Peet’s transaction were $250 million, remeasurement of net monetary position were zero, impact from pension participation changes were $(2) million, impact from resolution of tax matters were $16 million, loss related to interest rate swaps were $(24) million, loss on debt extinguishment were $(46) million, initial impacts from enacted tax law changes were $36 million, gain on equity method investment transactions were $202 million and equity method investee items were $(4) million.</w:t>
      </w:r>
    </w:p>
    <w:p>
      <w:pPr>
        <w:spacing w:after="0" w:line="6" w:lineRule="exact"/>
        <w:rPr>
          <w:rFonts w:ascii="Arial" w:cs="Arial" w:eastAsia="Arial" w:hAnsi="Arial"/>
          <w:sz w:val="16"/>
          <w:szCs w:val="16"/>
          <w:color w:val="582C83"/>
        </w:rPr>
      </w:pPr>
    </w:p>
    <w:p>
      <w:pPr>
        <w:ind w:left="420" w:hanging="331"/>
        <w:spacing w:after="0"/>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See the Gross Profit table and the related footnotes for more information.</w:t>
      </w:r>
    </w:p>
    <w:p>
      <w:pPr>
        <w:spacing w:after="0" w:line="45" w:lineRule="exact"/>
        <w:rPr>
          <w:rFonts w:ascii="Arial" w:cs="Arial" w:eastAsia="Arial" w:hAnsi="Arial"/>
          <w:sz w:val="16"/>
          <w:szCs w:val="16"/>
          <w:color w:val="auto"/>
        </w:rPr>
      </w:pPr>
    </w:p>
    <w:p>
      <w:pPr>
        <w:ind w:left="420" w:right="34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to the consolidated financial statements in the 2021 Form 10-K for more information on trademark impairments.</w:t>
      </w:r>
    </w:p>
    <w:p>
      <w:pPr>
        <w:spacing w:after="0" w:line="1" w:lineRule="exact"/>
        <w:rPr>
          <w:rFonts w:ascii="Arial" w:cs="Arial" w:eastAsia="Arial" w:hAnsi="Arial"/>
          <w:sz w:val="16"/>
          <w:szCs w:val="16"/>
          <w:color w:val="auto"/>
        </w:rPr>
      </w:pPr>
    </w:p>
    <w:p>
      <w:pPr>
        <w:ind w:left="420" w:right="62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to the consolidated financial statements in the 2021 Form 10-K for more information on our equity method investment transactions.</w:t>
      </w:r>
    </w:p>
    <w:p>
      <w:pPr>
        <w:spacing w:after="0" w:line="1" w:lineRule="exact"/>
        <w:rPr>
          <w:rFonts w:ascii="Arial" w:cs="Arial" w:eastAsia="Arial" w:hAnsi="Arial"/>
          <w:sz w:val="16"/>
          <w:szCs w:val="16"/>
          <w:color w:val="auto"/>
        </w:rPr>
      </w:pPr>
    </w:p>
    <w:p>
      <w:pPr>
        <w:ind w:left="420" w:right="26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to the consolidated financial statements in the 2021 Form 10-K for more information on our application of highly inflationary accounting for Argentina.</w:t>
      </w:r>
    </w:p>
    <w:p>
      <w:pPr>
        <w:spacing w:after="0" w:line="1" w:lineRule="exact"/>
        <w:rPr>
          <w:rFonts w:ascii="Arial" w:cs="Arial" w:eastAsia="Arial" w:hAnsi="Arial"/>
          <w:sz w:val="16"/>
          <w:szCs w:val="16"/>
          <w:color w:val="auto"/>
        </w:rPr>
      </w:pPr>
    </w:p>
    <w:p>
      <w:pPr>
        <w:ind w:left="420" w:hanging="331"/>
        <w:spacing w:after="0"/>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 the 2021 Form 10-K for more information.</w:t>
      </w:r>
    </w:p>
    <w:p>
      <w:pPr>
        <w:spacing w:after="0" w:line="45" w:lineRule="exact"/>
        <w:rPr>
          <w:rFonts w:ascii="Arial" w:cs="Arial" w:eastAsia="Arial" w:hAnsi="Arial"/>
          <w:sz w:val="16"/>
          <w:szCs w:val="16"/>
          <w:color w:val="auto"/>
        </w:rPr>
      </w:pPr>
    </w:p>
    <w:p>
      <w:pPr>
        <w:ind w:left="420" w:right="52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Financial Instruments</w:t>
      </w:r>
      <w:r>
        <w:rPr>
          <w:rFonts w:ascii="Arial" w:cs="Arial" w:eastAsia="Arial" w:hAnsi="Arial"/>
          <w:sz w:val="16"/>
          <w:szCs w:val="16"/>
          <w:color w:val="auto"/>
        </w:rPr>
        <w:t>, to the consolidated financial statements in the 2021 Form 10-K for more information on our interest rate swaps that we no longer designate as cash flow hedges.</w:t>
      </w:r>
    </w:p>
    <w:p>
      <w:pPr>
        <w:spacing w:after="0" w:line="1" w:lineRule="exact"/>
        <w:rPr>
          <w:rFonts w:ascii="Arial" w:cs="Arial" w:eastAsia="Arial" w:hAnsi="Arial"/>
          <w:sz w:val="16"/>
          <w:szCs w:val="16"/>
          <w:color w:val="auto"/>
        </w:rPr>
      </w:pPr>
    </w:p>
    <w:p>
      <w:pPr>
        <w:ind w:left="420" w:right="120" w:hanging="331"/>
        <w:spacing w:after="0" w:line="272"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to the consolidated financial statements in the 2021 Form 10-K for more information on losses on debt extinguishment.</w:t>
      </w:r>
    </w:p>
    <w:p>
      <w:pPr>
        <w:spacing w:after="0" w:line="1" w:lineRule="exact"/>
        <w:rPr>
          <w:rFonts w:ascii="Arial" w:cs="Arial" w:eastAsia="Arial" w:hAnsi="Arial"/>
          <w:sz w:val="16"/>
          <w:szCs w:val="16"/>
          <w:color w:val="auto"/>
        </w:rPr>
      </w:pPr>
    </w:p>
    <w:p>
      <w:pPr>
        <w:ind w:left="420" w:hanging="331"/>
        <w:spacing w:after="0"/>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Refer to Note 16, </w:t>
      </w:r>
      <w:r>
        <w:rPr>
          <w:rFonts w:ascii="Arial" w:cs="Arial" w:eastAsia="Arial" w:hAnsi="Arial"/>
          <w:sz w:val="16"/>
          <w:szCs w:val="16"/>
          <w:i w:val="1"/>
          <w:iCs w:val="1"/>
          <w:color w:val="auto"/>
        </w:rPr>
        <w:t>Income Taxes</w:t>
      </w:r>
      <w:r>
        <w:rPr>
          <w:rFonts w:ascii="Arial" w:cs="Arial" w:eastAsia="Arial" w:hAnsi="Arial"/>
          <w:sz w:val="16"/>
          <w:szCs w:val="16"/>
          <w:color w:val="auto"/>
        </w:rPr>
        <w:t>, to the consolidated financial statements in the 2021 Form 10-K for more information.</w:t>
      </w:r>
    </w:p>
    <w:p>
      <w:pPr>
        <w:spacing w:after="0" w:line="45" w:lineRule="exact"/>
        <w:rPr>
          <w:rFonts w:ascii="Arial" w:cs="Arial" w:eastAsia="Arial" w:hAnsi="Arial"/>
          <w:sz w:val="16"/>
          <w:szCs w:val="16"/>
          <w:color w:val="auto"/>
        </w:rPr>
      </w:pPr>
    </w:p>
    <w:p>
      <w:pPr>
        <w:ind w:left="420" w:right="480" w:hanging="331"/>
        <w:spacing w:after="0" w:line="286" w:lineRule="auto"/>
        <w:tabs>
          <w:tab w:leader="none" w:pos="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20" w:type="dxa"/>
            <w:vAlign w:val="bottom"/>
          </w:tcPr>
          <w:p>
            <w:pPr>
              <w:ind w:left="80"/>
              <w:spacing w:after="0"/>
              <w:rPr>
                <w:sz w:val="20"/>
                <w:szCs w:val="20"/>
                <w:color w:val="auto"/>
              </w:rPr>
            </w:pPr>
            <w:r>
              <w:rPr>
                <w:rFonts w:ascii="Arial" w:cs="Arial" w:eastAsia="Arial" w:hAnsi="Arial"/>
                <w:sz w:val="18"/>
                <w:szCs w:val="18"/>
                <w:b w:val="1"/>
                <w:bCs w:val="1"/>
                <w:color w:val="auto"/>
              </w:rPr>
              <w:t>Net Cash Provided by Operating Activities to Free Cash Flow</w:t>
            </w:r>
          </w:p>
        </w:tc>
        <w:tc>
          <w:tcPr>
            <w:tcW w:w="4320" w:type="dxa"/>
            <w:vAlign w:val="bottom"/>
            <w:gridSpan w:val="2"/>
          </w:tcPr>
          <w:p>
            <w:pPr>
              <w:jc w:val="right"/>
              <w:spacing w:after="0"/>
              <w:rPr>
                <w:sz w:val="20"/>
                <w:szCs w:val="20"/>
                <w:color w:val="auto"/>
              </w:rPr>
            </w:pPr>
            <w:r>
              <w:rPr>
                <w:rFonts w:ascii="Arial" w:cs="Arial" w:eastAsia="Arial" w:hAnsi="Arial"/>
                <w:sz w:val="18"/>
                <w:szCs w:val="18"/>
                <w:b w:val="1"/>
                <w:bCs w:val="1"/>
                <w:color w:val="auto"/>
              </w:rPr>
              <w:t>For the Twelve Months Ended</w:t>
            </w:r>
          </w:p>
        </w:tc>
      </w:tr>
      <w:tr>
        <w:trPr>
          <w:trHeight w:val="265"/>
        </w:trPr>
        <w:tc>
          <w:tcPr>
            <w:tcW w:w="6920" w:type="dxa"/>
            <w:vAlign w:val="bottom"/>
            <w:tcBorders>
              <w:bottom w:val="single" w:sz="8" w:color="572C83"/>
            </w:tcBorders>
          </w:tcPr>
          <w:p>
            <w:pPr>
              <w:ind w:left="80"/>
              <w:spacing w:after="0"/>
              <w:rPr>
                <w:sz w:val="20"/>
                <w:szCs w:val="20"/>
                <w:color w:val="auto"/>
              </w:rPr>
            </w:pPr>
            <w:r>
              <w:rPr>
                <w:rFonts w:ascii="Arial" w:cs="Arial" w:eastAsia="Arial" w:hAnsi="Arial"/>
                <w:sz w:val="18"/>
                <w:szCs w:val="18"/>
                <w:b w:val="1"/>
                <w:bCs w:val="1"/>
                <w:color w:val="auto"/>
              </w:rPr>
              <w:t>(in millions of U.S. dollars) (Unaudited)</w:t>
            </w:r>
          </w:p>
        </w:tc>
        <w:tc>
          <w:tcPr>
            <w:tcW w:w="4320" w:type="dxa"/>
            <w:vAlign w:val="bottom"/>
            <w:tcBorders>
              <w:bottom w:val="single" w:sz="8" w:color="572C83"/>
            </w:tcBorders>
            <w:gridSpan w:val="2"/>
          </w:tcPr>
          <w:p>
            <w:pPr>
              <w:jc w:val="right"/>
              <w:spacing w:after="0"/>
              <w:rPr>
                <w:sz w:val="20"/>
                <w:szCs w:val="20"/>
                <w:color w:val="auto"/>
              </w:rPr>
            </w:pPr>
            <w:r>
              <w:rPr>
                <w:rFonts w:ascii="Arial" w:cs="Arial" w:eastAsia="Arial" w:hAnsi="Arial"/>
                <w:sz w:val="18"/>
                <w:szCs w:val="18"/>
                <w:b w:val="1"/>
                <w:bCs w:val="1"/>
                <w:color w:val="auto"/>
              </w:rPr>
              <w:t>December 31, 2021</w:t>
            </w:r>
          </w:p>
        </w:tc>
      </w:tr>
      <w:tr>
        <w:trPr>
          <w:trHeight w:val="315"/>
        </w:trPr>
        <w:tc>
          <w:tcPr>
            <w:tcW w:w="69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3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4,141</w:t>
            </w:r>
          </w:p>
        </w:tc>
      </w:tr>
      <w:tr>
        <w:trPr>
          <w:trHeight w:val="265"/>
        </w:trPr>
        <w:tc>
          <w:tcPr>
            <w:tcW w:w="6920" w:type="dxa"/>
            <w:vAlign w:val="bottom"/>
            <w:tcBorders>
              <w:top w:val="single" w:sz="8" w:color="572C83"/>
            </w:tcBorders>
          </w:tcPr>
          <w:p>
            <w:pPr>
              <w:ind w:left="80"/>
              <w:spacing w:after="0"/>
              <w:rPr>
                <w:sz w:val="20"/>
                <w:szCs w:val="20"/>
                <w:color w:val="auto"/>
              </w:rPr>
            </w:pPr>
            <w:r>
              <w:rPr>
                <w:rFonts w:ascii="Arial" w:cs="Arial" w:eastAsia="Arial" w:hAnsi="Arial"/>
                <w:sz w:val="18"/>
                <w:szCs w:val="18"/>
                <w:color w:val="auto"/>
              </w:rPr>
              <w:t>Capital Expenditures</w:t>
            </w:r>
          </w:p>
        </w:tc>
        <w:tc>
          <w:tcPr>
            <w:tcW w:w="3720" w:type="dxa"/>
            <w:vAlign w:val="bottom"/>
            <w:tcBorders>
              <w:top w:val="single" w:sz="8" w:color="572C83"/>
            </w:tcBorders>
          </w:tcPr>
          <w:p>
            <w:pPr>
              <w:spacing w:after="0"/>
              <w:rPr>
                <w:sz w:val="23"/>
                <w:szCs w:val="23"/>
                <w:color w:val="auto"/>
              </w:rPr>
            </w:pPr>
          </w:p>
        </w:tc>
        <w:tc>
          <w:tcPr>
            <w:tcW w:w="600" w:type="dxa"/>
            <w:vAlign w:val="bottom"/>
            <w:tcBorders>
              <w:top w:val="single" w:sz="8" w:color="572C83"/>
            </w:tcBorders>
          </w:tcPr>
          <w:p>
            <w:pPr>
              <w:jc w:val="right"/>
              <w:spacing w:after="0"/>
              <w:rPr>
                <w:sz w:val="20"/>
                <w:szCs w:val="20"/>
                <w:color w:val="auto"/>
              </w:rPr>
            </w:pPr>
            <w:r>
              <w:rPr>
                <w:rFonts w:ascii="Arial" w:cs="Arial" w:eastAsia="Arial" w:hAnsi="Arial"/>
                <w:sz w:val="18"/>
                <w:szCs w:val="18"/>
                <w:color w:val="auto"/>
              </w:rPr>
              <w:t>(965)</w:t>
            </w:r>
          </w:p>
        </w:tc>
      </w:tr>
      <w:tr>
        <w:trPr>
          <w:trHeight w:val="39"/>
        </w:trPr>
        <w:tc>
          <w:tcPr>
            <w:tcW w:w="6920" w:type="dxa"/>
            <w:vAlign w:val="bottom"/>
            <w:tcBorders>
              <w:bottom w:val="single" w:sz="8" w:color="572C83"/>
            </w:tcBorders>
          </w:tcPr>
          <w:p>
            <w:pPr>
              <w:spacing w:after="0"/>
              <w:rPr>
                <w:sz w:val="3"/>
                <w:szCs w:val="3"/>
                <w:color w:val="auto"/>
              </w:rPr>
            </w:pPr>
          </w:p>
        </w:tc>
        <w:tc>
          <w:tcPr>
            <w:tcW w:w="3720" w:type="dxa"/>
            <w:vAlign w:val="bottom"/>
            <w:tcBorders>
              <w:bottom w:val="single" w:sz="8" w:color="572C83"/>
            </w:tcBorders>
          </w:tcPr>
          <w:p>
            <w:pPr>
              <w:spacing w:after="0"/>
              <w:rPr>
                <w:sz w:val="3"/>
                <w:szCs w:val="3"/>
                <w:color w:val="auto"/>
              </w:rPr>
            </w:pPr>
          </w:p>
        </w:tc>
        <w:tc>
          <w:tcPr>
            <w:tcW w:w="600" w:type="dxa"/>
            <w:vAlign w:val="bottom"/>
            <w:tcBorders>
              <w:bottom w:val="single" w:sz="8" w:color="572C83"/>
            </w:tcBorders>
          </w:tcPr>
          <w:p>
            <w:pPr>
              <w:spacing w:after="0"/>
              <w:rPr>
                <w:sz w:val="3"/>
                <w:szCs w:val="3"/>
                <w:color w:val="auto"/>
              </w:rPr>
            </w:pPr>
          </w:p>
        </w:tc>
      </w:tr>
      <w:tr>
        <w:trPr>
          <w:trHeight w:val="284"/>
        </w:trPr>
        <w:tc>
          <w:tcPr>
            <w:tcW w:w="6920" w:type="dxa"/>
            <w:vAlign w:val="bottom"/>
            <w:tcBorders>
              <w:bottom w:val="single" w:sz="8" w:color="EBE6F0"/>
            </w:tcBorders>
            <w:shd w:val="clear" w:color="auto" w:fill="EBE6F0"/>
          </w:tcPr>
          <w:p>
            <w:pPr>
              <w:ind w:left="80"/>
              <w:spacing w:after="0"/>
              <w:rPr>
                <w:sz w:val="20"/>
                <w:szCs w:val="20"/>
                <w:color w:val="auto"/>
              </w:rPr>
            </w:pPr>
            <w:r>
              <w:rPr>
                <w:rFonts w:ascii="Arial" w:cs="Arial" w:eastAsia="Arial" w:hAnsi="Arial"/>
                <w:sz w:val="18"/>
                <w:szCs w:val="18"/>
                <w:b w:val="1"/>
                <w:bCs w:val="1"/>
                <w:color w:val="auto"/>
              </w:rPr>
              <w:t>Free Cash Flow (Non-GAAP)</w:t>
            </w:r>
          </w:p>
        </w:tc>
        <w:tc>
          <w:tcPr>
            <w:tcW w:w="372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EBE6F0"/>
            </w:tcBorders>
            <w:shd w:val="clear" w:color="auto" w:fill="EBE6F0"/>
          </w:tcPr>
          <w:p>
            <w:pPr>
              <w:jc w:val="right"/>
              <w:spacing w:after="0"/>
              <w:rPr>
                <w:sz w:val="20"/>
                <w:szCs w:val="20"/>
                <w:color w:val="auto"/>
              </w:rPr>
            </w:pPr>
            <w:r>
              <w:rPr>
                <w:rFonts w:ascii="Arial" w:cs="Arial" w:eastAsia="Arial" w:hAnsi="Arial"/>
                <w:sz w:val="18"/>
                <w:szCs w:val="18"/>
                <w:b w:val="1"/>
                <w:bCs w:val="1"/>
                <w:color w:val="auto"/>
              </w:rPr>
              <w:t>3,176</w:t>
            </w:r>
          </w:p>
        </w:tc>
      </w:tr>
      <w:tr>
        <w:trPr>
          <w:trHeight w:val="20"/>
        </w:trPr>
        <w:tc>
          <w:tcPr>
            <w:tcW w:w="6920" w:type="dxa"/>
            <w:vAlign w:val="bottom"/>
            <w:shd w:val="clear" w:color="auto" w:fill="572C83"/>
          </w:tcPr>
          <w:p>
            <w:pPr>
              <w:spacing w:after="0" w:line="20" w:lineRule="exact"/>
              <w:rPr>
                <w:sz w:val="1"/>
                <w:szCs w:val="1"/>
                <w:color w:val="auto"/>
              </w:rPr>
            </w:pPr>
          </w:p>
        </w:tc>
        <w:tc>
          <w:tcPr>
            <w:tcW w:w="3720" w:type="dxa"/>
            <w:vAlign w:val="bottom"/>
            <w:shd w:val="clear" w:color="auto" w:fill="572C83"/>
          </w:tcPr>
          <w:p>
            <w:pPr>
              <w:spacing w:after="0" w:line="20" w:lineRule="exact"/>
              <w:rPr>
                <w:sz w:val="1"/>
                <w:szCs w:val="1"/>
                <w:color w:val="auto"/>
              </w:rPr>
            </w:pPr>
          </w:p>
        </w:tc>
        <w:tc>
          <w:tcPr>
            <w:tcW w:w="600" w:type="dxa"/>
            <w:vAlign w:val="bottom"/>
            <w:shd w:val="clear" w:color="auto" w:fill="572C8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58358F"/>
        </w:rPr>
        <w:t>2022 PROXY STATEMENT |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985520" cy="2400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985520" cy="24003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385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3856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68426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32320" cy="868426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98398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32320" cy="898398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12">
        <w:r>
          <w:rPr>
            <w:rFonts w:ascii="Arial" w:cs="Arial" w:eastAsia="Arial" w:hAnsi="Arial"/>
            <w:sz w:val="14"/>
            <w:szCs w:val="14"/>
            <w:u w:val="single" w:color="auto"/>
            <w:color w:val="0000FF"/>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9750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32320" cy="8975090"/>
                    </a:xfrm>
                    <a:prstGeom prst="rect">
                      <a:avLst/>
                    </a:prstGeom>
                    <a:noFill/>
                  </pic:spPr>
                </pic:pic>
              </a:graphicData>
            </a:graphic>
          </wp:anchor>
        </w:drawing>
      </w:r>
    </w:p>
    <w:sectPr>
      <w:pgSz w:w="11900" w:h="16838" w:orient="portrait"/>
      <w:cols w:equalWidth="0" w:num="1">
        <w:col w:w="10139"/>
      </w:cols>
      <w:pgMar w:left="3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1."/>
      <w:numFmt w:val="decimal"/>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1)"/>
      <w:numFmt w:val="decimal"/>
      <w:start w:val="1"/>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X"/>
      <w:numFmt w:val="bullet"/>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1)"/>
      <w:numFmt w:val="decimal"/>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1)"/>
      <w:numFmt w:val="decimal"/>
      <w:start w:val="1"/>
    </w:lvl>
  </w:abstractNum>
  <w:abstractNum w:abstractNumId="67">
    <w:nsid w:val="14E17E33"/>
    <w:multiLevelType w:val="hybridMultilevel"/>
    <w:lvl w:ilvl="0">
      <w:lvlJc w:val="left"/>
      <w:lvlText w:val="(%1)"/>
      <w:numFmt w:val="decimal"/>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3"/>
    </w:lvl>
  </w:abstractNum>
  <w:abstractNum w:abstractNumId="75">
    <w:nsid w:val="57FC4FBB"/>
    <w:multiLevelType w:val="hybridMultilevel"/>
    <w:lvl w:ilvl="0">
      <w:lvlJc w:val="left"/>
      <w:lvlText w:val="(%1)"/>
      <w:numFmt w:val="lowerLetter"/>
      <w:start w:val="1"/>
    </w:lvl>
  </w:abstractNum>
  <w:abstractNum w:abstractNumId="76">
    <w:nsid w:val="CC1016F"/>
    <w:multiLevelType w:val="hybridMultilevel"/>
    <w:lvl w:ilvl="0">
      <w:lvlJc w:val="left"/>
      <w:lvlText w:val="(%1)"/>
      <w:numFmt w:val="decimal"/>
      <w:start w:val="1"/>
    </w:lvl>
  </w:abstractNum>
  <w:abstractNum w:abstractNumId="77">
    <w:nsid w:val="43F18422"/>
    <w:multiLevelType w:val="hybridMultilevel"/>
    <w:lvl w:ilvl="0">
      <w:lvlJc w:val="left"/>
      <w:lvlText w:val="(%1)"/>
      <w:numFmt w:val="decimal"/>
      <w:start w:val="2"/>
    </w:lvl>
  </w:abstractNum>
  <w:abstractNum w:abstractNumId="78">
    <w:nsid w:val="60EF0119"/>
    <w:multiLevelType w:val="hybridMultilevel"/>
    <w:lvl w:ilvl="0">
      <w:lvlJc w:val="left"/>
      <w:lvlText w:val="(%1)"/>
      <w:numFmt w:val="decimal"/>
      <w:start w:val="1"/>
    </w:lvl>
    <w:lvl w:ilvl="1">
      <w:lvlJc w:val="left"/>
      <w:lvlText w:val="•"/>
      <w:numFmt w:val="bullet"/>
      <w:start w:val="1"/>
    </w:lvl>
  </w:abstractNum>
  <w:abstractNum w:abstractNumId="79">
    <w:nsid w:val="26F324BA"/>
    <w:multiLevelType w:val="hybridMultilevel"/>
    <w:lvl w:ilvl="0">
      <w:lvlJc w:val="left"/>
      <w:lvlText w:val="(%1)"/>
      <w:numFmt w:val="decimal"/>
      <w:start w:val="1"/>
    </w:lvl>
    <w:lvl w:ilvl="1">
      <w:lvlJc w:val="left"/>
      <w:lvlText w:val="•"/>
      <w:numFmt w:val="bullet"/>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2"/>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1)"/>
      <w:numFmt w:val="decimal"/>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1)"/>
      <w:numFmt w:val="decimal"/>
      <w:start w:val="1"/>
    </w:lvl>
  </w:abstractNum>
  <w:abstractNum w:abstractNumId="86">
    <w:nsid w:val="5FB8011C"/>
    <w:multiLevelType w:val="hybridMultilevel"/>
    <w:lvl w:ilvl="0">
      <w:lvlJc w:val="left"/>
      <w:lvlText w:val="(%1)"/>
      <w:numFmt w:val="decimal"/>
      <w:start w:val="1"/>
    </w:lvl>
  </w:abstractNum>
  <w:abstractNum w:abstractNumId="87">
    <w:nsid w:val="6AA78F7F"/>
    <w:multiLevelType w:val="hybridMultilevel"/>
    <w:lvl w:ilvl="0">
      <w:lvlJc w:val="left"/>
      <w:lvlText w:val="(%1)"/>
      <w:numFmt w:val="decimal"/>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1)"/>
      <w:numFmt w:val="decimal"/>
      <w:start w:val="1"/>
    </w:lvl>
  </w:abstractNum>
  <w:abstractNum w:abstractNumId="90">
    <w:nsid w:val="6A5F7029"/>
    <w:multiLevelType w:val="hybridMultilevel"/>
    <w:lvl w:ilvl="0">
      <w:lvlJc w:val="left"/>
      <w:lvlText w:val="(%1)"/>
      <w:numFmt w:val="decimal"/>
      <w:start w:val="4"/>
    </w:lvl>
  </w:abstractNum>
  <w:abstractNum w:abstractNumId="91">
    <w:nsid w:val="7D5E18F8"/>
    <w:multiLevelType w:val="hybridMultilevel"/>
    <w:lvl w:ilvl="0">
      <w:lvlJc w:val="left"/>
      <w:lvlText w:val="(%1)"/>
      <w:numFmt w:val="decimal"/>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1."/>
      <w:numFmt w:val="decimal"/>
      <w:start w:val="7"/>
    </w:lvl>
  </w:abstractNum>
  <w:abstractNum w:abstractNumId="96">
    <w:nsid w:val="3FA62ACA"/>
    <w:multiLevelType w:val="hybridMultilevel"/>
    <w:lvl w:ilvl="0">
      <w:lvlJc w:val="left"/>
      <w:lvlText w:val="%1."/>
      <w:numFmt w:val="decimal"/>
      <w:start w:val="9"/>
    </w:lvl>
  </w:abstractNum>
  <w:abstractNum w:abstractNumId="97">
    <w:nsid w:val="14FCE74E"/>
    <w:multiLevelType w:val="hybridMultilevel"/>
    <w:lvl w:ilvl="0">
      <w:lvlJc w:val="left"/>
      <w:lvlText w:val="%1."/>
      <w:numFmt w:val="decimal"/>
      <w:start w:val="10"/>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
      <w:numFmt w:val="bullet"/>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8"/>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jpe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2022-04-06T15:14:31Z</dcterms:created>
  <dcterms:modified xsi:type="dcterms:W3CDTF">2022-04-06T15:14:31Z</dcterms:modified>
</cp:coreProperties>
</file>