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8" w:lineRule="exact"/>
        <w:rPr>
          <w:sz w:val="24"/>
          <w:szCs w:val="24"/>
          <w:color w:val="auto"/>
        </w:rPr>
      </w:pPr>
    </w:p>
    <w:p>
      <w:pPr>
        <w:ind w:left="1520" w:hanging="546"/>
        <w:spacing w:after="0"/>
        <w:tabs>
          <w:tab w:leader="none" w:pos="152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4" w:lineRule="exact"/>
        <w:rPr>
          <w:sz w:val="24"/>
          <w:szCs w:val="24"/>
          <w:color w:val="auto"/>
        </w:rPr>
      </w:pPr>
    </w:p>
    <w:p>
      <w:pPr>
        <w:ind w:left="1520" w:hanging="546"/>
        <w:spacing w:after="0"/>
        <w:tabs>
          <w:tab w:leader="none" w:pos="152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For the transition period from ___________ to ______________</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1-16483</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70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rPr>
              <w:t>Virginia</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40" w:type="dxa"/>
            <w:vAlign w:val="bottom"/>
            <w:gridSpan w:val="2"/>
          </w:tcPr>
          <w:p>
            <w:pPr>
              <w:jc w:val="right"/>
              <w:ind w:right="2388"/>
              <w:spacing w:after="0"/>
              <w:rPr>
                <w:sz w:val="20"/>
                <w:szCs w:val="20"/>
                <w:color w:val="auto"/>
              </w:rPr>
            </w:pPr>
            <w:r>
              <w:rPr>
                <w:rFonts w:ascii="Arial" w:cs="Arial" w:eastAsia="Arial" w:hAnsi="Arial"/>
                <w:sz w:val="14"/>
                <w:szCs w:val="14"/>
                <w:b w:val="1"/>
                <w:bCs w:val="1"/>
                <w:color w:val="auto"/>
              </w:rPr>
              <w:t>52-2284372</w:t>
            </w:r>
          </w:p>
        </w:tc>
        <w:tc>
          <w:tcPr>
            <w:tcW w:w="0" w:type="dxa"/>
            <w:vAlign w:val="bottom"/>
          </w:tcPr>
          <w:p>
            <w:pPr>
              <w:spacing w:after="0"/>
              <w:rPr>
                <w:sz w:val="1"/>
                <w:szCs w:val="1"/>
                <w:color w:val="auto"/>
              </w:rPr>
            </w:pPr>
          </w:p>
        </w:tc>
      </w:tr>
      <w:tr>
        <w:trPr>
          <w:trHeight w:val="206"/>
        </w:trPr>
        <w:tc>
          <w:tcPr>
            <w:tcW w:w="4700" w:type="dxa"/>
            <w:vAlign w:val="bottom"/>
            <w:gridSpan w:val="2"/>
          </w:tcPr>
          <w:p>
            <w:pPr>
              <w:jc w:val="center"/>
              <w:ind w:left="948"/>
              <w:spacing w:after="0"/>
              <w:rPr>
                <w:sz w:val="20"/>
                <w:szCs w:val="20"/>
                <w:color w:val="auto"/>
              </w:rPr>
            </w:pPr>
            <w:r>
              <w:rPr>
                <w:rFonts w:ascii="Arial" w:cs="Arial" w:eastAsia="Arial" w:hAnsi="Arial"/>
                <w:sz w:val="14"/>
                <w:szCs w:val="14"/>
                <w:color w:val="auto"/>
              </w:rPr>
              <w:t>(State or other jurisdiction of</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40" w:type="dxa"/>
            <w:vAlign w:val="bottom"/>
            <w:gridSpan w:val="2"/>
          </w:tcPr>
          <w:p>
            <w:pPr>
              <w:jc w:val="center"/>
              <w:ind w:right="2088"/>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700" w:type="dxa"/>
            <w:vAlign w:val="bottom"/>
            <w:gridSpan w:val="2"/>
          </w:tcPr>
          <w:p>
            <w:pPr>
              <w:jc w:val="center"/>
              <w:ind w:left="948"/>
              <w:spacing w:after="0"/>
              <w:rPr>
                <w:sz w:val="20"/>
                <w:szCs w:val="20"/>
                <w:color w:val="auto"/>
              </w:rPr>
            </w:pPr>
            <w:r>
              <w:rPr>
                <w:rFonts w:ascii="Arial" w:cs="Arial" w:eastAsia="Arial" w:hAnsi="Arial"/>
                <w:sz w:val="14"/>
                <w:szCs w:val="14"/>
                <w:color w:val="auto"/>
              </w:rPr>
              <w:t>incorporation or organization)</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40" w:type="dxa"/>
            <w:vAlign w:val="bottom"/>
            <w:gridSpan w:val="2"/>
          </w:tcPr>
          <w:p>
            <w:pPr>
              <w:jc w:val="center"/>
              <w:ind w:right="2068"/>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338"/>
        </w:trPr>
        <w:tc>
          <w:tcPr>
            <w:tcW w:w="470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rPr>
              <w:t>Three Parkway North</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2180"/>
              <w:spacing w:after="0"/>
              <w:rPr>
                <w:sz w:val="20"/>
                <w:szCs w:val="20"/>
                <w:color w:val="auto"/>
              </w:rPr>
            </w:pPr>
            <w:r>
              <w:rPr>
                <w:rFonts w:ascii="Arial" w:cs="Arial" w:eastAsia="Arial" w:hAnsi="Arial"/>
                <w:sz w:val="14"/>
                <w:szCs w:val="14"/>
                <w:b w:val="1"/>
                <w:bCs w:val="1"/>
                <w:color w:val="auto"/>
              </w:rPr>
              <w:t>Deerfield, Illinois</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100" w:type="dxa"/>
            <w:vAlign w:val="bottom"/>
          </w:tcPr>
          <w:p>
            <w:pPr>
              <w:jc w:val="right"/>
              <w:ind w:right="2568"/>
              <w:spacing w:after="0"/>
              <w:rPr>
                <w:sz w:val="20"/>
                <w:szCs w:val="20"/>
                <w:color w:val="auto"/>
              </w:rPr>
            </w:pPr>
            <w:r>
              <w:rPr>
                <w:rFonts w:ascii="Arial" w:cs="Arial" w:eastAsia="Arial" w:hAnsi="Arial"/>
                <w:sz w:val="14"/>
                <w:szCs w:val="14"/>
                <w:b w:val="1"/>
                <w:bCs w:val="1"/>
                <w:color w:val="auto"/>
              </w:rPr>
              <w:t>60015</w:t>
            </w:r>
          </w:p>
        </w:tc>
        <w:tc>
          <w:tcPr>
            <w:tcW w:w="0" w:type="dxa"/>
            <w:vAlign w:val="bottom"/>
          </w:tcPr>
          <w:p>
            <w:pPr>
              <w:spacing w:after="0"/>
              <w:rPr>
                <w:sz w:val="1"/>
                <w:szCs w:val="1"/>
                <w:color w:val="auto"/>
              </w:rPr>
            </w:pPr>
          </w:p>
        </w:tc>
      </w:tr>
      <w:tr>
        <w:trPr>
          <w:trHeight w:val="215"/>
        </w:trPr>
        <w:tc>
          <w:tcPr>
            <w:tcW w:w="4700" w:type="dxa"/>
            <w:vAlign w:val="bottom"/>
            <w:gridSpan w:val="2"/>
          </w:tcPr>
          <w:p>
            <w:pPr>
              <w:jc w:val="center"/>
              <w:ind w:left="968"/>
              <w:spacing w:after="0"/>
              <w:rPr>
                <w:sz w:val="20"/>
                <w:szCs w:val="20"/>
                <w:color w:val="auto"/>
              </w:rPr>
            </w:pPr>
            <w:r>
              <w:rPr>
                <w:rFonts w:ascii="Arial" w:cs="Arial" w:eastAsia="Arial" w:hAnsi="Arial"/>
                <w:sz w:val="14"/>
                <w:szCs w:val="14"/>
                <w:color w:val="auto"/>
              </w:rPr>
              <w:t>(Address of principal executive offices)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40" w:type="dxa"/>
            <w:vAlign w:val="bottom"/>
            <w:gridSpan w:val="2"/>
          </w:tcPr>
          <w:p>
            <w:pPr>
              <w:jc w:val="center"/>
              <w:ind w:right="206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80"/>
        </w:trPr>
        <w:tc>
          <w:tcPr>
            <w:tcW w:w="7880" w:type="dxa"/>
            <w:vAlign w:val="bottom"/>
            <w:gridSpan w:val="5"/>
          </w:tcPr>
          <w:p>
            <w:pPr>
              <w:jc w:val="center"/>
              <w:ind w:left="346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c>
          <w:tcPr>
            <w:tcW w:w="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4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4"/>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Class A Common Stock, no par value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MDLZ</w:t>
            </w:r>
          </w:p>
        </w:tc>
        <w:tc>
          <w:tcPr>
            <w:tcW w:w="1140" w:type="dxa"/>
            <w:vAlign w:val="bottom"/>
          </w:tcPr>
          <w:p>
            <w:pPr>
              <w:spacing w:after="0"/>
              <w:rPr>
                <w:sz w:val="21"/>
                <w:szCs w:val="21"/>
                <w:color w:val="auto"/>
              </w:rPr>
            </w:pPr>
          </w:p>
        </w:tc>
        <w:tc>
          <w:tcPr>
            <w:tcW w:w="3540" w:type="dxa"/>
            <w:vAlign w:val="bottom"/>
            <w:gridSpan w:val="2"/>
          </w:tcPr>
          <w:p>
            <w:pPr>
              <w:jc w:val="center"/>
              <w:ind w:right="106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2.375% Notes due 2021</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MDLZ21</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1.000% Notes due 2022</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MDLZ22</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1.625% Notes due 2023</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MDLZ23</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1.625% Notes due 2027</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MDLZ27</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2.375% Notes due 2035</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MDLZ35</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4.500% Notes due 2035</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MDLZ35A</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rPr>
              <w:t>3.875% Notes due 2045</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MDLZ45</w:t>
            </w:r>
          </w:p>
        </w:tc>
        <w:tc>
          <w:tcPr>
            <w:tcW w:w="1140" w:type="dxa"/>
            <w:vAlign w:val="bottom"/>
          </w:tcPr>
          <w:p>
            <w:pPr>
              <w:spacing w:after="0"/>
              <w:rPr>
                <w:sz w:val="18"/>
                <w:szCs w:val="18"/>
                <w:color w:val="auto"/>
              </w:rPr>
            </w:pPr>
          </w:p>
        </w:tc>
        <w:tc>
          <w:tcPr>
            <w:tcW w:w="3540" w:type="dxa"/>
            <w:vAlign w:val="bottom"/>
            <w:gridSpan w:val="2"/>
            <w:vMerge w:val="restart"/>
          </w:tcPr>
          <w:p>
            <w:pPr>
              <w:jc w:val="center"/>
              <w:ind w:right="106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3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880" w:type="dxa"/>
            <w:vAlign w:val="bottom"/>
            <w:gridSpan w:val="5"/>
          </w:tcPr>
          <w:p>
            <w:pPr>
              <w:jc w:val="center"/>
              <w:ind w:left="3468"/>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rPr>
              <w:t>Yes x</w:t>
            </w:r>
          </w:p>
        </w:tc>
        <w:tc>
          <w:tcPr>
            <w:tcW w:w="3100" w:type="dxa"/>
            <w:vAlign w:val="bottom"/>
            <w:vMerge w:val="restart"/>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8"/>
        </w:trPr>
        <w:tc>
          <w:tcPr>
            <w:tcW w:w="7880" w:type="dxa"/>
            <w:vAlign w:val="bottom"/>
            <w:gridSpan w:val="5"/>
          </w:tcPr>
          <w:p>
            <w:pPr>
              <w:ind w:left="340"/>
              <w:spacing w:after="0" w:line="139"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440" w:type="dxa"/>
            <w:vAlign w:val="bottom"/>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80" w:type="dxa"/>
            <w:vAlign w:val="bottom"/>
            <w:gridSpan w:val="5"/>
          </w:tcPr>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31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tc>
        <w:tc>
          <w:tcPr>
            <w:tcW w:w="0" w:type="dxa"/>
            <w:vAlign w:val="bottom"/>
          </w:tcPr>
          <w:p>
            <w:pPr>
              <w:spacing w:after="0"/>
              <w:rPr>
                <w:sz w:val="1"/>
                <w:szCs w:val="1"/>
                <w:color w:val="auto"/>
              </w:rPr>
            </w:pPr>
          </w:p>
        </w:tc>
      </w:tr>
    </w:tbl>
    <w:p>
      <w:pPr>
        <w:ind w:right="320" w:firstLine="324"/>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 w:lineRule="exact"/>
        <w:rPr>
          <w:sz w:val="24"/>
          <w:szCs w:val="24"/>
          <w:color w:val="auto"/>
        </w:rPr>
      </w:pPr>
    </w:p>
    <w:p>
      <w:pPr>
        <w:ind w:right="160" w:firstLine="324"/>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700" w:val="left"/>
          <w:tab w:leader="none" w:pos="1240" w:val="left"/>
        </w:tabs>
        <w:rPr>
          <w:sz w:val="20"/>
          <w:szCs w:val="20"/>
          <w:color w:val="auto"/>
        </w:rPr>
      </w:pPr>
      <w:r>
        <w:rPr>
          <w:rFonts w:ascii="Arial" w:cs="Arial" w:eastAsia="Arial" w:hAnsi="Arial"/>
          <w:sz w:val="14"/>
          <w:szCs w:val="14"/>
          <w:color w:val="auto"/>
        </w:rPr>
        <w:t>90 days.</w:t>
        <w:tab/>
        <w:t>Yes x</w:t>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36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jc w:val="center"/>
              <w:ind w:right="2528"/>
              <w:spacing w:after="0"/>
              <w:rPr>
                <w:sz w:val="20"/>
                <w:szCs w:val="20"/>
                <w:color w:val="auto"/>
              </w:rPr>
            </w:pPr>
            <w:r>
              <w:rPr>
                <w:rFonts w:ascii="Arial" w:cs="Arial" w:eastAsia="Arial" w:hAnsi="Arial"/>
                <w:sz w:val="14"/>
                <w:szCs w:val="14"/>
                <w:color w:val="auto"/>
              </w:rPr>
              <w:t>x</w:t>
            </w:r>
          </w:p>
        </w:tc>
        <w:tc>
          <w:tcPr>
            <w:tcW w:w="526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jc w:val="center"/>
              <w:ind w:right="2528"/>
              <w:spacing w:after="0" w:line="141" w:lineRule="exact"/>
              <w:rPr>
                <w:sz w:val="20"/>
                <w:szCs w:val="20"/>
                <w:color w:val="auto"/>
              </w:rPr>
            </w:pPr>
            <w:r>
              <w:rPr>
                <w:rFonts w:ascii="MS PGothic" w:cs="MS PGothic" w:eastAsia="MS PGothic" w:hAnsi="MS PGothic"/>
                <w:sz w:val="14"/>
                <w:szCs w:val="14"/>
                <w:color w:val="auto"/>
                <w:w w:val="85"/>
              </w:rPr>
              <w:t>☐</w:t>
            </w:r>
          </w:p>
        </w:tc>
        <w:tc>
          <w:tcPr>
            <w:tcW w:w="526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260" w:type="dxa"/>
            <w:vAlign w:val="bottom"/>
          </w:tcPr>
          <w:p>
            <w:pPr>
              <w:ind w:left="30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 w:lineRule="exact"/>
        <w:rPr>
          <w:sz w:val="24"/>
          <w:szCs w:val="24"/>
          <w:color w:val="auto"/>
        </w:rPr>
      </w:pPr>
    </w:p>
    <w:p>
      <w:pPr>
        <w:ind w:right="160" w:firstLine="324"/>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40"/>
        <w:spacing w:after="0" w:line="161" w:lineRule="exact"/>
        <w:tabs>
          <w:tab w:leader="none" w:pos="698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8" w:lineRule="exact"/>
        <w:rPr>
          <w:sz w:val="24"/>
          <w:szCs w:val="24"/>
          <w:color w:val="auto"/>
        </w:rPr>
      </w:pPr>
    </w:p>
    <w:p>
      <w:pPr>
        <w:ind w:right="440" w:firstLine="324"/>
        <w:spacing w:after="0" w:line="24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2019, was $76.7 billion. At January 31, 2020, there were 1,432,943,006 shares of the registrant’s Class A Common Stock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40" w:firstLine="324"/>
        <w:spacing w:after="0" w:line="258"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13, 2020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15"/>
          </w:tcPr>
          <w:p>
            <w:pPr>
              <w:ind w:left="100"/>
              <w:spacing w:after="0"/>
              <w:rPr>
                <w:sz w:val="20"/>
                <w:szCs w:val="20"/>
                <w:color w:val="auto"/>
              </w:rPr>
            </w:pPr>
            <w:r>
              <w:rPr>
                <w:rFonts w:ascii="Arial" w:cs="Arial" w:eastAsia="Arial" w:hAnsi="Arial"/>
                <w:sz w:val="22"/>
                <w:szCs w:val="22"/>
                <w:b w:val="1"/>
                <w:bCs w:val="1"/>
                <w:color w:val="auto"/>
              </w:rPr>
              <w:t>Mondelēz International,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2"/>
        </w:trPr>
        <w:tc>
          <w:tcPr>
            <w:tcW w:w="520" w:type="dxa"/>
            <w:vAlign w:val="bottom"/>
            <w:tcBorders>
              <w:bottom w:val="single" w:sz="8" w:color="0000EE"/>
            </w:tcBorders>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 –</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4"/>
                <w:szCs w:val="14"/>
                <w:color w:val="auto"/>
              </w:rPr>
              <w:t>Item 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Borders>
              <w:bottom w:val="single" w:sz="8" w:color="0000EE"/>
            </w:tcBorders>
            <w:gridSpan w:val="4"/>
          </w:tcPr>
          <w:p>
            <w:pPr>
              <w:spacing w:after="0"/>
              <w:rPr>
                <w:rFonts w:ascii="Arial" w:cs="Arial" w:eastAsia="Arial" w:hAnsi="Arial"/>
                <w:sz w:val="14"/>
                <w:szCs w:val="14"/>
                <w:color w:val="0000EE"/>
                <w:w w:val="94"/>
              </w:rPr>
            </w:pPr>
            <w:hyperlink w:anchor="page4">
              <w:r>
                <w:rPr>
                  <w:rFonts w:ascii="Arial" w:cs="Arial" w:eastAsia="Arial" w:hAnsi="Arial"/>
                  <w:sz w:val="14"/>
                  <w:szCs w:val="14"/>
                  <w:color w:val="0000EE"/>
                  <w:w w:val="94"/>
                </w:rPr>
                <w:t>Business</w:t>
              </w:r>
            </w:hyperlink>
          </w:p>
        </w:tc>
        <w:tc>
          <w:tcPr>
            <w:tcW w:w="8400" w:type="dxa"/>
            <w:vAlign w:val="bottom"/>
            <w:gridSpan w:val="37"/>
          </w:tcPr>
          <w:p>
            <w:pPr>
              <w:spacing w:after="0"/>
              <w:rPr>
                <w:sz w:val="22"/>
                <w:szCs w:val="22"/>
                <w:color w:val="auto"/>
              </w:rPr>
            </w:pPr>
          </w:p>
        </w:tc>
        <w:tc>
          <w:tcPr>
            <w:tcW w:w="114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2</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bottom w:val="single" w:sz="8" w:color="0000EE"/>
            </w:tcBorders>
            <w:gridSpan w:val="7"/>
          </w:tcPr>
          <w:p>
            <w:pPr>
              <w:spacing w:after="0"/>
              <w:rPr>
                <w:rFonts w:ascii="Arial" w:cs="Arial" w:eastAsia="Arial" w:hAnsi="Arial"/>
                <w:sz w:val="14"/>
                <w:szCs w:val="14"/>
                <w:color w:val="0000EE"/>
                <w:w w:val="97"/>
              </w:rPr>
            </w:pPr>
            <w:hyperlink w:anchor="page13">
              <w:r>
                <w:rPr>
                  <w:rFonts w:ascii="Arial" w:cs="Arial" w:eastAsia="Arial" w:hAnsi="Arial"/>
                  <w:sz w:val="14"/>
                  <w:szCs w:val="14"/>
                  <w:color w:val="0000EE"/>
                  <w:w w:val="97"/>
                </w:rPr>
                <w:t>Risk Factors</w:t>
              </w:r>
            </w:hyperlink>
          </w:p>
        </w:tc>
        <w:tc>
          <w:tcPr>
            <w:tcW w:w="8180" w:type="dxa"/>
            <w:vAlign w:val="bottom"/>
            <w:gridSpan w:val="34"/>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3">
              <w:r>
                <w:rPr>
                  <w:rFonts w:ascii="Arial" w:cs="Arial" w:eastAsia="Arial" w:hAnsi="Arial"/>
                  <w:sz w:val="14"/>
                  <w:szCs w:val="14"/>
                  <w:color w:val="auto"/>
                </w:rPr>
                <w:t>11</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1B.</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Unresolved Staff Comments</w:t>
              </w:r>
            </w:hyperlink>
          </w:p>
        </w:tc>
        <w:tc>
          <w:tcPr>
            <w:tcW w:w="114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Borders>
              <w:top w:val="single" w:sz="8" w:color="0000EE"/>
            </w:tcBorders>
            <w:gridSpan w:val="17"/>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Properties</w:t>
              </w:r>
            </w:hyperlink>
          </w:p>
        </w:tc>
        <w:tc>
          <w:tcPr>
            <w:tcW w:w="7200" w:type="dxa"/>
            <w:vAlign w:val="bottom"/>
            <w:gridSpan w:val="24"/>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22</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Legal Proceedings</w:t>
              </w:r>
            </w:hyperlink>
          </w:p>
        </w:tc>
        <w:tc>
          <w:tcPr>
            <w:tcW w:w="114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22</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Mine Safety Disclosures</w:t>
              </w:r>
            </w:hyperlink>
          </w:p>
        </w:tc>
        <w:tc>
          <w:tcPr>
            <w:tcW w:w="114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22</w:t>
              </w:r>
            </w:hyperlink>
          </w:p>
        </w:tc>
        <w:tc>
          <w:tcPr>
            <w:tcW w:w="0" w:type="dxa"/>
            <w:vAlign w:val="bottom"/>
          </w:tcPr>
          <w:p>
            <w:pPr>
              <w:spacing w:after="0"/>
              <w:rPr>
                <w:sz w:val="1"/>
                <w:szCs w:val="1"/>
                <w:color w:val="auto"/>
              </w:rPr>
            </w:pPr>
          </w:p>
        </w:tc>
      </w:tr>
      <w:tr>
        <w:trPr>
          <w:trHeight w:val="318"/>
        </w:trPr>
        <w:tc>
          <w:tcPr>
            <w:tcW w:w="560" w:type="dxa"/>
            <w:vAlign w:val="bottom"/>
            <w:tcBorders>
              <w:bottom w:val="single" w:sz="8" w:color="0000EE"/>
            </w:tcBorders>
            <w:gridSpan w:val="2"/>
          </w:tcPr>
          <w:p>
            <w:pPr>
              <w:spacing w:after="0"/>
              <w:rPr>
                <w:rFonts w:ascii="Arial" w:cs="Arial" w:eastAsia="Arial" w:hAnsi="Arial"/>
                <w:sz w:val="14"/>
                <w:szCs w:val="14"/>
                <w:b w:val="1"/>
                <w:bCs w:val="1"/>
                <w:color w:val="0000EE"/>
              </w:rPr>
            </w:pPr>
            <w:hyperlink w:anchor="page25">
              <w:r>
                <w:rPr>
                  <w:rFonts w:ascii="Arial" w:cs="Arial" w:eastAsia="Arial" w:hAnsi="Arial"/>
                  <w:sz w:val="14"/>
                  <w:szCs w:val="14"/>
                  <w:b w:val="1"/>
                  <w:bCs w:val="1"/>
                  <w:color w:val="0000EE"/>
                </w:rPr>
                <w:t>Part II –</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4"/>
                <w:szCs w:val="14"/>
                <w:color w:val="auto"/>
              </w:rPr>
              <w:t>Item 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60" w:type="dxa"/>
            <w:vAlign w:val="bottom"/>
            <w:gridSpan w:val="41"/>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Market for Registrant’s Common Equity, Related Stockholder Matters</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23"/>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and Issuer Purchases of Equity Securities</w:t>
              </w:r>
            </w:hyperlink>
          </w:p>
        </w:tc>
        <w:tc>
          <w:tcPr>
            <w:tcW w:w="1600" w:type="dxa"/>
            <w:vAlign w:val="bottom"/>
            <w:tcBorders>
              <w:top w:val="single" w:sz="8" w:color="0000EE"/>
            </w:tcBorders>
            <w:gridSpan w:val="12"/>
          </w:tcPr>
          <w:p>
            <w:pPr>
              <w:spacing w:after="0"/>
              <w:rPr>
                <w:sz w:val="17"/>
                <w:szCs w:val="17"/>
                <w:color w:val="auto"/>
              </w:rPr>
            </w:pPr>
          </w:p>
        </w:tc>
        <w:tc>
          <w:tcPr>
            <w:tcW w:w="4600" w:type="dxa"/>
            <w:vAlign w:val="bottom"/>
            <w:gridSpan w:val="5"/>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23</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EE"/>
            </w:tcBorders>
            <w:gridSpan w:val="11"/>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Selected Financial Data</w:t>
              </w:r>
            </w:hyperlink>
          </w:p>
        </w:tc>
        <w:tc>
          <w:tcPr>
            <w:tcW w:w="7460" w:type="dxa"/>
            <w:vAlign w:val="bottom"/>
            <w:gridSpan w:val="30"/>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25</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Management’s Discussion and Analysis of Financial Condition and Results of Operations:</w:t>
              </w:r>
            </w:hyperlink>
          </w:p>
        </w:tc>
        <w:tc>
          <w:tcPr>
            <w:tcW w:w="114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300" w:type="dxa"/>
            <w:vAlign w:val="bottom"/>
            <w:tcBorders>
              <w:top w:val="single" w:sz="8" w:color="0000EE"/>
              <w:bottom w:val="single" w:sz="8" w:color="0000EE"/>
            </w:tcBorders>
            <w:gridSpan w:val="13"/>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Summary of Results</w:t>
              </w:r>
            </w:hyperlink>
          </w:p>
        </w:tc>
        <w:tc>
          <w:tcPr>
            <w:tcW w:w="4060" w:type="dxa"/>
            <w:vAlign w:val="bottom"/>
            <w:tcBorders>
              <w:top w:val="single" w:sz="8" w:color="0000EE"/>
            </w:tcBorders>
            <w:gridSpan w:val="25"/>
          </w:tcPr>
          <w:p>
            <w:pPr>
              <w:spacing w:after="0"/>
              <w:rPr>
                <w:sz w:val="21"/>
                <w:szCs w:val="21"/>
                <w:color w:val="auto"/>
              </w:rPr>
            </w:pPr>
          </w:p>
        </w:tc>
        <w:tc>
          <w:tcPr>
            <w:tcW w:w="3280" w:type="dxa"/>
            <w:vAlign w:val="bottom"/>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bottom w:val="single" w:sz="8" w:color="0000EE"/>
            </w:tcBorders>
            <w:gridSpan w:val="8"/>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Financial Outlook</w:t>
              </w:r>
            </w:hyperlink>
          </w:p>
        </w:tc>
        <w:tc>
          <w:tcPr>
            <w:tcW w:w="7520" w:type="dxa"/>
            <w:vAlign w:val="bottom"/>
            <w:gridSpan w:val="31"/>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32">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Discussion and Analysis of Historical Results</w:t>
              </w:r>
            </w:hyperlink>
          </w:p>
        </w:tc>
        <w:tc>
          <w:tcPr>
            <w:tcW w:w="1140" w:type="dxa"/>
            <w:vAlign w:val="bottom"/>
          </w:tcPr>
          <w:p>
            <w:pPr>
              <w:jc w:val="right"/>
              <w:spacing w:after="0"/>
              <w:rPr>
                <w:rFonts w:ascii="Arial" w:cs="Arial" w:eastAsia="Arial" w:hAnsi="Arial"/>
                <w:sz w:val="14"/>
                <w:szCs w:val="14"/>
                <w:color w:val="auto"/>
              </w:rPr>
            </w:pPr>
            <w:hyperlink w:anchor="page35">
              <w:r>
                <w:rPr>
                  <w:rFonts w:ascii="Arial" w:cs="Arial" w:eastAsia="Arial" w:hAnsi="Arial"/>
                  <w:sz w:val="14"/>
                  <w:szCs w:val="14"/>
                  <w:color w:val="auto"/>
                </w:rPr>
                <w:t>33</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top w:val="single" w:sz="8" w:color="0000EE"/>
            </w:tcBorders>
            <w:gridSpan w:val="27"/>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Critical Accounting Estimates</w:t>
              </w:r>
            </w:hyperlink>
          </w:p>
        </w:tc>
        <w:tc>
          <w:tcPr>
            <w:tcW w:w="5780" w:type="dxa"/>
            <w:vAlign w:val="bottom"/>
            <w:gridSpan w:val="12"/>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49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Liquidity and Capital Resources</w:t>
              </w:r>
            </w:hyperlink>
          </w:p>
        </w:tc>
        <w:tc>
          <w:tcPr>
            <w:tcW w:w="1140" w:type="dxa"/>
            <w:vAlign w:val="bottom"/>
          </w:tcPr>
          <w:p>
            <w:pPr>
              <w:jc w:val="right"/>
              <w:spacing w:after="0"/>
              <w:rPr>
                <w:rFonts w:ascii="Arial" w:cs="Arial" w:eastAsia="Arial" w:hAnsi="Arial"/>
                <w:sz w:val="14"/>
                <w:szCs w:val="14"/>
                <w:color w:val="auto"/>
              </w:rPr>
            </w:pPr>
            <w:hyperlink w:anchor="page54">
              <w:r>
                <w:rPr>
                  <w:rFonts w:ascii="Arial" w:cs="Arial" w:eastAsia="Arial" w:hAnsi="Arial"/>
                  <w:sz w:val="14"/>
                  <w:szCs w:val="14"/>
                  <w:color w:val="auto"/>
                </w:rPr>
                <w:t>52</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top w:val="single" w:sz="8" w:color="0000EE"/>
              <w:bottom w:val="single" w:sz="8" w:color="0000EE"/>
            </w:tcBorders>
            <w:gridSpan w:val="11"/>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Commodity Trends</w:t>
              </w:r>
            </w:hyperlink>
          </w:p>
        </w:tc>
        <w:tc>
          <w:tcPr>
            <w:tcW w:w="800" w:type="dxa"/>
            <w:vAlign w:val="bottom"/>
            <w:tcBorders>
              <w:top w:val="single" w:sz="8" w:color="0000EE"/>
            </w:tcBorders>
            <w:gridSpan w:val="7"/>
          </w:tcPr>
          <w:p>
            <w:pPr>
              <w:spacing w:after="0"/>
              <w:rPr>
                <w:sz w:val="21"/>
                <w:szCs w:val="21"/>
                <w:color w:val="auto"/>
              </w:rPr>
            </w:pPr>
          </w:p>
        </w:tc>
        <w:tc>
          <w:tcPr>
            <w:tcW w:w="6620" w:type="dxa"/>
            <w:vAlign w:val="bottom"/>
            <w:gridSpan w:val="21"/>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5">
              <w:r>
                <w:rPr>
                  <w:rFonts w:ascii="Arial" w:cs="Arial" w:eastAsia="Arial" w:hAnsi="Arial"/>
                  <w:sz w:val="14"/>
                  <w:szCs w:val="14"/>
                  <w:color w:val="auto"/>
                </w:rPr>
                <w:t>53</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40" w:type="dxa"/>
            <w:vAlign w:val="bottom"/>
            <w:tcBorders>
              <w:bottom w:val="single" w:sz="8" w:color="0000EE"/>
            </w:tcBorders>
            <w:gridSpan w:val="37"/>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Off-Balance Sheet Arrangements and Aggregate Contractual Obligations</w:t>
              </w:r>
            </w:hyperlink>
          </w:p>
        </w:tc>
        <w:tc>
          <w:tcPr>
            <w:tcW w:w="4000" w:type="dxa"/>
            <w:vAlign w:val="bottom"/>
            <w:gridSpan w:val="2"/>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5">
              <w:r>
                <w:rPr>
                  <w:rFonts w:ascii="Arial" w:cs="Arial" w:eastAsia="Arial" w:hAnsi="Arial"/>
                  <w:sz w:val="14"/>
                  <w:szCs w:val="14"/>
                  <w:color w:val="auto"/>
                </w:rPr>
                <w:t>53</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14"/>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Equity and Dividends</w:t>
              </w:r>
            </w:hyperlink>
          </w:p>
        </w:tc>
        <w:tc>
          <w:tcPr>
            <w:tcW w:w="7280" w:type="dxa"/>
            <w:vAlign w:val="bottom"/>
            <w:gridSpan w:val="25"/>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55</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Non-GAAP Financial Measures</w:t>
              </w:r>
            </w:hyperlink>
          </w:p>
        </w:tc>
        <w:tc>
          <w:tcPr>
            <w:tcW w:w="114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7A.</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Quantitative and Qualitative Disclosures about Market Risk</w:t>
              </w:r>
            </w:hyperlink>
          </w:p>
        </w:tc>
        <w:tc>
          <w:tcPr>
            <w:tcW w:w="1140" w:type="dxa"/>
            <w:vAlign w:val="bottom"/>
          </w:tcPr>
          <w:p>
            <w:pPr>
              <w:jc w:val="right"/>
              <w:spacing w:after="0"/>
              <w:rPr>
                <w:rFonts w:ascii="Arial" w:cs="Arial" w:eastAsia="Arial" w:hAnsi="Arial"/>
                <w:sz w:val="14"/>
                <w:szCs w:val="14"/>
                <w:color w:val="auto"/>
              </w:rPr>
            </w:pPr>
            <w:hyperlink w:anchor="page65">
              <w:r>
                <w:rPr>
                  <w:rFonts w:ascii="Arial" w:cs="Arial" w:eastAsia="Arial" w:hAnsi="Arial"/>
                  <w:sz w:val="14"/>
                  <w:szCs w:val="14"/>
                  <w:color w:val="auto"/>
                </w:rPr>
                <w:t>63</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20" w:type="dxa"/>
            <w:vAlign w:val="bottom"/>
            <w:tcBorders>
              <w:top w:val="single" w:sz="8" w:color="0000EE"/>
            </w:tcBorders>
            <w:gridSpan w:val="31"/>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Financial Statements and Supplementary Data:</w:t>
              </w:r>
            </w:hyperlink>
          </w:p>
        </w:tc>
        <w:tc>
          <w:tcPr>
            <w:tcW w:w="5240" w:type="dxa"/>
            <w:vAlign w:val="bottom"/>
            <w:gridSpan w:val="10"/>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67">
              <w:r>
                <w:rPr>
                  <w:rFonts w:ascii="Arial" w:cs="Arial" w:eastAsia="Arial" w:hAnsi="Arial"/>
                  <w:sz w:val="14"/>
                  <w:szCs w:val="14"/>
                  <w:color w:val="auto"/>
                </w:rPr>
                <w:t>65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Report of Independent Registered Public Accounting Firm</w:t>
              </w:r>
            </w:hyperlink>
          </w:p>
        </w:tc>
        <w:tc>
          <w:tcPr>
            <w:tcW w:w="1140" w:type="dxa"/>
            <w:vAlign w:val="bottom"/>
          </w:tcPr>
          <w:p>
            <w:pPr>
              <w:jc w:val="right"/>
              <w:spacing w:after="0"/>
              <w:rPr>
                <w:rFonts w:ascii="Arial" w:cs="Arial" w:eastAsia="Arial" w:hAnsi="Arial"/>
                <w:sz w:val="14"/>
                <w:szCs w:val="14"/>
                <w:color w:val="auto"/>
              </w:rPr>
            </w:pPr>
            <w:hyperlink w:anchor="page67">
              <w:r>
                <w:rPr>
                  <w:rFonts w:ascii="Arial" w:cs="Arial" w:eastAsia="Arial" w:hAnsi="Arial"/>
                  <w:sz w:val="14"/>
                  <w:szCs w:val="14"/>
                  <w:color w:val="auto"/>
                </w:rPr>
                <w:t>65</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21"/>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Consolidated Statements of Earnings</w:t>
              </w:r>
            </w:hyperlink>
          </w:p>
        </w:tc>
        <w:tc>
          <w:tcPr>
            <w:tcW w:w="1300" w:type="dxa"/>
            <w:vAlign w:val="bottom"/>
            <w:tcBorders>
              <w:top w:val="single" w:sz="8" w:color="0000EE"/>
            </w:tcBorders>
            <w:gridSpan w:val="10"/>
          </w:tcPr>
          <w:p>
            <w:pPr>
              <w:spacing w:after="0"/>
              <w:rPr>
                <w:sz w:val="21"/>
                <w:szCs w:val="21"/>
                <w:color w:val="auto"/>
              </w:rPr>
            </w:pPr>
          </w:p>
        </w:tc>
        <w:tc>
          <w:tcPr>
            <w:tcW w:w="4960" w:type="dxa"/>
            <w:vAlign w:val="bottom"/>
            <w:gridSpan w:val="8"/>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for the Years Ended December 31, 2019, 2018 and 2017</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68</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Consolidated Statements of Comprehensive Earnings</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for the Years Ended December 31, 2019, 2018 and 2017</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71">
              <w:r>
                <w:rPr>
                  <w:rFonts w:ascii="Arial" w:cs="Arial" w:eastAsia="Arial" w:hAnsi="Arial"/>
                  <w:sz w:val="14"/>
                  <w:szCs w:val="14"/>
                  <w:color w:val="auto"/>
                </w:rPr>
                <w:t>69</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Consolidated Balance Sheets as of December 31, 2019 and 2018</w:t>
              </w:r>
            </w:hyperlink>
          </w:p>
        </w:tc>
        <w:tc>
          <w:tcPr>
            <w:tcW w:w="1140" w:type="dxa"/>
            <w:vAlign w:val="bottom"/>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70</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top w:val="single" w:sz="8" w:color="0000EE"/>
              <w:bottom w:val="single" w:sz="8" w:color="0000EE"/>
            </w:tcBorders>
            <w:gridSpan w:val="20"/>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Consolidated Statements of Equity</w:t>
              </w:r>
            </w:hyperlink>
          </w:p>
        </w:tc>
        <w:tc>
          <w:tcPr>
            <w:tcW w:w="1960" w:type="dxa"/>
            <w:vAlign w:val="bottom"/>
            <w:tcBorders>
              <w:top w:val="single" w:sz="8" w:color="0000EE"/>
            </w:tcBorders>
            <w:gridSpan w:val="15"/>
          </w:tcPr>
          <w:p>
            <w:pPr>
              <w:spacing w:after="0"/>
              <w:rPr>
                <w:sz w:val="21"/>
                <w:szCs w:val="21"/>
                <w:color w:val="auto"/>
              </w:rPr>
            </w:pPr>
          </w:p>
        </w:tc>
        <w:tc>
          <w:tcPr>
            <w:tcW w:w="4460" w:type="dxa"/>
            <w:vAlign w:val="bottom"/>
            <w:gridSpan w:val="4"/>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for the Years Ended December 31, 2019, 2018 and 2017</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71</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Consolidated Statements of Cash Flows</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for the Years Ended December 31, 2019, 2018 and 2017</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74">
              <w:r>
                <w:rPr>
                  <w:rFonts w:ascii="Arial" w:cs="Arial" w:eastAsia="Arial" w:hAnsi="Arial"/>
                  <w:sz w:val="14"/>
                  <w:szCs w:val="14"/>
                  <w:color w:val="auto"/>
                </w:rPr>
                <w:t>72</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Notes to Consolidated Financial Statements</w:t>
              </w:r>
            </w:hyperlink>
          </w:p>
        </w:tc>
        <w:tc>
          <w:tcPr>
            <w:tcW w:w="1140" w:type="dxa"/>
            <w:vAlign w:val="bottom"/>
          </w:tcPr>
          <w:p>
            <w:pPr>
              <w:jc w:val="right"/>
              <w:spacing w:after="0"/>
              <w:rPr>
                <w:rFonts w:ascii="Arial" w:cs="Arial" w:eastAsia="Arial" w:hAnsi="Arial"/>
                <w:sz w:val="14"/>
                <w:szCs w:val="14"/>
                <w:color w:val="auto"/>
              </w:rPr>
            </w:pPr>
            <w:hyperlink w:anchor="page75">
              <w:r>
                <w:rPr>
                  <w:rFonts w:ascii="Arial" w:cs="Arial" w:eastAsia="Arial" w:hAnsi="Arial"/>
                  <w:sz w:val="14"/>
                  <w:szCs w:val="14"/>
                  <w:color w:val="auto"/>
                </w:rPr>
                <w:t>73</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80" w:type="dxa"/>
            <w:vAlign w:val="bottom"/>
            <w:tcBorders>
              <w:bottom w:val="single" w:sz="8" w:color="0000EE"/>
            </w:tcBorders>
            <w:gridSpan w:val="40"/>
          </w:tcPr>
          <w:p>
            <w:pPr>
              <w:spacing w:after="0"/>
              <w:rPr>
                <w:rFonts w:ascii="Arial" w:cs="Arial" w:eastAsia="Arial" w:hAnsi="Arial"/>
                <w:sz w:val="14"/>
                <w:szCs w:val="14"/>
                <w:color w:val="0000EE"/>
              </w:rPr>
            </w:pPr>
            <w:hyperlink w:anchor="page126">
              <w:r>
                <w:rPr>
                  <w:rFonts w:ascii="Arial" w:cs="Arial" w:eastAsia="Arial" w:hAnsi="Arial"/>
                  <w:sz w:val="14"/>
                  <w:szCs w:val="14"/>
                  <w:color w:val="0000EE"/>
                </w:rPr>
                <w:t>Changes in and Disagreements with Accountants on Accounting and Financial Disclosure</w:t>
              </w:r>
            </w:hyperlink>
          </w:p>
        </w:tc>
        <w:tc>
          <w:tcPr>
            <w:tcW w:w="3280" w:type="dxa"/>
            <w:vAlign w:val="bottom"/>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6">
              <w:r>
                <w:rPr>
                  <w:rFonts w:ascii="Arial" w:cs="Arial" w:eastAsia="Arial" w:hAnsi="Arial"/>
                  <w:sz w:val="14"/>
                  <w:szCs w:val="14"/>
                  <w:color w:val="auto"/>
                </w:rPr>
                <w:t>124</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9A.</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126">
              <w:r>
                <w:rPr>
                  <w:rFonts w:ascii="Arial" w:cs="Arial" w:eastAsia="Arial" w:hAnsi="Arial"/>
                  <w:sz w:val="14"/>
                  <w:szCs w:val="14"/>
                  <w:color w:val="0000EE"/>
                </w:rPr>
                <w:t>Controls and Procedures</w:t>
              </w:r>
            </w:hyperlink>
          </w:p>
        </w:tc>
        <w:tc>
          <w:tcPr>
            <w:tcW w:w="1140" w:type="dxa"/>
            <w:vAlign w:val="bottom"/>
          </w:tcPr>
          <w:p>
            <w:pPr>
              <w:jc w:val="right"/>
              <w:spacing w:after="0"/>
              <w:rPr>
                <w:rFonts w:ascii="Arial" w:cs="Arial" w:eastAsia="Arial" w:hAnsi="Arial"/>
                <w:sz w:val="14"/>
                <w:szCs w:val="14"/>
                <w:color w:val="auto"/>
              </w:rPr>
            </w:pPr>
            <w:hyperlink w:anchor="page126">
              <w:r>
                <w:rPr>
                  <w:rFonts w:ascii="Arial" w:cs="Arial" w:eastAsia="Arial" w:hAnsi="Arial"/>
                  <w:sz w:val="14"/>
                  <w:szCs w:val="14"/>
                  <w:color w:val="auto"/>
                </w:rPr>
                <w:t>124</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9B.</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tcBorders>
              <w:top w:val="single" w:sz="8" w:color="0000EE"/>
            </w:tcBorders>
            <w:gridSpan w:val="14"/>
          </w:tcPr>
          <w:p>
            <w:pPr>
              <w:spacing w:after="0"/>
              <w:rPr>
                <w:rFonts w:ascii="Arial" w:cs="Arial" w:eastAsia="Arial" w:hAnsi="Arial"/>
                <w:sz w:val="14"/>
                <w:szCs w:val="14"/>
                <w:color w:val="0000EE"/>
              </w:rPr>
            </w:pPr>
            <w:hyperlink w:anchor="page127">
              <w:r>
                <w:rPr>
                  <w:rFonts w:ascii="Arial" w:cs="Arial" w:eastAsia="Arial" w:hAnsi="Arial"/>
                  <w:sz w:val="14"/>
                  <w:szCs w:val="14"/>
                  <w:color w:val="0000EE"/>
                </w:rPr>
                <w:t>Other Information</w:t>
              </w:r>
            </w:hyperlink>
          </w:p>
        </w:tc>
        <w:tc>
          <w:tcPr>
            <w:tcW w:w="7400" w:type="dxa"/>
            <w:vAlign w:val="bottom"/>
            <w:gridSpan w:val="2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7">
              <w:r>
                <w:rPr>
                  <w:rFonts w:ascii="Arial" w:cs="Arial" w:eastAsia="Arial" w:hAnsi="Arial"/>
                  <w:sz w:val="14"/>
                  <w:szCs w:val="14"/>
                  <w:color w:val="auto"/>
                </w:rPr>
                <w:t>125</w:t>
              </w:r>
            </w:hyperlink>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rFonts w:ascii="Arial" w:cs="Arial" w:eastAsia="Arial" w:hAnsi="Arial"/>
                <w:sz w:val="14"/>
                <w:szCs w:val="14"/>
                <w:b w:val="1"/>
                <w:bCs w:val="1"/>
                <w:color w:val="0000EE"/>
              </w:rPr>
            </w:pPr>
            <w:hyperlink w:anchor="page128">
              <w:r>
                <w:rPr>
                  <w:rFonts w:ascii="Arial" w:cs="Arial" w:eastAsia="Arial" w:hAnsi="Arial"/>
                  <w:sz w:val="14"/>
                  <w:szCs w:val="14"/>
                  <w:b w:val="1"/>
                  <w:bCs w:val="1"/>
                  <w:color w:val="0000EE"/>
                </w:rPr>
                <w:t>Part III –</w:t>
              </w:r>
            </w:hyperlink>
          </w:p>
        </w:tc>
        <w:tc>
          <w:tcPr>
            <w:tcW w:w="1160" w:type="dxa"/>
            <w:vAlign w:val="bottom"/>
            <w:tcBorders>
              <w:top w:val="single" w:sz="8" w:color="0000EE"/>
            </w:tcBorders>
            <w:gridSpan w:val="8"/>
          </w:tcPr>
          <w:p>
            <w:pPr>
              <w:spacing w:after="0"/>
              <w:rPr>
                <w:sz w:val="24"/>
                <w:szCs w:val="24"/>
                <w:color w:val="auto"/>
              </w:rPr>
            </w:pPr>
          </w:p>
        </w:tc>
        <w:tc>
          <w:tcPr>
            <w:tcW w:w="7800" w:type="dxa"/>
            <w:vAlign w:val="bottom"/>
            <w:gridSpan w:val="3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Item 10.</w:t>
            </w:r>
          </w:p>
        </w:tc>
        <w:tc>
          <w:tcPr>
            <w:tcW w:w="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60" w:type="dxa"/>
            <w:vAlign w:val="bottom"/>
            <w:gridSpan w:val="41"/>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Directors, Executive Officers and Corporate Governance</w:t>
              </w:r>
            </w:hyperlink>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60" w:type="dxa"/>
            <w:vAlign w:val="bottom"/>
            <w:tcBorders>
              <w:top w:val="single" w:sz="8" w:color="0000EE"/>
            </w:tcBorders>
            <w:gridSpan w:val="30"/>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Executive Compensation</w:t>
              </w:r>
            </w:hyperlink>
          </w:p>
        </w:tc>
        <w:tc>
          <w:tcPr>
            <w:tcW w:w="5400" w:type="dxa"/>
            <w:vAlign w:val="bottom"/>
            <w:gridSpan w:val="11"/>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sz w:val="20"/>
                <w:szCs w:val="20"/>
                <w:color w:val="auto"/>
              </w:rPr>
            </w:pPr>
            <w:r>
              <w:rPr>
                <w:rFonts w:ascii="Arial" w:cs="Arial" w:eastAsia="Arial" w:hAnsi="Arial"/>
                <w:sz w:val="14"/>
                <w:szCs w:val="14"/>
                <w:color w:val="auto"/>
              </w:rPr>
              <w:t>Item 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60" w:type="dxa"/>
            <w:vAlign w:val="bottom"/>
            <w:gridSpan w:val="41"/>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Security Ownership of Certain Beneficial Owners and Management</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140" w:type="dxa"/>
            <w:vAlign w:val="bottom"/>
            <w:tcBorders>
              <w:top w:val="single" w:sz="8" w:color="0000EE"/>
            </w:tcBorders>
            <w:gridSpan w:val="34"/>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and Related Stockholder Matters</w:t>
              </w:r>
            </w:hyperlink>
          </w:p>
        </w:tc>
        <w:tc>
          <w:tcPr>
            <w:tcW w:w="4720" w:type="dxa"/>
            <w:vAlign w:val="bottom"/>
            <w:gridSpan w:val="6"/>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Certain Relationships and Related Transactions, and Director Independence</w:t>
              </w:r>
            </w:hyperlink>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20" w:type="dxa"/>
            <w:vAlign w:val="bottom"/>
            <w:tcBorders>
              <w:top w:val="single" w:sz="8" w:color="0000EE"/>
            </w:tcBorders>
            <w:gridSpan w:val="38"/>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Principal Accountant Fees and Services</w:t>
              </w:r>
            </w:hyperlink>
          </w:p>
        </w:tc>
        <w:tc>
          <w:tcPr>
            <w:tcW w:w="4140" w:type="dxa"/>
            <w:vAlign w:val="bottom"/>
            <w:gridSpan w:val="3"/>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318"/>
        </w:trPr>
        <w:tc>
          <w:tcPr>
            <w:tcW w:w="560" w:type="dxa"/>
            <w:vAlign w:val="bottom"/>
            <w:gridSpan w:val="2"/>
          </w:tcPr>
          <w:p>
            <w:pPr>
              <w:spacing w:after="0"/>
              <w:rPr>
                <w:rFonts w:ascii="Arial" w:cs="Arial" w:eastAsia="Arial" w:hAnsi="Arial"/>
                <w:sz w:val="14"/>
                <w:szCs w:val="14"/>
                <w:b w:val="1"/>
                <w:bCs w:val="1"/>
                <w:color w:val="0000EE"/>
              </w:rPr>
            </w:pPr>
            <w:hyperlink w:anchor="page129">
              <w:r>
                <w:rPr>
                  <w:rFonts w:ascii="Arial" w:cs="Arial" w:eastAsia="Arial" w:hAnsi="Arial"/>
                  <w:sz w:val="14"/>
                  <w:szCs w:val="14"/>
                  <w:b w:val="1"/>
                  <w:bCs w:val="1"/>
                  <w:color w:val="0000EE"/>
                </w:rPr>
                <w:t>Part IV</w:t>
              </w:r>
            </w:hyperlink>
          </w:p>
        </w:tc>
        <w:tc>
          <w:tcPr>
            <w:tcW w:w="720" w:type="dxa"/>
            <w:vAlign w:val="bottom"/>
            <w:gridSpan w:val="3"/>
          </w:tcPr>
          <w:p>
            <w:pPr>
              <w:ind w:left="20"/>
              <w:spacing w:after="0"/>
              <w:rPr>
                <w:rFonts w:ascii="Arial" w:cs="Arial" w:eastAsia="Arial" w:hAnsi="Arial"/>
                <w:sz w:val="14"/>
                <w:szCs w:val="14"/>
                <w:b w:val="1"/>
                <w:bCs w:val="1"/>
                <w:color w:val="0000EE"/>
              </w:rPr>
            </w:pPr>
            <w:hyperlink w:anchor="page129">
              <w:r>
                <w:rPr>
                  <w:rFonts w:ascii="Arial" w:cs="Arial" w:eastAsia="Arial" w:hAnsi="Arial"/>
                  <w:sz w:val="14"/>
                  <w:szCs w:val="14"/>
                  <w:b w:val="1"/>
                  <w:bCs w:val="1"/>
                  <w:color w:val="0000EE"/>
                </w:rPr>
                <w:t>–</w:t>
              </w:r>
            </w:hyperlink>
          </w:p>
        </w:tc>
        <w:tc>
          <w:tcPr>
            <w:tcW w:w="2520" w:type="dxa"/>
            <w:vAlign w:val="bottom"/>
            <w:tcBorders>
              <w:top w:val="single" w:sz="8" w:color="0000EE"/>
            </w:tcBorders>
            <w:gridSpan w:val="21"/>
          </w:tcPr>
          <w:p>
            <w:pPr>
              <w:spacing w:after="0"/>
              <w:rPr>
                <w:sz w:val="24"/>
                <w:szCs w:val="24"/>
                <w:color w:val="auto"/>
              </w:rPr>
            </w:pPr>
          </w:p>
        </w:tc>
        <w:tc>
          <w:tcPr>
            <w:tcW w:w="6440" w:type="dxa"/>
            <w:vAlign w:val="bottom"/>
            <w:gridSpan w:val="2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Item 15.</w:t>
            </w: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2780" w:type="dxa"/>
            <w:vAlign w:val="bottom"/>
            <w:tcBorders>
              <w:bottom w:val="single" w:sz="8" w:color="0000EE"/>
            </w:tcBorders>
            <w:gridSpan w:val="25"/>
          </w:tcPr>
          <w:p>
            <w:pPr>
              <w:spacing w:after="0"/>
              <w:rPr>
                <w:rFonts w:ascii="Arial" w:cs="Arial" w:eastAsia="Arial" w:hAnsi="Arial"/>
                <w:sz w:val="14"/>
                <w:szCs w:val="14"/>
                <w:color w:val="0000EE"/>
              </w:rPr>
            </w:pPr>
            <w:hyperlink w:anchor="page129">
              <w:r>
                <w:rPr>
                  <w:rFonts w:ascii="Arial" w:cs="Arial" w:eastAsia="Arial" w:hAnsi="Arial"/>
                  <w:sz w:val="14"/>
                  <w:szCs w:val="14"/>
                  <w:color w:val="0000EE"/>
                </w:rPr>
                <w:t>Exhibits and Financial Statement Schedules</w:t>
              </w:r>
            </w:hyperlink>
          </w:p>
        </w:tc>
        <w:tc>
          <w:tcPr>
            <w:tcW w:w="6180" w:type="dxa"/>
            <w:vAlign w:val="bottom"/>
            <w:gridSpan w:val="16"/>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129">
              <w:r>
                <w:rPr>
                  <w:rFonts w:ascii="Arial" w:cs="Arial" w:eastAsia="Arial" w:hAnsi="Arial"/>
                  <w:sz w:val="14"/>
                  <w:szCs w:val="14"/>
                  <w:color w:val="auto"/>
                </w:rPr>
                <w:t>127</w:t>
              </w:r>
            </w:hyperlink>
          </w:p>
        </w:tc>
        <w:tc>
          <w:tcPr>
            <w:tcW w:w="0" w:type="dxa"/>
            <w:vAlign w:val="bottom"/>
          </w:tcPr>
          <w:p>
            <w:pPr>
              <w:spacing w:after="0"/>
              <w:rPr>
                <w:sz w:val="1"/>
                <w:szCs w:val="1"/>
                <w:color w:val="auto"/>
              </w:rPr>
            </w:pPr>
          </w:p>
        </w:tc>
      </w:tr>
      <w:tr>
        <w:trPr>
          <w:trHeight w:val="318"/>
        </w:trPr>
        <w:tc>
          <w:tcPr>
            <w:tcW w:w="560" w:type="dxa"/>
            <w:vAlign w:val="bottom"/>
            <w:gridSpan w:val="2"/>
          </w:tcPr>
          <w:p>
            <w:pPr>
              <w:spacing w:after="0"/>
              <w:rPr>
                <w:sz w:val="20"/>
                <w:szCs w:val="20"/>
                <w:color w:val="auto"/>
              </w:rPr>
            </w:pPr>
            <w:r>
              <w:rPr>
                <w:rFonts w:ascii="Arial" w:cs="Arial" w:eastAsia="Arial" w:hAnsi="Arial"/>
                <w:sz w:val="14"/>
                <w:szCs w:val="14"/>
                <w:color w:val="auto"/>
              </w:rPr>
              <w:t>Item 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60" w:type="dxa"/>
            <w:vAlign w:val="bottom"/>
            <w:gridSpan w:val="41"/>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Form 10-K Summary</w:t>
              </w:r>
            </w:hyperlink>
          </w:p>
        </w:tc>
        <w:tc>
          <w:tcPr>
            <w:tcW w:w="114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318"/>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0000EE"/>
            </w:tcBorders>
            <w:gridSpan w:val="9"/>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Signatures</w:t>
              </w:r>
            </w:hyperlink>
          </w:p>
        </w:tc>
        <w:tc>
          <w:tcPr>
            <w:tcW w:w="7660" w:type="dxa"/>
            <w:vAlign w:val="bottom"/>
            <w:gridSpan w:val="32"/>
          </w:tcPr>
          <w:p>
            <w:pPr>
              <w:spacing w:after="0"/>
              <w:rPr>
                <w:sz w:val="24"/>
                <w:szCs w:val="24"/>
                <w:color w:val="auto"/>
              </w:rPr>
            </w:pPr>
          </w:p>
        </w:tc>
        <w:tc>
          <w:tcPr>
            <w:tcW w:w="1140" w:type="dxa"/>
            <w:vAlign w:val="bottom"/>
            <w:vMerge w:val="restart"/>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6020" w:type="dxa"/>
            <w:vAlign w:val="bottom"/>
          </w:tcPr>
          <w:p>
            <w:pPr>
              <w:spacing w:after="0"/>
              <w:rPr>
                <w:rFonts w:ascii="Arial" w:cs="Arial" w:eastAsia="Arial" w:hAnsi="Arial"/>
                <w:sz w:val="14"/>
                <w:szCs w:val="14"/>
                <w:u w:val="single" w:color="auto"/>
                <w:color w:val="0000EE"/>
              </w:rPr>
            </w:pPr>
            <w:hyperlink w:anchor="page136">
              <w:r>
                <w:rPr>
                  <w:rFonts w:ascii="Arial" w:cs="Arial" w:eastAsia="Arial" w:hAnsi="Arial"/>
                  <w:sz w:val="14"/>
                  <w:szCs w:val="14"/>
                  <w:u w:val="single" w:color="auto"/>
                  <w:color w:val="0000EE"/>
                </w:rPr>
                <w:t>Valuation and Qualifying Accounts</w:t>
              </w:r>
            </w:hyperlink>
          </w:p>
        </w:tc>
        <w:tc>
          <w:tcPr>
            <w:tcW w:w="4080" w:type="dxa"/>
            <w:vAlign w:val="bottom"/>
            <w:vMerge w:val="restart"/>
          </w:tcPr>
          <w:p>
            <w:pPr>
              <w:ind w:left="3840"/>
              <w:spacing w:after="0"/>
              <w:rPr>
                <w:rFonts w:ascii="Arial" w:cs="Arial" w:eastAsia="Arial" w:hAnsi="Arial"/>
                <w:sz w:val="14"/>
                <w:szCs w:val="14"/>
                <w:color w:val="auto"/>
              </w:rPr>
            </w:pPr>
            <w:hyperlink w:anchor="page136">
              <w:r>
                <w:rPr>
                  <w:rFonts w:ascii="Arial" w:cs="Arial" w:eastAsia="Arial" w:hAnsi="Arial"/>
                  <w:sz w:val="14"/>
                  <w:szCs w:val="14"/>
                  <w:color w:val="auto"/>
                </w:rPr>
                <w:t>S-1</w:t>
              </w:r>
            </w:hyperlink>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“plan,” “believe,” “estimate,” “anticipate,” “likely,” “drive,” “seek,” “aim,” “potential,” “project,” “outlook” and similar expressions are intended to identify our forward-looking statements, including but not limited to statements about: our future performance, including our future revenue growth, profitability and earnings; our strategic plan and our plan to accelerate consumer-centric growth, drive operational excellence and create a winning growth culture; our leadership position in snacking; our ability to meet consumer needs and demand and identify innovation and renovation opportunities; the results of driving operational excellence; price volatility and pricing actions; the cost environment and measures to address increased costs; our tax rate, tax positions, transition tax liability and the impact of U.S. and Swiss tax reform on our future results; market share; the United Kingdom’s withdrawal from the European Union and its impact on our results, including the consequences of any trade or other cross-border operating agreements, or failure to reach agreements, following the United Kingdom's withdrawal from the European Union; the costs of, timing of expenditures under and completion of our restructuring program; category growth; our effect on demand and our market position; consumer snacking behaviors; commodity prices and supply; investments; research, development and innovation; political and economic conditions and volatility; consumer confidence; the effect of the imposition of increased or new tariffs, quotas, trade barriers or similar restrictions on our sales or key commodities and potential changes in U.S. trade programs, trade relations, regulations, taxes or fiscal policies; currency exchange rates, controls and restrictions and volatility in foreign currencies; the application of highly inflationary accounting for our Argentinean subsidiaries and the potential for and impacts from currency devaluation in other countries; our e-commerce channel strategies; manufacturing and distribution capacity; changes in laws and regulations, regulatory compliance and related costs; our ownership interest in Keurig Dr Pepper; operating lease liability;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obligations, expenses, contributions and assumptions; employee benefit plan expenses, obligations and assumptions; compensation expense; our sustainability and mindful snacking strategies, goals and initiatives and the impacts of climate change; the Brazilian indirect tax matter; our liability related to our withdrawal from the Bakery and Confectionery Union and Industry International Pension Fund; the impacts of the malware incident; our ability to prevent and respond to cybersecurity breaches and disruptions; our liquidity, funding sources and uses of funding, including our use of commercial paper; the planned phase out of London Interbank Offered Rates; our risk management program, including the use of financial instruments and the impacts and effectiveness of our hedging activities; working capital; capital expenditures and funding; share repurchases; dividends; long-term value for our shareholders; guarantees; and our contractual obligations.</w:t>
      </w:r>
    </w:p>
    <w:p>
      <w:pPr>
        <w:spacing w:after="0" w:line="3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the impact of climate change on our supply chain and operations;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140"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We are one of the world’s largest snack companies with global net revenues of $25.9 billion and net earnings of $3.9 billion in 2019. We make and sell primarily snacks, including biscuits (cookies, crackers and salted snacks), chocolate, gum &amp; candy, as well as various cheese &amp; grocery and powdered beverage products. We have operations in approximately 80 countries and sell our products in over 150 countries around the world. Our portfolio includes iconic snack brands such as </w:t>
      </w:r>
      <w:r>
        <w:rPr>
          <w:rFonts w:ascii="Arial" w:cs="Arial" w:eastAsia="Arial" w:hAnsi="Arial"/>
          <w:sz w:val="18"/>
          <w:szCs w:val="18"/>
          <w:i w:val="1"/>
          <w:iCs w:val="1"/>
          <w:color w:val="auto"/>
        </w:rPr>
        <w:t>Cadbury,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Toblerone</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Oreo, belVita</w:t>
      </w:r>
      <w:r>
        <w:rPr>
          <w:rFonts w:ascii="Arial" w:cs="Arial" w:eastAsia="Arial" w:hAnsi="Arial"/>
          <w:sz w:val="18"/>
          <w:szCs w:val="18"/>
          <w:color w:val="auto"/>
        </w:rPr>
        <w:t xml:space="preserve"> and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Halls </w:t>
      </w:r>
      <w:r>
        <w:rPr>
          <w:rFonts w:ascii="Arial" w:cs="Arial" w:eastAsia="Arial" w:hAnsi="Arial"/>
          <w:sz w:val="18"/>
          <w:szCs w:val="18"/>
          <w:color w:val="auto"/>
        </w:rPr>
        <w:t>candy;</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20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are proud members of the Dow Jones Sustainability Index, Standard and Poor’s 500 and Nasdaq 100. Our Common Stock trades on The Nasdaq Global Select Market under the symbol “MDLZ.” Mondelēz International has been incorporated in the Commonwealth of Virginia since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aim to be the global leader in snacking by focusing on growth, execution and culture. In 2019, we began to operate under a new strategic plan that builds on our strong foundations, including our unique portfolio of iconic global and local brands, our attractive global footprint, our market leadership in developed and emerging markets, our deep innovation, marketing and distribution capabilities, and our margin expansion in recent years that allows us to make ongoing investments in our product portfolio.</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plan to drive long-term growth includes three strategic priorities: accelerating consumer-centric growth, driving operational excellence and creating a winning growth culture.</w:t>
      </w:r>
    </w:p>
    <w:p>
      <w:pPr>
        <w:spacing w:after="0" w:line="178" w:lineRule="exact"/>
        <w:rPr>
          <w:sz w:val="20"/>
          <w:szCs w:val="20"/>
          <w:color w:val="auto"/>
        </w:rPr>
      </w:pPr>
    </w:p>
    <w:p>
      <w:pPr>
        <w:ind w:left="660" w:right="2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As demands on consumers’ time increase and consumer eating habits evolve, we aim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snacking needs by providing the right snack, for the right moment, made the right way. We have developed innovative approaches to identify and address how consumers snack across different emotional and functional needs and occasions that we believe will allow us to meet their needs and identify new innovation and renovation opportunities. We plan to test, learn and scale new product offerings quickly to meet diverse and evolving local and global snacking demand. We believe our understanding of consumers’ behavior will continue to lead to our meeting more of their needs and the growing demand for snacks.</w:t>
      </w:r>
    </w:p>
    <w:p>
      <w:pPr>
        <w:spacing w:after="0" w:line="182"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Our operational excellence and continuous improvement plans include a special focus on the consumer-facing areas of our business and optimizing our sales, marketing and customer service efforts. To drive productivity gains and cost improvements across our business, we also plan to continue leveraging our global shared services platform, driving greater efficiencies in our supply chain and continuing to utilize Zero-Based Budgeting across our operations. We expect the improvements and efficiencies we drive will fuel our growth and continue to expand profit dollars. At the same time, we are continuing our efforts to sustainably source key ingredients, reduce our end-to-end environmental impact and innovate our processes and packaging to reduce waste and promote recycling.</w:t>
      </w:r>
    </w:p>
    <w:p>
      <w:pPr>
        <w:spacing w:after="0" w:line="189"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becoming more agile, digital and local-consumer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We are giving our local teams more autonomy to drive commercial and innovation plans as they are closer to the needs and desires of consumers. We will continue to leverage the efficiency and scale of our regional operating units while empowering our local commercial operations to respond faster to changing consumer preferences and capitalize on growth opportunities. Our digital transformation program will also help to enable consumer demand and sales opportunities. We believe these operating and cultural shifts will help drive profitable top-line growth.</w:t>
      </w:r>
    </w:p>
    <w:p>
      <w:pPr>
        <w:spacing w:after="0" w:line="2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run our business with a long-term perspective, and we believe the successful delivery of our strategic plan will drive top- and bottom-line growth and enable us to create long-term value for our shareholders.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40"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Asia, Middle East and Africa (“AMEA”)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For a definition and reconciliation of segment operating income to consolidated pre-tax earnings as well as other information on our segments,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ectPr>
          <w:pgSz w:w="11900" w:h="16838" w:orient="portrait"/>
          <w:cols w:equalWidth="0" w:num="1">
            <w:col w:w="11420"/>
          </w:cols>
          <w:pgMar w:left="240" w:top="140"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for each of the last three years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revenues: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AMEA</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North America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segment operating income for each of the last three years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6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31"/>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39"/>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3,566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5,739</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9,794</w:t>
            </w:r>
          </w:p>
        </w:tc>
      </w:tr>
      <w:tr>
        <w:trPr>
          <w:trHeight w:val="277"/>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6,797</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25,868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25,896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21" w:lineRule="exact"/>
        <w:rPr>
          <w:sz w:val="20"/>
          <w:szCs w:val="20"/>
          <w:color w:val="auto"/>
        </w:rPr>
      </w:pPr>
    </w:p>
    <w:p>
      <w:pPr>
        <w:sectPr>
          <w:pgSz w:w="11900" w:h="16838" w:orient="portrait"/>
          <w:cols w:equalWidth="0" w:num="2">
            <w:col w:w="6360" w:space="720"/>
            <w:col w:w="43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64"/>
        </w:trPr>
        <w:tc>
          <w:tcPr>
            <w:tcW w:w="26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center"/>
              <w:ind w:right="11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4"/>
                <w:szCs w:val="14"/>
                <w:b w:val="1"/>
                <w:bCs w:val="1"/>
                <w:color w:val="auto"/>
              </w:rPr>
              <w:t>2017</w:t>
            </w:r>
          </w:p>
        </w:tc>
      </w:tr>
      <w:tr>
        <w:trPr>
          <w:trHeight w:val="237"/>
        </w:trPr>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 millions, except percentages)</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3"/>
        </w:trPr>
        <w:tc>
          <w:tcPr>
            <w:tcW w:w="26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14.7%</w:t>
            </w:r>
          </w:p>
        </w:tc>
      </w:tr>
      <w:tr>
        <w:trPr>
          <w:trHeight w:val="277"/>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63"/>
        </w:trPr>
        <w:tc>
          <w:tcPr>
            <w:tcW w:w="2600" w:type="dxa"/>
            <w:vAlign w:val="bottom"/>
          </w:tcPr>
          <w:p>
            <w:pPr>
              <w:ind w:left="18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1,734</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42.0%</w:t>
            </w:r>
          </w:p>
        </w:tc>
      </w:tr>
      <w:tr>
        <w:trPr>
          <w:trHeight w:val="27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50"/>
        </w:trPr>
        <w:tc>
          <w:tcPr>
            <w:tcW w:w="26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3,695</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3,832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for items affecting the comparability of results and a review of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9"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Biscuits (including cookies, crackers and salted snacks)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2019, our segments contributed to our net revenues in the following product categories: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gridSpan w:val="8"/>
          </w:tcPr>
          <w:p>
            <w:pPr>
              <w:ind w:left="1300"/>
              <w:spacing w:after="0"/>
              <w:rPr>
                <w:sz w:val="20"/>
                <w:szCs w:val="20"/>
                <w:color w:val="auto"/>
              </w:rPr>
            </w:pPr>
            <w:r>
              <w:rPr>
                <w:rFonts w:ascii="Arial" w:cs="Arial" w:eastAsia="Arial" w:hAnsi="Arial"/>
                <w:sz w:val="14"/>
                <w:szCs w:val="14"/>
                <w:b w:val="1"/>
                <w:bCs w:val="1"/>
                <w:color w:val="auto"/>
              </w:rPr>
              <w:t>Percentage of 2019 Net Revenues by Product Category</w:t>
            </w:r>
          </w:p>
        </w:tc>
        <w:tc>
          <w:tcPr>
            <w:tcW w:w="1500" w:type="dxa"/>
            <w:vAlign w:val="bottom"/>
            <w:tcBorders>
              <w:bottom w:val="single" w:sz="8" w:color="auto"/>
            </w:tcBorders>
          </w:tcPr>
          <w:p>
            <w:pPr>
              <w:spacing w:after="0"/>
              <w:rPr>
                <w:sz w:val="17"/>
                <w:szCs w:val="17"/>
                <w:color w:val="auto"/>
              </w:rPr>
            </w:pPr>
          </w:p>
        </w:tc>
      </w:tr>
      <w:tr>
        <w:trPr>
          <w:trHeight w:val="175"/>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500"/>
              <w:spacing w:after="0"/>
              <w:rPr>
                <w:sz w:val="20"/>
                <w:szCs w:val="20"/>
                <w:color w:val="auto"/>
              </w:rPr>
            </w:pPr>
            <w:r>
              <w:rPr>
                <w:rFonts w:ascii="Arial" w:cs="Arial" w:eastAsia="Arial" w:hAnsi="Arial"/>
                <w:sz w:val="14"/>
                <w:szCs w:val="14"/>
                <w:b w:val="1"/>
                <w:bCs w:val="1"/>
                <w:color w:val="auto"/>
              </w:rPr>
              <w:t>Gum &amp;</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6"/>
        </w:trPr>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Biscuits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Chocolate</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Candy</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Beverages</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Cheese &amp; Grocery</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6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AMEA</w:t>
            </w:r>
          </w:p>
        </w:tc>
        <w:tc>
          <w:tcPr>
            <w:tcW w:w="15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50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50"/>
        </w:trPr>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Within our product categories, classes of products that contributed 10% or more to consolidated net revenues were:</w:t>
      </w:r>
    </w:p>
    <w:p>
      <w:pPr>
        <w:spacing w:after="0" w:line="199"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26035</wp:posOffset>
            </wp:positionV>
            <wp:extent cx="307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6"/>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Biscuits - Cookies, crackers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Chocolate - Tablets, bars and other</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on divestitures and acquisitions that impacted our results, please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 single customer accounted for 10% or more of our net revenues from continuing operations in 2019. Our five largest customers accounted for 17.0% and our ten largest customers accounted for 23.2% of net revenues from continuing operations in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Demand for our products is generally balanced over the second and third quarters of the year and increases in the first and fourth quarters primarily because of holidays and other seasonal events. Depending on when Easter falls, Easter holiday sales may shift between the first and second quarter. We build inventory based on expected demand and typically fill customer orders within a few days of receipt so the backlog of unfilled orders is not material. Funding for working capital items, including inventory and receivables, is normally sourced from operating cash flows and short-term commercial paper borrowings. For additional information on our liquidity, working capital management, cash flow and financing activities,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appearing later in this 10-K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face competition in all aspects of our business. Competitors include large multinational as well as numerous local and regional companies. Some competitors have different profit objectives and investment time horizons than we do and therefore approach pricing and promotional decisions differently. We compete based on product quality, brand recognition and loyalty, service, product innovation, taste, convenience, nutritional value, the ability to identify and satisfy consumer preferences, effectiveness of digital and other sales and marketing, routes to market and distribution networks, promotional activity and price. Improving our market position or introducing a new product requires substantial research, development, advertising and promotional expenditures. We believe these investments lead to better products for the consumer and support our growth and market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generally sell our products to supermarket chains, wholesalers, supercenters, club stores, mass merchandisers, distributors, convenience stores, gasoline stations, drug stores, value stores and other retail food outlets. We distribute our products through direct store delivery, company-owned and satellite warehouses, distribution centers and other facilities. We use the services of independent sales offices and agents in some of our international locations.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Through our global e-commerce organization and capabilities, we pursue online growth with partners in key markets around the world, including both pure e-tailers and brick-and-mortar retailers. We continue to invest in both talent and digital capabilities. Our e-commerce channel strategies will play a critical role in our ambition to be the best snacking company in the world.</w:t>
      </w: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on-air, print, outdoor, digital and social media and other product promotions; (ii) consumer sales incentives such as coupons and rebates; and (iii) trade promotions to support price features, displays and other merchandising of our products by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external factors such as changing weather patterns and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Due to factors noted above, the costs of our principal raw materials fluctuate. At this time, we believe there will continue to be an adequate supply of the raw materials we use and that they will generally remain available from numerous sources. However, we continue to monitor the long-term impacts of climate change and related factors that could affect the availability or cost of raw materials, packaging and energy. For additional information on our commodity costs, refer to the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section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For information on our ongoing sustainability efforts and programs, refer to</w:t>
      </w:r>
      <w:r>
        <w:rPr>
          <w:rFonts w:ascii="Arial" w:cs="Arial" w:eastAsia="Arial" w:hAnsi="Arial"/>
          <w:sz w:val="18"/>
          <w:szCs w:val="18"/>
          <w:i w:val="1"/>
          <w:iCs w:val="1"/>
          <w:color w:val="auto"/>
        </w:rPr>
        <w:t xml:space="preserve"> Sustainability and Well-Being </w:t>
      </w:r>
      <w:r>
        <w:rPr>
          <w:rFonts w:ascii="Arial" w:cs="Arial" w:eastAsia="Arial" w:hAnsi="Arial"/>
          <w:sz w:val="18"/>
          <w:szCs w:val="18"/>
          <w:color w:val="auto"/>
        </w:rPr>
        <w:t>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technology and know-how) are material to our business.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for renewable,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 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pursue four objectives in research and development: food safety and quality, growth through new products, superior consumer satisfaction and reduced production costs. Our innovation efforts focus on anticipating consumer demands and adapting quickly to changing market trends. Well-being and sustainability are a significant focus of our current research and development initiatives. These initiatives aim to accelerate our growth and margins by addressing consumer needs and market trends and leveraging scalable innovation platforms, sustainability programs and initiatives as well as breakthrough technologies. In 2019, we completed a $65 million plan to build out and modernize our network of global research and development facilities. We modernized our technical center facilities at Suzhou, China; Jurong, Singapore and Thane, India in 2018. In 2019, we also completed the modernization of technical centers in Curitiba, Brazil and Mexico City, Mexico. In addition, we have invested in the Pasuruan Cocoa Technology Centre in Indonesia, which is scheduled to fully open in 2020. We are focusing our technical resources at twelve key locations to drive growth and innovation. Our network of technical centers enable greater effectiveness, improved efficiency and accelerated project delivery. These locations are in Curitiba, Brazil; Suzhou, China; Thane, India; Pasuruan, Indonesia; Mexico City, Mexico; East Hanover, New Jersey; Wroclaw, Poland; Jurong, Singapore; Bournville, United Kingdom; Reading, United Kingdom; Saclay, France and Munich, Germany.</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December 31, 2019, within our global research, development &amp; quality services area, we had approximately 2,400 scientists, engineers and other personnel, of which 1,900 are primarily focused on research and development and the remainder are primarily focused on quality assurance and regulatory affairs. Our research and development expense was $351 million in 2019, $362 million in 2018 and $366 million in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data privacy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 are subject to periodic governmental and administrative review. In addition, increased attention to environmental issues in industry supply chains has led to developing different types of regulation in many countries. The lack of a harmonized approach can lead to uneven scrutiny or enforcement, which can impact our operations.</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Examples of laws and regulations that affect our business include selective food taxes, labeling requirements such as front-of-pack labeling and nutrient profiling, media and marketing restrictions such as restrictions on advertising products with specified nutrition profiles on certain channels or platforms or during certain hours of the day, potential withdrawal of trade concessions as dispute settlement retaliation, sanctions on sales or sourcing of raw materials, and extended producer responsibility fees and packaging taxes. We will continue to monitor developments in laws and regulations. At this time, we do not expect the cost of complying with existing laws and regulations will be material. Also refer to Note 1, </w:t>
      </w:r>
      <w:r>
        <w:rPr>
          <w:rFonts w:ascii="Arial" w:cs="Arial" w:eastAsia="Arial" w:hAnsi="Arial"/>
          <w:sz w:val="18"/>
          <w:szCs w:val="18"/>
          <w:i w:val="1"/>
          <w:iCs w:val="1"/>
          <w:color w:val="auto"/>
        </w:rPr>
        <w:t>Summary of Significant Accounting Policies – Currency Translation and Highly Inflationary Accounting</w:t>
      </w:r>
      <w:r>
        <w:rPr>
          <w:rFonts w:ascii="Arial" w:cs="Arial" w:eastAsia="Arial" w:hAnsi="Arial"/>
          <w:sz w:val="18"/>
          <w:szCs w:val="18"/>
          <w:color w:val="auto"/>
        </w:rPr>
        <w:t>, for additional information on government regulations and currency-related impacts on our operations in the United Kingdom, Argentina and other countries.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track regulatory developments in various jurisdictions relating to the use of plastic in packaging materials and taxes linked to the costs of waste so that we can comply with evolving requirements. We believe that our compliance with existing environmental laws and regulations will not have a material effect on our financial results.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0"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Well-Being</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2025 sustainable snacking strategy provides a clear roadmap, which we believe puts us at the forefront of sustainable ingredient sourcing and continuing to contribute to addressing climate change by reducing emissions. We are focused on making our snacks with less energy, water and waste, with ingredients consumers know and trust. We have specific goals to which we hold ourselves accountable, and we are continuing to make progress in our efforts to deliver meaningful change.</w:t>
      </w:r>
    </w:p>
    <w:p>
      <w:pPr>
        <w:spacing w:after="0" w:line="20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We are proud of the progress we achieved to date and excited about where we are going. By living our purpose to empower people to snack right, we believe we can continue to have a positive impact on the lives of our consumers and the world around us. We have been focused on sustainability for many years and we continue to enhance and evolve our sustainability goals and reporting. We will issue our 2019 Snacking Made Right report, which will include our progress toward our sustainability goals, later this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2025 sustainability and mindful snacking goals include:</w:t>
      </w:r>
    </w:p>
    <w:p>
      <w:pPr>
        <w:ind w:left="660" w:hanging="328"/>
        <w:spacing w:after="0" w:line="22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Minimizing food waste, end-to-end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and priority water usage by 2025</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all packaging recyclable by 2025 to further reduce our environmental footprint</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Scaling our Cocoa Life sustainability program even further so that by 2025, Cocoa Life will produce 100% of the cocoa volume we require for our chocolate brands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portion control products to 20 percent of snacks net revenue by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portion amounts and mindful snacking information on all packages globally by 2025</w:t>
      </w:r>
    </w:p>
    <w:p>
      <w:pPr>
        <w:spacing w:after="0" w:line="22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2025 sustainability goals are designed to make a meaningful impact on how we address climate change and are based on an end-to-end, science-based approach to reducing our carbon footprint, including reducing our absolute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from manufacturing and addressing deforestation in key raw material supply chains. We are also working to cut our absolute water footprint in manufacturing, focusing on priority sites where water is most scarce. We continue to work on reducing waste in manufacturing and packaging.</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ingredient sourcing, we continue to leverage our global operating scale to secure sustainable raw materials and work with suppliers to drive meaningful social and environmental changes, focusing where we can make the greatest impact. For example, we launched our Cocoa Life program in 2012 and are investing up to $ 400 million through 2022 to build a sustainable cocoa supply. We are also improving sustainability in our wheat supply by working with farmers in North America and through our Harmony program in Europe.</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focused on consumer well-being. Our mindful snacking strategy aligns with our purpose to empower people to snack right. Continuing to evolve our portfolio so that we are offering a broad range of high-quality snacks to meet consumers' expanding needs is central to our strategy of accelerating our growth. At the same time, we are working to empower and encourage consumers to snack mindfully with portion control offerings and labeling. Expanding our portion control options – snacks that are 200 calories or less and are individually wrapped – enables people to enjoy the treats they love, become more mindful about what they eat and manage their daily calorie intake.</w:t>
      </w:r>
    </w:p>
    <w:p>
      <w:pPr>
        <w:spacing w:after="0" w:line="20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Governance, Membership and Public Affairs Committee of our Board of Directors is responsible for overseeing our sustainable snacking and mindful snacking strategies. Our goals are part of our strategic planning process, and therefore, progress and key activities are regularly reported to the Board of Directors and the business leadership teams. Climate change,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energy, well-being and other sustainability matters are key focus areas in our strategy.</w:t>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robust Enterprise Risk Management ("ERM") process for identifying, measuring, monitoring and managing risks, with oversight by the Risk and Compliance Committee ("MRCC"), which reports annually to the Audit Committee of our Board of Directors. The purpose of the MRCC is to oversee how we identify and assess the most significant inherent risks to our business so we may adequately mitigate them or monitor them across the Company. All identified risks are vetted by the MRCC and remain under the MRCC’s governance. Ownership of specific risks is assigned at the Mondelēz Leadership Team ("MLT") level (MLT members report directly to the CEO). As owners of each specific risk, MLT members are responsible for verifying that appropriate mitigation controls and monitoring systems are in place. The risk universe considered during this process is wide and varied. Climate change is included in this risk universe as well as other sustainability and well-being issues.</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140"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ERM methodology is governed by the MRCC and includes annual reviews with our four operating regions, considering Company-level risks by using information gathered at the asset level (regions, countries, individual facilities and separate business units). The following key risk drivers for climate change, sustainability and well-being risks are captured in the ERM framework: a sustainability mindset within the organization and suppliers, governance and monitoring of the sustainability agenda, monitoring climate change impact, assessing reputation and brand image, the well-being portfolio and marketing strategy, changes in regulations and changes in consumer preferences.</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we work with internal and external experts to review the impact of major societal issues on our business and to shape our strategic responses to them. Materials and processes that guide our assessment include our ERM process; analysis of stakeholder and regulatory issues; our total greenhouse gas, land and water footprint; proprietary consumer insight data; and publicly available data on societal issues, including statistics and reports from authorities, non-governmental organizations and peer companies.</w:t>
      </w:r>
    </w:p>
    <w:p>
      <w:pPr>
        <w:spacing w:after="0" w:line="2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been recognized for our ongoing economic, environmental and social contributions. Each year since we created Mondelēz International in 2012 we have been listed on the Dow Jones Sustainability Index (“DJSI”) – World and North American Indices. The DJSI selects the top 10% of global companies and top 20% of North American companies based on an extensive review of financial and sustainability programs within each industry. We are at the 95th percentile of our industry and achieved perfect scores in the areas of health &amp; nutrition and addressing water-related risks.</w:t>
      </w:r>
    </w:p>
    <w:p>
      <w:pPr>
        <w:spacing w:after="0" w:line="20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also participate in CDP Climate and Water disclosures and continue to work to reduce our carbon and water footprints. We are committed to continue this and other related work in the areas of sustainable resources and agriculture, well-being snacks, community partnerships and safety of our products and people.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our consolidated subsidiaries worldwide, we employed approximately 80,000 people at December 31, 2019 and December 31, 2018. Employees represented by labor unions or workers’ councils represent approximately 63% of our 68,000 employees outside the United States and approximately 27% of our 12,000 U.S. employees. Our business units are subject to various local, national and multinational laws and regulations relating to their relationships with their employees. In accordance with European Union requirements, we also have established a European Workers Council composed of management and elected members of our workforce. We or our subsidiaries are a party to numerous collective bargaining agreements and we work to renegotiate these collective bargaining agreements on satisfactory terms when they expire.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Based on where we sell our products, we generated 74.4% of our 2019 net revenues, 75.3% of our 2018 net revenues and 75.8% of our 2017 net revenues from continuing operations outside the United States. We sell our products to consumers in over 150 countries. At December 31, 2019, we had operations in approximately 80 countries and made our products at approximately 126 manufacturing and processing facilities in 44 countries.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U.S. and non-U.S. operations.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for more information on our manufacturing and other facilities. Also, for a discussion of risks related to our operations outside the 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7,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Pr>
          <w:p>
            <w:pPr>
              <w:spacing w:after="0"/>
              <w:rPr>
                <w:sz w:val="21"/>
                <w:szCs w:val="21"/>
                <w:color w:val="auto"/>
              </w:rPr>
            </w:pPr>
          </w:p>
        </w:tc>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Dirk Van de Put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Luca Zaramella</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Paulette Alviti</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Chief People Officer</w:t>
            </w:r>
          </w:p>
        </w:tc>
      </w:tr>
      <w:tr>
        <w:trPr>
          <w:trHeight w:val="25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Maurizio Brusadelli</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84"/>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Vinzenz P. Gruber</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Europe</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Robin S. Hargrove</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Research, Development and Quality</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Sandra MacQuillan</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Chief Supply Chain Officer</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Gerhard W. Pleuhs</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Corporate &amp; Legal Affairs and General Counsel</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Gustavo C. Valle</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Latin America</w:t>
            </w:r>
          </w:p>
        </w:tc>
      </w:tr>
      <w:tr>
        <w:trPr>
          <w:trHeight w:val="25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Henry Glendon (Glen) Walter IV</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 2018.</w:t>
      </w:r>
      <w:r>
        <w:rPr>
          <w:rFonts w:ascii="Arial" w:cs="Arial" w:eastAsia="Arial" w:hAnsi="Arial"/>
          <w:sz w:val="18"/>
          <w:szCs w:val="18"/>
          <w:i w:val="1"/>
          <w:iCs w:val="1"/>
          <w:color w:val="auto"/>
        </w:rPr>
        <w:t xml:space="preserve"> </w:t>
      </w:r>
      <w:r>
        <w:rPr>
          <w:rFonts w:ascii="Arial" w:cs="Arial" w:eastAsia="Arial" w:hAnsi="Arial"/>
          <w:sz w:val="18"/>
          <w:szCs w:val="18"/>
          <w:color w:val="auto"/>
        </w:rPr>
        <w:t>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Mr. Zaramella </w:t>
      </w:r>
      <w:r>
        <w:rPr>
          <w:rFonts w:ascii="Arial" w:cs="Arial" w:eastAsia="Arial" w:hAnsi="Arial"/>
          <w:sz w:val="18"/>
          <w:szCs w:val="18"/>
          <w:color w:val="auto"/>
        </w:rPr>
        <w:t>became Executive Vice President and Chief Financial Officer in August 2018. He previously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18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 xml:space="preserve">Ms. Alviti </w:t>
      </w:r>
      <w:r>
        <w:rPr>
          <w:rFonts w:ascii="Arial" w:cs="Arial" w:eastAsia="Arial" w:hAnsi="Arial"/>
          <w:sz w:val="18"/>
          <w:szCs w:val="18"/>
          <w:color w:val="auto"/>
        </w:rPr>
        <w:t>became Executive Vice President and Chief Human Resources Officer (now Executive Vice President and Chief People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2018. Before joining Mondelēz International, Ms. Alviti served as Senior Vice President and Chief Human Resources Officer of Foot Locker, Inc., a leading global retailer of athletically inspired shoes and apparel, from June 2013 to May 2018. Prior to that, Ms. Alviti spent 17 years at PepsiCo, Inc., a global snack and beverage company, in various leadership roles, including Senior Vice President and Chief Human Resources Officer Asia, Middle East, Africa from March 2010 to May 2013.</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 Asia</w:t>
      </w:r>
      <w:r>
        <w:rPr>
          <w:rFonts w:ascii="Arial" w:cs="Arial" w:eastAsia="Arial" w:hAnsi="Arial"/>
          <w:sz w:val="18"/>
          <w:szCs w:val="18"/>
          <w:i w:val="1"/>
          <w:iCs w:val="1"/>
          <w:color w:val="auto"/>
        </w:rPr>
        <w:t xml:space="preserve"> </w:t>
      </w:r>
      <w:r>
        <w:rPr>
          <w:rFonts w:ascii="Arial" w:cs="Arial" w:eastAsia="Arial" w:hAnsi="Arial"/>
          <w:sz w:val="18"/>
          <w:szCs w:val="18"/>
          <w:color w:val="auto"/>
        </w:rPr>
        <w:t>Pacific, Middle East and Africa in October 2016. He previously served as President Biscuits Business, South East Asia, Japan and Sales Asia Pacific from September 2015 to December 2015, President Markets and Sales Asia Pacific from September 2014 to September 2015 and President United Kingdom, Ireland and Nordics from September 2012 to August 2014. Prior to that, Mr. Brusadelli held various positions of increasing responsibility. Mr. Brusadelli joined Mondelēz International in 1993.</w:t>
      </w:r>
    </w:p>
    <w:p>
      <w:pPr>
        <w:spacing w:after="0" w:line="18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 xml:space="preserve">Mr. Gruber </w:t>
      </w:r>
      <w:r>
        <w:rPr>
          <w:rFonts w:ascii="Arial" w:cs="Arial" w:eastAsia="Arial" w:hAnsi="Arial"/>
          <w:sz w:val="18"/>
          <w:szCs w:val="18"/>
          <w:color w:val="auto"/>
        </w:rPr>
        <w:t>became Executive Vice President and President, Europe on January 1, 2019. He previously served as President, Western Europe</w:t>
      </w:r>
      <w:r>
        <w:rPr>
          <w:rFonts w:ascii="Arial" w:cs="Arial" w:eastAsia="Arial" w:hAnsi="Arial"/>
          <w:sz w:val="18"/>
          <w:szCs w:val="18"/>
          <w:i w:val="1"/>
          <w:iCs w:val="1"/>
          <w:color w:val="auto"/>
        </w:rPr>
        <w:t xml:space="preserve"> </w:t>
      </w:r>
      <w:r>
        <w:rPr>
          <w:rFonts w:ascii="Arial" w:cs="Arial" w:eastAsia="Arial" w:hAnsi="Arial"/>
          <w:sz w:val="18"/>
          <w:szCs w:val="18"/>
          <w:color w:val="auto"/>
        </w:rPr>
        <w:t>from October 2016 to December 2018 and President, Chocolate, Europe from August 2011 to September 2016. Mr. Gruber was formerly employed by Mondelēz International, in various capacities, from 1989 until 2000 and resumed his employment in September 2007.</w:t>
      </w:r>
    </w:p>
    <w:p>
      <w:pPr>
        <w:spacing w:after="0" w:line="9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Mr. Hargrove </w:t>
      </w:r>
      <w:r>
        <w:rPr>
          <w:rFonts w:ascii="Arial" w:cs="Arial" w:eastAsia="Arial" w:hAnsi="Arial"/>
          <w:sz w:val="18"/>
          <w:szCs w:val="18"/>
          <w:color w:val="auto"/>
        </w:rPr>
        <w:t>became Executive Vice President, Research, Development, Quality and Innovation in April 2015 and as of January 2019 serves</w:t>
      </w:r>
      <w:r>
        <w:rPr>
          <w:rFonts w:ascii="Arial" w:cs="Arial" w:eastAsia="Arial" w:hAnsi="Arial"/>
          <w:sz w:val="18"/>
          <w:szCs w:val="18"/>
          <w:i w:val="1"/>
          <w:iCs w:val="1"/>
          <w:color w:val="auto"/>
        </w:rPr>
        <w:t xml:space="preserve"> </w:t>
      </w:r>
      <w:r>
        <w:rPr>
          <w:rFonts w:ascii="Arial" w:cs="Arial" w:eastAsia="Arial" w:hAnsi="Arial"/>
          <w:sz w:val="18"/>
          <w:szCs w:val="18"/>
          <w:color w:val="auto"/>
        </w:rPr>
        <w:t>as Executive Vice President, Research, Development and Quality. Prior to that, he served as Senior Vice President, Research, Development &amp; Quality for Mondelēz Europe from January 2013 to March 2015. Before joining Mondelēz International, Mr. Hargrove worked at PepsiCo, Inc., a global snack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beverage company, for 19 years in a variety of leadership positions, most recently as Senior Vice President, Research and Development, Europe from December 2006 to December 2012.</w:t>
      </w:r>
    </w:p>
    <w:p>
      <w:pPr>
        <w:spacing w:after="0" w:line="17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Ms. MacQuillan </w:t>
      </w:r>
      <w:r>
        <w:rPr>
          <w:rFonts w:ascii="Arial" w:cs="Arial" w:eastAsia="Arial" w:hAnsi="Arial"/>
          <w:sz w:val="18"/>
          <w:szCs w:val="18"/>
          <w:color w:val="auto"/>
        </w:rPr>
        <w:t>became Executive Vice President, Integrated Supply Chain (now Executive Vice President and Chief Supply Chain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2019. Before joining Mondelēz International, Ms. MacQuillan served as Chief Supply Chain Officer and Senior Vice President, Supply Chain, at Kimberly-Clark Corporation, a global manufacturer of personal care consumer products, from April 2015 to June 2019. Prior to that, Ms. MacQuillan spent more than 20 years at Mars, Incorporated, a global manufacturer of confectionery, pet food and other food products, in various leadership roles, including Global Vice President, Supply for Mars Global Petcare.</w:t>
      </w:r>
    </w:p>
    <w:p>
      <w:pPr>
        <w:spacing w:after="0" w:line="184"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i w:val="1"/>
          <w:iCs w:val="1"/>
          <w:color w:val="auto"/>
        </w:rPr>
        <w:t xml:space="preserve">Mr. Pleuhs </w:t>
      </w:r>
      <w:r>
        <w:rPr>
          <w:rFonts w:ascii="Arial" w:cs="Arial" w:eastAsia="Arial" w:hAnsi="Arial"/>
          <w:sz w:val="18"/>
          <w:szCs w:val="18"/>
          <w:color w:val="auto"/>
        </w:rPr>
        <w:t>became Executive Vice President and General Counsel in April 2012 and as of May 2019 serves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&amp; Legal Affairs and General Counsel. In this role, Mr. Pleuhs oversees the legal, compliance, security, corporate and governance affairs functions within Mondelēz International. He has served in various positions of increasing responsibility since joining Mondelēz International in 1990. Mr. Pleuhs has a law degree from the University of Kiel, Germany and is licensed to practice law in Germany and admitted as house counsel in Illinois.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Mr. Valle </w:t>
      </w:r>
      <w:r>
        <w:rPr>
          <w:rFonts w:ascii="Arial" w:cs="Arial" w:eastAsia="Arial" w:hAnsi="Arial"/>
          <w:sz w:val="18"/>
          <w:szCs w:val="18"/>
          <w:color w:val="auto"/>
        </w:rPr>
        <w:t>became Executive Vice President and President, Latin America in February 2020. Before joining Mondelēz International, Mr. Valle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Executive Officer of Axia Plus, LLC, a management consulting firm, from February 2018 to January 2020. Prior to that he spent more than 20 years at Groupe Danone SA, a multinational provider of packaged water, dairy and baby food products, in a variety of leadership positions, most recently as Executive Vice President, Dairy Division Worldwide, from January 2015 to January 2018, and Vice President Dairy Division Europe, from January 2014 until December 2014.</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Mr. Walter </w:t>
      </w:r>
      <w:r>
        <w:rPr>
          <w:rFonts w:ascii="Arial" w:cs="Arial" w:eastAsia="Arial" w:hAnsi="Arial"/>
          <w:sz w:val="18"/>
          <w:szCs w:val="18"/>
          <w:color w:val="auto"/>
        </w:rPr>
        <w:t>became Executive Vice President and President, North America in November 2017. Before joining Mondelēz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Mr. Walter worked at The Coca-Cola Company, a global beverage company, in a variety of leadership positions, most recently as Chief Executive Officer of Coca-Cola Industries China from February 2014 to October 2017 and President and Chief Operating Officer of Cola-Cola Refreshments in North America from January 2013 to February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We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Three Parkway North, Deerfield, IL 60015.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In addition, we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requesting a copy by writing to: Corporate Secretary, Mondelēz International, Inc., Three Parkway North, Deerfield, IL 60015.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0"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1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We operate in a highly competitive industry and we face risks related to the execution of our strategy and our timely response to pricing and other competitive pressures.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food and snacking industry is highly competitive. Our principal competitors include food, snack and beverage companies that operate in multiple geographic areas and numerous local and regional companies. Failure to effectively respond to challenges from our competitors could adversely affect our business.</w:t>
      </w:r>
    </w:p>
    <w:p>
      <w:pPr>
        <w:spacing w:after="0" w:line="14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Competitor and customer pressures require that we timely and effectively respond to new distribution channels and technological developments and may require that we reduce our prices. These pressures also affect our ability to increase prices in response to commodity and other cost increases. Failure to effectively and timely assess new or developing trends, technological advancements or changes in distribution methods and set proper pricing or effective trade incentives will negatively impact our operating results, achievement of our strategic and financial goals and our ability to capitalize on new revenue or value-producing opportunities. The rapid evolution of new distribution channels, in particular in e-commerce, may disrupt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protect or increase revenues, market share and brand significance. These expenditures may not be successful, including those related to our e-commerce and other technology-focused efforts, and might not result in trade and consumer acceptance of our efforts, which could materially and adversely affect our product sales, financial condition and results of operations. These new distribution channels as well as growing opportunities to utilize external manufacturers allow smaller competitors to more effectively gain market share. Additionally, if we reduce prices but cannot increase sales volumes, or our labor or other costs increase but we cannot increase prices to offset those changes, our financial condition and results of operations will suffer.</w:t>
      </w:r>
    </w:p>
    <w:p>
      <w:pPr>
        <w:spacing w:after="0" w:line="238"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During 2019, we operated under our new strategy, which focuses on accelerating consumer-centric and volume-driven growth, operational excellence driven by cost discipline and continuous operational improvement including in areas like sales execution, and building a winning growth culture with a “local first” commercial approach. Failure to achieve these objectives or effectively operate under our strategy in a way that minimizes disruptions to our business could materially and adversely affect our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Promoting and protecting our reputation and brand image and health is essential to our business success.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success depends on our ability to maintain and enhance our brands, expand to new geographies and new distribution platforms, including e-commerce, and evolve our portfolio with new product offerings that meet consumer expectations.</w:t>
      </w:r>
    </w:p>
    <w:p>
      <w:pPr>
        <w:spacing w:after="0" w:line="1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seek to strengthen our brands through investments in our product quality, product renovation, innovation and marketing investments, including consumer-relevant advertising, digital transformation and consumer promotions. Failure to effectively address the continuing global focus on consumer-centric well-being, including changing consumer acceptance of certain ingredients, nutritional expectations of our products, and the sustainability of our ingredients, our supply chain and our packaging could adversely affect our brands. Increased attention from the media, governments, shareholders and other stakeholders in these areas as well as on the role of food marketing could adversely affect our brand image. Undue caution or inaction on our part in addressing these challenges and trends could weaken our competitive position. Such pressures could also lead to stricter regulations, industry self-regulation that is unevenly adopted among companies, and increased focus on food and snacking marketing practices. Increased legal or regulatory restrictions on our labeling, advertising and consumer promotions, or our response to those restrictions, could limit our efforts to maintain, extend and expand our brands. Moreover, adverse publicity, regulatory developments or legal action against us, our employees or our licensees related to product quality and safety, where and how we manufacture our products, environmental risks, human and workplace rights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40"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across our supply chain,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influencers or group affiliations, could also subject us to negative publicity.</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limit how and to whom we market our products. These restrictions may limit our brand renovation, innovation, marketing and promotion plans, particularly as social media and the communications environment continue to evolve. Negative posts or comments about Mondelēz International, our brands or our employees on social media or web sites (whether factual or not) or security breaches related to use of our social media accounts and failure to respond effectively to these posts, comments or activities could damage our reputation and brand image across the various regions in which we operate. Our brands may be associated with or appear alongside harmful content before these platforms or our own social media monitoring can detect this risk to our brand health.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Failure to successfully maintain and enhance our reputation and brand health could materially and adversely affect our company and product brands as well as our product sales, financial condition and results of operations.</w:t>
      </w:r>
    </w:p>
    <w:p>
      <w:pPr>
        <w:spacing w:after="0" w:line="134"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color w:val="auto"/>
        </w:rPr>
        <w:t>We must correctly predict, identify and interpret changes in consumer preferences and demand and offer new and improved products that meet those changes.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and interpret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e-commerce for consumers. Our success relies upon managing this complexity to promote and bring our products to consumers effectively. Moreover, weak economic conditions, recession, equity market volatility or other factors, such as severe or unusual weather events, can affect consumer preferences and demand. Failure to offer products that appeal to consumers or to correctly judge consumer demand for our products will impact our ability to meet our growth targets, and our sales and market share could decrease and our profitability could suffer.</w:t>
      </w:r>
    </w:p>
    <w:p>
      <w:pPr>
        <w:spacing w:after="0" w:line="1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When we do not accurately predict which shifts in consumer preferences or category trends will be long-term or fail to introduce new and improved products to satisfy changing preferences, our sales can be adversely affected. In addition, because of our varied and geographically diverse consumer base, we must be responsive to local consumer needs, including with respect to when and how consumers snack and their desire for premium or value offerings, provide an array of products that satisfy the broad spectrum of consumer preferences and use data-driven marketing and advertising to reach consumers at the right time with the right message. Failure to expand our product offerings successfully across product categories, rapidly develop products in faster growing and more profitable categories or reach consumers in efficient and effective ways leveraging data and analytics could cause demand for our products to decrease and our profitability to suffer.</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Prolonged negative perceptions concerning the health, environmental and social implications of certain food products, ingredients, packaging materials, sourcing or production methods could influence consumer preferences and acceptance of some of our products and marketing programs. For example, consumers have increasingly focused on well-being, including reducing sodium and added sugar consumption, as well as the source and authenticity of the foods they consume. Continuing to expand our well-being offerings and refining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to respond to these regional preferences. We might be unsuccessful in our efforts to effectively respond to changing consumer preferences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social expectations. Continued negative perceptions and failure to satisfy consumer preferences could materially and adversely affect our reputation, brands, product sales,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19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are a global company and generated 74.4% of our 2019 net revenues, 75.3% of our 2018 net revenues and 75.8% of our 2017 net revenues outside the United States. We manufacture and market our products in over 150 countries and have operations in approximately 80 countries. Therefore, we are subject to risks inherent in global operations. Those risks include:</w:t>
      </w:r>
    </w:p>
    <w:p>
      <w:pPr>
        <w:spacing w:after="0" w:line="1" w:lineRule="exact"/>
        <w:rPr>
          <w:sz w:val="20"/>
          <w:szCs w:val="20"/>
          <w:color w:val="auto"/>
        </w:rPr>
      </w:pPr>
    </w:p>
    <w:p>
      <w:pPr>
        <w:ind w:left="640" w:right="34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ind w:left="640" w:right="44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quotas, trade barriers, price floors or similar restrictions on our sales or key commodities like cocoa, potential changes in U.S. trade programs and trade relations with other countries, or regulations, taxes or policies that might negatively affect our sales or profitability;</w:t>
      </w:r>
    </w:p>
    <w:p>
      <w:pPr>
        <w:spacing w:after="0" w:line="1" w:lineRule="exact"/>
        <w:rPr>
          <w:rFonts w:ascii="Arial" w:cs="Arial" w:eastAsia="Arial" w:hAnsi="Arial"/>
          <w:sz w:val="18"/>
          <w:szCs w:val="18"/>
          <w:color w:val="auto"/>
        </w:rPr>
      </w:pPr>
    </w:p>
    <w:p>
      <w:pPr>
        <w:ind w:left="640" w:right="42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human rights laws and a variety of other local, national and multinational regulations and laws in multiple regimes;</w:t>
      </w:r>
    </w:p>
    <w:p>
      <w:pPr>
        <w:ind w:left="640" w:right="20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developing markets such as Argentina, Brazil, China, Mexico, Russia, Ukraine, Turkey, Egypt, Nigeria, South Africa and Pakistan as well as in developed markets such as the United Kingdom and other countries within the European Union. This includes events like applying highly inflationary accounting as we did for our Argentinean subsidiaries beginning in July 2018;</w:t>
      </w:r>
    </w:p>
    <w:p>
      <w:pPr>
        <w:spacing w:after="0" w:line="1" w:lineRule="exact"/>
        <w:rPr>
          <w:rFonts w:ascii="Arial" w:cs="Arial" w:eastAsia="Arial" w:hAnsi="Arial"/>
          <w:sz w:val="18"/>
          <w:szCs w:val="18"/>
          <w:color w:val="auto"/>
        </w:rPr>
      </w:pPr>
    </w:p>
    <w:p>
      <w:pPr>
        <w:ind w:left="640" w:right="18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or other limits on our ability to import raw materials or finished product into various countries or repatriate cash from outside the United States;</w:t>
      </w:r>
    </w:p>
    <w:p>
      <w:pPr>
        <w:ind w:left="640" w:right="40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sovereign risk, such as default by or deterioration in the economies and credit ratings of governments, particularly in our Latin America and AMEA regions;</w:t>
      </w:r>
    </w:p>
    <w:p>
      <w:pPr>
        <w:ind w:left="640" w:right="44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local regulations and laws, the uncertainty of enforcement of remedies in non-U.S. jurisdictions, and foreign ownership restrictions and the potential for nationalization or expropriation of property or other resources;</w:t>
      </w: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addition, political and economic changes or volatility, geopolitical regional conflicts, terrorist activity, political unrest, civil strife, acts of war, government shutdowns, travel or immigration restrictions, public health risks or pandemics, public corruption, expropriation and other economic or political uncertainties, including inaccuracies in our assumptions about these factors,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Continued instability in the banking and governmental sectors of certain countries or the dynamics and uncertainties associated with the United Kingdom’s planned exit from the European Union (“Brexit”) could have a negative effect on our business. (See below and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 Financial Outlook </w:t>
      </w:r>
      <w:r>
        <w:rPr>
          <w:rFonts w:ascii="Arial" w:cs="Arial" w:eastAsia="Arial" w:hAnsi="Arial"/>
          <w:sz w:val="18"/>
          <w:szCs w:val="18"/>
          <w:color w:val="auto"/>
        </w:rPr>
        <w:t>for more information on Brexit.)</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All of these factors could result in increased costs or decreased revenues and could materially and adversely affect our product sales, financial condition, results of operations, and our relationships with customers, suppliers and employees in the short or long term.</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We face risks related to tax matters, including changes in tax laws and rates, disagreements with taxing authorities and imposition of new taxes.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2017, the United States enacted tax reform legislation (“U.S. tax reform”). The legislation implements many new U.S. domestic and international tax provisions. While additional guidance has been issued by the Internal Revenue Service (“IRS”) and the U.S. Treasury Department during 2018 and 2019, there are still some areas that need to be clarified. Also, a number of U.S. states have not updated their laws to take into account the new federal legislation. As a result, there may be further impact of the new laws on our future results of operations and financial condition. Changes in U.S. tax law, including further interpretations of the 2017 U.S. tax reform, could have a material adverse effect on us.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0"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tax legislation enacted by foreign jurisdictions could significantly affect our ongoing operations. For example, during the third quarter of 2019, Swiss Federal and Zurich Cantonal events took place that resulted in enacted tax law changes under U.S. GAAP (“Swiss tax reform”). The new legislation is intended to replace certain preferential tax regimes with a new set of internationally accepted measures. We will continue to monitor Swiss tax reform for any additional interpretative guidance that could result in changes to the amounts we have recorded. Further, foreign tax authorities could impose rate changes along with additional corporate tax provisions that would disallow or tax perceived base erosion or profit shifting payments or subject us to new types of taxes such as digital taxes. Aspects of U.S. tax reform may lead foreign jurisdictions to respond by enacting additional tax legislation that is unfavorable to us.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Adverse changes in the underlying profitability or financial outlook of our operations in several jurisdictions could lead to changes in the realizability of our deferred tax assets and result in a charge to our income tax provision. Additionally, changes in tax laws in the U.S. or in other countries where we have significant operations could materially affect deferred tax assets and liabilities and our income tax provision.</w:t>
      </w:r>
    </w:p>
    <w:p>
      <w:pPr>
        <w:spacing w:after="0" w:line="17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income tax provision and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Russia, Argentina, the Middle East, Africa, Southeast Asia and Ukraine.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and results of operations.</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 manage associated political, economic and regulatory risks could adversely affect our product sales, financial condition and results of operations.</w:t>
      </w:r>
    </w:p>
    <w:p>
      <w:pPr>
        <w:spacing w:after="0" w:line="15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breaches and other business disruptions.</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use information technology and third-party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amount of services important to conducting our business, including a number of accounting, internal control, human resources and computing functions.</w:t>
      </w:r>
    </w:p>
    <w:p>
      <w:pPr>
        <w:spacing w:after="0" w:line="1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Continuity of business applications and services has been, and may in the future be, disrupted by events such as infection by viruses or malware, including the June 2017 malware incident that affected a significant portion of our global sales, distribution and financial networks (the “malware incident”) (see </w:t>
      </w:r>
      <w:r>
        <w:rPr>
          <w:rFonts w:ascii="Arial" w:cs="Arial" w:eastAsia="Arial" w:hAnsi="Arial"/>
          <w:sz w:val="18"/>
          <w:szCs w:val="18"/>
          <w:i w:val="1"/>
          <w:iCs w:val="1"/>
          <w:color w:val="auto"/>
        </w:rPr>
        <w:t>Management’s Discussion and Analysis of Financial Condition and Results of Operations – Recent Developments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Items Affecting Comparability – Malware Incident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 Financial Outlook – Cybersecurity Risks</w:t>
      </w:r>
      <w:r>
        <w:rPr>
          <w:rFonts w:ascii="Arial" w:cs="Arial" w:eastAsia="Arial" w:hAnsi="Arial"/>
          <w:sz w:val="18"/>
          <w:szCs w:val="18"/>
          <w:color w:val="auto"/>
        </w:rPr>
        <w:t>); other cybersecurity attacks;</w:t>
      </w:r>
      <w:r>
        <w:rPr>
          <w:rFonts w:ascii="Arial" w:cs="Arial" w:eastAsia="Arial" w:hAnsi="Arial"/>
          <w:sz w:val="18"/>
          <w:szCs w:val="18"/>
          <w:i w:val="1"/>
          <w:iCs w:val="1"/>
          <w:color w:val="auto"/>
        </w:rPr>
        <w:t xml:space="preserve"> </w:t>
      </w:r>
      <w:r>
        <w:rPr>
          <w:rFonts w:ascii="Arial" w:cs="Arial" w:eastAsia="Arial" w:hAnsi="Arial"/>
          <w:sz w:val="18"/>
          <w:szCs w:val="18"/>
          <w:color w:val="auto"/>
        </w:rPr>
        <w:t>issues with or errors in systems’ maintenance or security; power outages; hardware or software failures; denial of service attacks; telecommunication failures; natural disasters; terrorist attacks; and other catastrophic occurrences. Our use of new and emerging technologies such as cloud-based services and mobile applications continues to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evolve, presenting new and additional risks in managing access to our data, relying on third-parties to manage and safeguard data, ensuring access to our systems and availability of third-party systems.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Cybersecurity breaches of our or third-party systems, whether from circumvention of security systems, denial-of-service attacks or other cyberattacks such as hacking, phishing attacks, computer viruses, ransomware or malware, employee or insider error, malfeasance, social engineering, physical breaches or other actions may cause confidential information belonging to us or our employees, customers, consumers, partners, suppliers, or governmental or regulatory authorities to be misused or breached. When risks such as these materialize, the need for us to coordinate with various third-party service providers and for third-party service providers to coordinate amongst themselves might increase challenges and costs to resolve related issues. Additionally, new initiatives, such as those related to e-commerce and direct sales, that increase the amount of confidential information that we process and maintain increase our potential exposure from a cybersecurity breach. If our controls, disaster recovery and business continuity plans or those of our third-party providers do not effectively respond to or resolve the issues related to any such disruptions in a timely manner, our product sales, financial condition and results of operations may be materially and adversely affected, and we might experience delays in reporting our financial results, loss of intellectual property and damage to our reputation or brands.</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continue to devote focused resources to network security, backup and disaster recovery, enhanced training and other security measures to protect our systems and data, such as advanced email protection to reduce the likelihood of credential thefts and electronic fraud attempts. We also focus on enhancing the monitoring and detection of threats in our environment, including but not limited to the manufacturing environment and operational technologies, as well as adjusting information security controls based on the updated threat. However, security measures cannot provide absolute security or guarantee that we will be successful in preventing or responding to every breach or disruption on a timely basis. Due to the constantly evolving and complex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regularly transfer data across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jurisdiction to jurisdiction and may create inconsistent or conflicting requirements. The European Union’s General Data Protection Regulation (“GDPR”), which has greatly increased the jurisdictional reach of European Union law and became effective in May 2018, adds a broad array of requirements for handling personal data including the public disclosure of significant data breaches, and imposes substantial penalties for non -compliance of up to 4% of global annual revenue for the preceding financial year. The California Consumer Privacy Act (“CCPA”), which became effective on January 1, 2020, imposes new responsibilities on us for the handling, disclosure and deletion of personal information for consumers who reside in California. The CCPA permits California to assess potentially significant fines for violating CCPA and creates a right for individuals to bring class action suits seeking damages for violations. Our efforts to comply with GDPR, CCPA and other privacy and data protection laws may impose significant costs and challenges that are likely to increase over time, and we could incur substantial penalties or be subject to litigation related to violation of existing or future data privacy laws and regulations.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unanticipated business disruptions.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manufacture and source products and materials on a global scale. We utilize an integrated supply chain - a complex network of suppliers and material needs, owned and leased manufacturing locations, co-manufacturing locations, distribution networks, shared service delivery centers and information systems that support our ability to provide our products to our customers consistently. Factors that are hard to predict or beyond our control, like weather (including any potential effects of climate change), natural disasters, water availability, supply and commodity shortages, terrorism, political unrest, cybersecurity breaches, generalized labor unrest, government shutdowns or health pandemics could damage or disrupt our operations or those of our suppliers, their suppliers, or our co-manufacturers or distributors. Failure to effectively plan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as we experienced in connection with the malware incident (see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 Recent Developments and Significant Items Affecting Comparability – Malware Incident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 Financial Outlook – Cybersecurity Risks</w:t>
      </w:r>
      <w:r>
        <w:rPr>
          <w:rFonts w:ascii="Arial" w:cs="Arial" w:eastAsia="Arial" w:hAnsi="Arial"/>
          <w:sz w:val="18"/>
          <w:szCs w:val="18"/>
          <w:color w:val="auto"/>
        </w:rPr>
        <w:t>), and the quality and safety of our products might be</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negatively affected. The occurrence of 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material or extended disruption may cause us to lose our customers’ or business partners’ confidence or suffer damage to our reputation, and long-term consumer demand for our products could decline. In addition, we are subject to risk related to our own execution. This includes risk of disruption caused by operational error including fire, explosion or accidental contamination as well as our inability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December 31, 2019, we sold our products in over 150 countries and had operations in approximately 80 countries. Consequently, a significant portion of our business is exposed to currency exchange rate fluctuations. Our financial results and capital ratios are sensitive to movements in currency exchange rates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political uncertainty, inflation and limited hedging opportunities.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and results of operations, and our relationships with customers, suppliers and employees in the short or long-term.</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product packaging materials, natural gas, fuel and electricity for our factories and warehouses, and we also incur expenses in connection with the transportation and delivery of our products. Costs of raw materials, other supplies and services and energy are volatile and fluctuate due to conditions that are difficult to predict. These conditions include global competition for resources, currency fluctuations, geopolitical conditions or conflicts, tariffs or other trade barriers, government intervention to introduce living income premiums or similar requirements such as those announced in 2019 in two cocoa-growing countries, severe weather, the potential longer-term consequences of climate change on agricultural productivity, crop disease or pests, water risk, health pandemics, forest fires, consumer or industrial demand, and changes in governmental trade policy and regulations, alternative energy and agricultural programs. Increased government intervention and consumer or activist responses caused by increased focus on climate change, 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 Although we monitor our exposure to commodity prices and hedge against input price increases, we cannot fully hedge against changes in commodity costs, and our hedging strategies may not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higher input, packaging and transportation costs, may result in lower sales volumes, while decreases in input costs could require us to lower our prices and thereby affect our revenues, profits or margins. Likewise, constraints in the supply or availability of key commodities, including necessary services such as transportation, may limit our ability to grow our net revenues and earnings. If our mitigation activities are not effective, if we are unable to price to cover increased costs or must reduce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prices, or if we are limited by supply or distribution constraints, our financial condition and results of operations can be materially adversely affected.</w:t>
      </w:r>
    </w:p>
    <w:p>
      <w:pPr>
        <w:spacing w:after="0" w:line="12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We face risks related to complying with changes in and inconsistencies among laws and regulations in many countries in which we operate.</w:t>
      </w:r>
    </w:p>
    <w:p>
      <w:pPr>
        <w:spacing w:after="0" w:line="12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activities around the world are highly regulated and subject to government oversight. Various laws and regulations govern food production, packaging and waste management, storage, distribution, sales, advertising, labeling and marketing, as well as intellectual property, competition, antitrust, trade, labor, tax and environmental matters, privacy, data protection, and health and safety practices. Government authorities regularly change laws and regulations as well as their interpretations of existing laws and regulations. Our failure to comply with existing laws and regulations, or to make changes necessary to comply with new or revised laws and regulations or evolving interpretations and application of existing laws and regulations, could materially and adversely affect our product sales, financial condition and results of operations. For instance, our financial condition and results of operations could be negatively affected by the regulatory and economic impact of changes in taxation and trade relations among the United States and other countries, including a new United States-Mexico-Canada Agreement when ratified, developments in U.S. trade relations with China or changes with or in the European Union such as Brexit.</w:t>
      </w:r>
    </w:p>
    <w:p>
      <w:pPr>
        <w:spacing w:after="0" w:line="2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continue to monitor Brexit and its potential impacts on our results of operations and financial condition. In 2019, we generated 8.6% of our net revenues in the United Kingdom, and our supply chain in this market relies on imports of raw and packaging materials as well as finished goods. Volatility in foreign currencies and other markets is expected to continue as the United Kingdom executes its exit from the European Union. If the U.K.'s membership in the European Union terminates without trade and other cross-border operating agreements, there could be increased costs from re-imposition of tariffs on trade between the United Kingdom and other countries, including those in the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imposition of tariffs or currency devaluation in the United Kingdom, the impact to our consolidated revenue, earnings and cash flow could be material. (See </w:t>
      </w:r>
      <w:r>
        <w:rPr>
          <w:rFonts w:ascii="Arial" w:cs="Arial" w:eastAsia="Arial" w:hAnsi="Arial"/>
          <w:sz w:val="18"/>
          <w:szCs w:val="18"/>
          <w:i w:val="1"/>
          <w:iCs w:val="1"/>
          <w:color w:val="auto"/>
        </w:rPr>
        <w:t>Management’s Discussion and Analysis of Financial Condition and Results of Operations – Financial Outlook – Brexit</w:t>
      </w:r>
      <w:r>
        <w:rPr>
          <w:rFonts w:ascii="Arial" w:cs="Arial" w:eastAsia="Arial" w:hAnsi="Arial"/>
          <w:sz w:val="18"/>
          <w:szCs w:val="18"/>
          <w:color w:val="auto"/>
        </w:rPr>
        <w:t xml:space="preserve"> for more information.)</w:t>
      </w:r>
    </w:p>
    <w:p>
      <w:pPr>
        <w:spacing w:after="0" w:line="13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manage changes in our workforce.</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must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Unplanned or increased turnover of employees with key capabilities, failure to attract and develop personnel with key emerging capabilities such as e-commerce and digital marketing skills, or failure to develop adequate succession plans for leadership positions or to hire and retain a workforce with the skills and in the locations we need to operate and grow our business could deplete our institutional knowledge base and erode our competitiveness. Changes in our operating model and business processes, including building a winning growth culture, implementing our “local first” commercial approach, utilizing our global shared services capability and reconfiguring our supply chain, could lead to operational challenges and changes in the skills we require to achieve our business goals. Failure to achieve a more diverse workforce and leadership team, compensate our employees competitively and fairly or maintain a safe and inclusive environment could affect our reputation and also result in lower performance and an inability to retain valuable employees.</w:t>
      </w:r>
    </w:p>
    <w:p>
      <w:pPr>
        <w:spacing w:after="0" w:line="158"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We might be unable to manage appropriately changes in, or that affect, our workforce or satisfy the legal requirements associated with how we manage and compensate our employees. This includes our management of employees represented by labor unions or workers’ councils, who represent approximately 63% of our 68,000 employees outside the United States and approximately 27% of our 12,000 U.S. employees.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Strikes, work stoppages or other forms of labor unrest by our employees or those of our suppliers or distributors, or situations like the renegotiation of collective bargaining agreements that expired in February 2016 and that cover eight U.S. facilities, could cause disruptions to our supply chain, manufacturing or distribution processes. Changes in immigration laws and policies, including in connection with Brexit, could also make it more difficult for us to recruit or relocate skilled employees.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risks could materially and adversely affect our reputation, ability to meet the needs of our customers, product sales, financial condition and results of operations.</w:t>
      </w:r>
    </w:p>
    <w:p>
      <w:pPr>
        <w:spacing w:after="0" w:line="12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Retail customers, such as supermarkets, discounters, e-commerce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The emergence of alternative online retail channels, such as direct to consumer and e-business to business, may adversely affect our relationships with our large retail and wholesale customers.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Consumers may not buy our products when they perceive little difference between the quality or value of our products and those of retailer or other economy brands. When consumers prefer or otherwise choose to purchase the retailer or other economy brands, we can lose market share or sales volumes, or we may need to shift our product mix to lower margin offerings.</w:t>
      </w:r>
    </w:p>
    <w:p>
      <w:pPr>
        <w:spacing w:after="0" w:line="20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Failure to effectively respond to retail consolidation, increasing retail power and competition from retailer and other economy brands could materially and adversely affect our reputation, brands, product sales,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and distributors.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2019, our five largest customers accounted for 17.0%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significant customers could result in a material reduction in sales or change in the mix of products we sell to a significant customer. This could materially and adversely affect our product sales, financial condition and results of operations.</w:t>
      </w:r>
    </w:p>
    <w:p>
      <w:pPr>
        <w:spacing w:after="0" w:line="2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Disputes with significant suppliers or distributors, including disputes related to pricing or performance, could adversely affect our ability to supply or deliver products to our customers or operate our business and could materially and adversely affect our product sales, financial condition and results of operations. In addition, the financial condition of our significant customers, suppliers and distributors are affected by events that are largely beyond our control. Deterioration in the financial condition of significant customers, suppliers or distributors could materially and adversely affect our product sales,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and results of operations.</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may also suffer losses when our products or operations or those of our suppliers violate applicable laws or regulations, or when our or our suppliers’ products cause injury, illness or death. In addition, our marketing could</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14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face claims of false or deceptive advertising or other criticism. A significant product liability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legal or tax claims or other regulatory enforcement actions.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large snack food company operating in highly regulated environments and constantly evolving legal, tax and regulatory frameworks around the world. Consequently, we are subject to greater risk of litigation, legal or tax claims or other regulatory enforcement actions. We have implemented policies and procedures designed to promote compliance with existing laws and regulations; however, there can be no assurance that we maintain effective control environment processes, including in connection with our global shared services capability. Actions by our employees, contractors or agents in violation of our policies and procedures could lead to violations, unintentional or otherwise, of laws and regulations. When litigation, legal or tax claims or regulatory enforcement actions arise out of our failure or alleged failure to comply with applicable laws, regulations or controls, we could be subject to civil and criminal penalties that could materially and adversely affect our reputation, product sales,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might adversely impact our supply chain or our operations.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Scientific evidence collected by the Intergovernmental Panel on Climate Change demonstrates that carbon dioxide and other greenhouse gases in the atmosphere have caused and will in the future cause changes in weather patterns around the globe. These changes are expected to increase the frequency of extreme weather events and natural disasters and affect water availability and quality. These impacts increase risks for the global food production and distribution system. Decreased agricultural productivity caused by climate change might limit the availability of the commodities we purchase and use. These include cocoa, which is a critical raw material for our chocolate and biscuit portfolios that is particularly sensitive to changes in climate, as well as other raw materials such as wheat, vegetable oils, sugar, nuts and dairy. Localized weather events such as floods, severe storms or water shortages that are partially caused or exacerbated by climate change might disrupt our business operations or those of our suppliers, their suppliers, or our co-manufacturers or distributors.</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Concern about climate change might result in new legal and regulatory requirements to reduce or mitigate the effects of climate change. These changes could increase our operating costs for things like energy through taxes or regulations. Concern about climate change might cause consumer preferences to switch away from products or ingredients considered to have high climate change impact. Furthermore, we might fail to effectively address increased attention from the media, shareholders, activists and other stakeholders on climate change and related environmental sustainability matters, including deforestation, land use, water use and packaging, including plastic. Finally, the fact that consumers are exposed to rising temperatures could affect demand for our products, such as decreased demand we have experienced for chocolate during periods when temperatures are warmer.</w:t>
      </w:r>
    </w:p>
    <w:p>
      <w:pPr>
        <w:spacing w:after="0" w:line="12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Taken together these risks could materially and adversely affect our ability to meet the needs of our customers, reputation, product sales,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regularly evaluate a variety of potential strategic transactions, including acquisitions, divestitures, joint ventures, equity method investments and other strategic alliances that could further our strategic business objectives. We may not successfully identify, complete or manage the risks presented by these strategic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realize the full extent of the benefits, cost savings or synergies presented by strategic transactions; effectively implement control environment processes with employees joining us as a result of a transaction;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antitrust and competition laws in the United States, the European Union and other jurisdictions. Joint ventures and similar strategic alliances pose additional risks, as we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Strategic alliances we have entered into include our investments in Jacobs Douwe Egberts and Keurig Dr Pepper Inc.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 recognize an alliance relationship that could expose the business to higher risk or make the venture not as productive as expected.</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materially and adversely affect our business, product sales,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controls sufficient to provide reasonable assurance with respect to the preparation and fair presentation of our financial statements, including in connection with controls executed for us by third parties, we might fail to timely detect any misappropriation of corporate assets or inappropriate allocation or use of funds and could be unable to file accurate financial reports on a timely basis. As a result, our reputation, results of operations and stock price could be materially adversely affected.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Weak financial performance, downgrades in our credit ratings, illiquid global capital markets and volatile global economic conditions could limit our access to the global capital markets, reduce our liquidity and increase our borrowing costs.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 liquidity of the overall global capital markets and the state of the global economy, including the food industry, could affect our access to, and the availability or cost of, financing on acceptable terms and conditions and our ability to pay dividends in the future. There can be no assurance that we will have access to the global capital markets on terms we find acceptable.</w:t>
      </w:r>
    </w:p>
    <w:p>
      <w:pPr>
        <w:spacing w:after="0" w:line="20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0"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Volatility in the equity markets, interest rates, our participation in multiemployer pension plans and other factors could increase our costs relating to our employees’ pensions.</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sponsor defined benefit pension plans for a number of our employees throughout the world and also contribute to other employees’ pensions under defined benefit plans that we do not sponsor. At the end of 2019, the projected benefit obligation of the defined benefit pension plans we sponsor was $12.2 billion and plan assets were $11.5 billion.</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these company-sponsored pension plans and recognize further increases in our net periodic pension cost.</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This withdrawal liability will generally increase if there is also a mass withdrawal of other participating employers or if the plan terminates. In 2018, we executed a complete withdrawal from the Bakery and Confectionery Union and Industry International Pension Fund (the "Fund") and recorded a $429 million estimated withdrawal liability. On July 11, 2019, we received an undiscounted withdrawal liability assessment from the Fund totaling $526 million requiring pro-rata monthly payments over 20 years and we recorded a $35 million final adjustment to reduce our withdrawal liability as of June 30, 2019. We began making monthly payments during the third quarter of 2019. As of December 31, 2019, the remaining discounted withdrawal liability was $391 million, with $14 million recorded in other current liabilities and $ 377 million recorded in long-term other liabilities.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 significant increase in our pension benefit obligations or funding requirements could curtail our ability to invest in the business and adversely affect our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adequately protecting our valuable intellectual property rights.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trade secrets, copyrights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third-party nondisclosure and assignment agreements and policing of third-party misuses and infringement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 and financial condition.</w:t>
      </w:r>
    </w:p>
    <w:p>
      <w:pPr>
        <w:spacing w:after="0" w:line="209"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We may be unaware of potential third-party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 Any of these occurrences could materially and adversely affect our reputation, brand health, ability to introduce new products or improve the quality of existing products, product sales, financial condition and results of operations.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31, 2019, we had approximately 126 manufacturing and processing facilities in 44 countries and 110 distribution centers and depots worldwide that we owned or leased. During 2019, the number of manufacturing facilities decreased by 6 mainly due to divestitures and the number of distribution facilities decreased by 13 primarily due to the expiration of lease agreements and consolidation of facilities.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980" w:type="dxa"/>
            <w:vAlign w:val="bottom"/>
            <w:tcBorders>
              <w:bottom w:val="single" w:sz="8" w:color="auto"/>
            </w:tcBorders>
            <w:gridSpan w:val="3"/>
          </w:tcPr>
          <w:p>
            <w:pPr>
              <w:jc w:val="right"/>
              <w:ind w:right="1055"/>
              <w:spacing w:after="0"/>
              <w:rPr>
                <w:sz w:val="20"/>
                <w:szCs w:val="20"/>
                <w:color w:val="auto"/>
              </w:rPr>
            </w:pPr>
            <w:r>
              <w:rPr>
                <w:rFonts w:ascii="Arial" w:cs="Arial" w:eastAsia="Arial" w:hAnsi="Arial"/>
                <w:sz w:val="14"/>
                <w:szCs w:val="14"/>
                <w:b w:val="1"/>
                <w:bCs w:val="1"/>
                <w:color w:val="auto"/>
              </w:rPr>
              <w:t>As of December 31, 2019</w:t>
            </w:r>
          </w:p>
        </w:tc>
      </w:tr>
      <w:tr>
        <w:trPr>
          <w:trHeight w:val="175"/>
        </w:trPr>
        <w:tc>
          <w:tcPr>
            <w:tcW w:w="7440" w:type="dxa"/>
            <w:vAlign w:val="bottom"/>
          </w:tcPr>
          <w:p>
            <w:pPr>
              <w:spacing w:after="0"/>
              <w:rPr>
                <w:sz w:val="15"/>
                <w:szCs w:val="15"/>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r>
      <w:tr>
        <w:trPr>
          <w:trHeight w:val="162"/>
        </w:trPr>
        <w:tc>
          <w:tcPr>
            <w:tcW w:w="7440" w:type="dxa"/>
            <w:vAlign w:val="bottom"/>
          </w:tcPr>
          <w:p>
            <w:pPr>
              <w:spacing w:after="0"/>
              <w:rPr>
                <w:sz w:val="14"/>
                <w:szCs w:val="14"/>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Manufacturing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Distribution</w:t>
            </w:r>
          </w:p>
        </w:tc>
      </w:tr>
      <w:tr>
        <w:trPr>
          <w:trHeight w:val="196"/>
        </w:trPr>
        <w:tc>
          <w:tcPr>
            <w:tcW w:w="7440" w:type="dxa"/>
            <w:vAlign w:val="bottom"/>
          </w:tcPr>
          <w:p>
            <w:pPr>
              <w:spacing w:after="0"/>
              <w:rPr>
                <w:sz w:val="17"/>
                <w:szCs w:val="17"/>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Facilities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Facilities</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6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8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AMEA</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21</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126</w:t>
            </w:r>
          </w:p>
        </w:tc>
        <w:tc>
          <w:tcPr>
            <w:tcW w:w="8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r>
      <w:tr>
        <w:trPr>
          <w:trHeight w:val="20"/>
        </w:trPr>
        <w:tc>
          <w:tcPr>
            <w:tcW w:w="7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Leased</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126</w:t>
            </w:r>
          </w:p>
        </w:tc>
        <w:tc>
          <w:tcPr>
            <w:tcW w:w="8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r>
      <w:tr>
        <w:trPr>
          <w:trHeight w:val="20"/>
        </w:trPr>
        <w:tc>
          <w:tcPr>
            <w:tcW w:w="7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Excludes our deconsolidated Venezuela operations. Refer to Note 1, </w:t>
      </w:r>
      <w:r>
        <w:rPr>
          <w:rFonts w:ascii="Arial" w:cs="Arial" w:eastAsia="Arial" w:hAnsi="Arial"/>
          <w:sz w:val="16"/>
          <w:szCs w:val="16"/>
          <w:i w:val="1"/>
          <w:iCs w:val="1"/>
          <w:color w:val="auto"/>
        </w:rPr>
        <w:t>Summary of Significant Accounting Policies, for</w:t>
      </w:r>
      <w:r>
        <w:rPr>
          <w:rFonts w:ascii="Arial" w:cs="Arial" w:eastAsia="Arial" w:hAnsi="Arial"/>
          <w:sz w:val="16"/>
          <w:szCs w:val="16"/>
          <w:color w:val="auto"/>
        </w:rPr>
        <w:t xml:space="preserve">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have listed our Common Stock on The Nasdaq Global Select Market under the symbol “MDLZ.” At January 31, 2020, there were 44,764 holders of record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130175</wp:posOffset>
            </wp:positionV>
            <wp:extent cx="4939665" cy="2864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966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Performance</w:t>
            </w:r>
          </w:p>
        </w:tc>
      </w:tr>
      <w:tr>
        <w:trPr>
          <w:trHeight w:val="196"/>
        </w:trPr>
        <w:tc>
          <w:tcPr>
            <w:tcW w:w="6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7"/>
                <w:szCs w:val="17"/>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Peer Group</w:t>
            </w:r>
          </w:p>
        </w:tc>
      </w:tr>
      <w:tr>
        <w:trPr>
          <w:trHeight w:val="256"/>
        </w:trPr>
        <w:tc>
          <w:tcPr>
            <w:tcW w:w="6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125.39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102.59</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102.96</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124.11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138.29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120.31</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113.19</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166.85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173.86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143.50</w:t>
            </w:r>
          </w:p>
        </w:tc>
      </w:tr>
    </w:tbl>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The Kraft Heinz Company, Nestlé S.A., PepsiCo, Inc., The Procter &amp; Gamble Company and Unilever PLC. The Kraft Heinz Company performance history is included for 2016 through 2019 only as the company was formed in 2015.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2019 was: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 Price Paid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Programs </w:t>
            </w:r>
            <w:r>
              <w:rPr>
                <w:rFonts w:ascii="Arial" w:cs="Arial" w:eastAsia="Arial" w:hAnsi="Arial"/>
                <w:sz w:val="17"/>
                <w:szCs w:val="17"/>
                <w:b w:val="1"/>
                <w:bCs w:val="1"/>
                <w:color w:val="auto"/>
                <w:w w:val="98"/>
                <w:vertAlign w:val="superscript"/>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1-31, 2019</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1,295,595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1,281,313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1-30,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2,946,093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2"/>
                <w:szCs w:val="22"/>
                <w:color w:val="auto"/>
              </w:rPr>
            </w:pPr>
          </w:p>
        </w:tc>
        <w:tc>
          <w:tcPr>
            <w:tcW w:w="1820" w:type="dxa"/>
            <w:vAlign w:val="bottom"/>
          </w:tcPr>
          <w:p>
            <w:pPr>
              <w:jc w:val="right"/>
              <w:ind w:right="40"/>
              <w:spacing w:after="0"/>
              <w:rPr>
                <w:sz w:val="20"/>
                <w:szCs w:val="20"/>
                <w:color w:val="auto"/>
              </w:rPr>
            </w:pPr>
            <w:r>
              <w:rPr>
                <w:rFonts w:ascii="Arial" w:cs="Arial" w:eastAsia="Arial" w:hAnsi="Arial"/>
                <w:sz w:val="18"/>
                <w:szCs w:val="18"/>
                <w:color w:val="auto"/>
              </w:rPr>
              <w:t>2,831,683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1-31, 2019</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2,472,223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54.42</w:t>
            </w:r>
          </w:p>
        </w:tc>
        <w:tc>
          <w:tcPr>
            <w:tcW w:w="10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2,467,098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0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For the Quarter Ended</w:t>
            </w:r>
          </w:p>
        </w:tc>
        <w:tc>
          <w:tcPr>
            <w:tcW w:w="1840" w:type="dxa"/>
            <w:vAlign w:val="bottom"/>
            <w:vMerge w:val="restart"/>
          </w:tcPr>
          <w:p>
            <w:pPr>
              <w:jc w:val="right"/>
              <w:ind w:right="36"/>
              <w:spacing w:after="0"/>
              <w:rPr>
                <w:sz w:val="20"/>
                <w:szCs w:val="20"/>
                <w:color w:val="auto"/>
              </w:rPr>
            </w:pPr>
            <w:r>
              <w:rPr>
                <w:rFonts w:ascii="Arial" w:cs="Arial" w:eastAsia="Arial" w:hAnsi="Arial"/>
                <w:sz w:val="18"/>
                <w:szCs w:val="18"/>
                <w:color w:val="auto"/>
              </w:rPr>
              <w:t>6,713,911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vMerge w:val="restart"/>
          </w:tcPr>
          <w:p>
            <w:pPr>
              <w:jc w:val="right"/>
              <w:ind w:right="40"/>
              <w:spacing w:after="0"/>
              <w:rPr>
                <w:sz w:val="20"/>
                <w:szCs w:val="20"/>
                <w:color w:val="auto"/>
              </w:rPr>
            </w:pPr>
            <w:r>
              <w:rPr>
                <w:rFonts w:ascii="Arial" w:cs="Arial" w:eastAsia="Arial" w:hAnsi="Arial"/>
                <w:sz w:val="18"/>
                <w:szCs w:val="18"/>
                <w:color w:val="auto"/>
              </w:rPr>
              <w:t>6,580,094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ind w:left="200"/>
              <w:spacing w:after="0"/>
              <w:rPr>
                <w:sz w:val="20"/>
                <w:szCs w:val="20"/>
                <w:color w:val="auto"/>
              </w:rPr>
            </w:pPr>
            <w:r>
              <w:rPr>
                <w:rFonts w:ascii="Arial" w:cs="Arial" w:eastAsia="Arial" w:hAnsi="Arial"/>
                <w:sz w:val="18"/>
                <w:szCs w:val="18"/>
                <w:color w:val="auto"/>
              </w:rPr>
              <w:t>December 31, 2019</w:t>
            </w:r>
          </w:p>
        </w:tc>
        <w:tc>
          <w:tcPr>
            <w:tcW w:w="1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right="40" w:hanging="332"/>
        <w:spacing w:after="0" w:line="25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units that vested, totaling 14,282 shares, 114,410 shares and 5,125 shares for the fiscal months of October, November and December 2019, respectively.</w:t>
      </w:r>
    </w:p>
    <w:p>
      <w:pPr>
        <w:spacing w:after="0" w:line="174"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Dollar values stated in millions. 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13, </w:t>
      </w:r>
      <w:r>
        <w:rPr>
          <w:rFonts w:ascii="Arial" w:cs="Arial" w:eastAsia="Arial" w:hAnsi="Arial"/>
          <w:sz w:val="16"/>
          <w:szCs w:val="16"/>
          <w:i w:val="1"/>
          <w:iCs w:val="1"/>
          <w:color w:val="auto"/>
        </w:rPr>
        <w:t>Capital Stock</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International,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Financial Data – Five Year Review </w:t>
      </w:r>
      <w:r>
        <w:rPr>
          <w:rFonts w:ascii="Arial" w:cs="Arial" w:eastAsia="Arial" w:hAnsi="Arial"/>
          <w:sz w:val="21"/>
          <w:szCs w:val="21"/>
          <w:b w:val="1"/>
          <w:bCs w:val="1"/>
          <w:color w:val="auto"/>
          <w:vertAlign w:val="superscript"/>
        </w:rPr>
        <w:t>(1)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10"/>
        </w:trPr>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4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(in millions, except per share and employee data)</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4100" w:type="dxa"/>
            <w:vAlign w:val="bottom"/>
            <w:gridSpan w:val="5"/>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 xml:space="preserve">Continuing Operations </w:t>
            </w:r>
            <w:r>
              <w:rPr>
                <w:rFonts w:ascii="Arial" w:cs="Arial" w:eastAsia="Arial" w:hAnsi="Arial"/>
                <w:sz w:val="21"/>
                <w:szCs w:val="21"/>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263"/>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25,868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25,938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25,896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25,923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29,636</w:t>
            </w:r>
          </w:p>
        </w:tc>
      </w:tr>
      <w:tr>
        <w:trPr>
          <w:trHeight w:val="235"/>
        </w:trPr>
        <w:tc>
          <w:tcPr>
            <w:tcW w:w="4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of taxes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3,885</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3,395</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2,842</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1,645</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7,291</w:t>
            </w:r>
          </w:p>
        </w:tc>
      </w:tr>
      <w:tr>
        <w:trPr>
          <w:trHeight w:val="229"/>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Net earnings attributable to</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Mondelēz International</w:t>
            </w:r>
          </w:p>
        </w:tc>
        <w:tc>
          <w:tcPr>
            <w:tcW w:w="3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3,870</w:t>
            </w:r>
          </w:p>
        </w:tc>
        <w:tc>
          <w:tcPr>
            <w:tcW w:w="4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3,381</w:t>
            </w:r>
          </w:p>
        </w:tc>
        <w:tc>
          <w:tcPr>
            <w:tcW w:w="4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2,828</w:t>
            </w:r>
          </w:p>
        </w:tc>
        <w:tc>
          <w:tcPr>
            <w:tcW w:w="4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1,635</w:t>
            </w:r>
          </w:p>
        </w:tc>
        <w:tc>
          <w:tcPr>
            <w:tcW w:w="4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7,267</w:t>
            </w:r>
          </w:p>
        </w:tc>
      </w:tr>
      <w:tr>
        <w:trPr>
          <w:trHeight w:val="277"/>
        </w:trPr>
        <w:tc>
          <w:tcPr>
            <w:tcW w:w="40" w:type="dxa"/>
            <w:vAlign w:val="bottom"/>
            <w:shd w:val="clear" w:color="auto" w:fill="CCEEFF"/>
          </w:tcPr>
          <w:p>
            <w:pPr>
              <w:spacing w:after="0"/>
              <w:rPr>
                <w:sz w:val="24"/>
                <w:szCs w:val="24"/>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Per share, basic</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63"/>
        </w:trPr>
        <w:tc>
          <w:tcPr>
            <w:tcW w:w="40" w:type="dxa"/>
            <w:vAlign w:val="bottom"/>
          </w:tcPr>
          <w:p>
            <w:pPr>
              <w:spacing w:after="0"/>
              <w:rPr>
                <w:sz w:val="22"/>
                <w:szCs w:val="22"/>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Per share, diluted</w:t>
            </w:r>
          </w:p>
        </w:tc>
        <w:tc>
          <w:tcPr>
            <w:tcW w:w="32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4.44</w:t>
            </w:r>
          </w:p>
        </w:tc>
      </w:tr>
      <w:tr>
        <w:trPr>
          <w:trHeight w:val="223"/>
        </w:trPr>
        <w:tc>
          <w:tcPr>
            <w:tcW w:w="4100" w:type="dxa"/>
            <w:vAlign w:val="bottom"/>
            <w:gridSpan w:val="5"/>
            <w:shd w:val="clear" w:color="auto" w:fill="CCEEFF"/>
          </w:tcPr>
          <w:p>
            <w:pPr>
              <w:ind w:left="40"/>
              <w:spacing w:after="0" w:line="223" w:lineRule="exact"/>
              <w:rPr>
                <w:sz w:val="20"/>
                <w:szCs w:val="20"/>
                <w:color w:val="auto"/>
              </w:rPr>
            </w:pPr>
            <w:r>
              <w:rPr>
                <w:rFonts w:ascii="Arial" w:cs="Arial" w:eastAsia="Arial" w:hAnsi="Arial"/>
                <w:sz w:val="18"/>
                <w:szCs w:val="18"/>
                <w:b w:val="1"/>
                <w:bCs w:val="1"/>
                <w:color w:val="auto"/>
              </w:rPr>
              <w:t xml:space="preserve">Cash Flow and Financial Position </w:t>
            </w:r>
            <w:r>
              <w:rPr>
                <w:rFonts w:ascii="Arial" w:cs="Arial" w:eastAsia="Arial" w:hAnsi="Arial"/>
                <w:sz w:val="21"/>
                <w:szCs w:val="21"/>
                <w:b w:val="1"/>
                <w:bCs w:val="1"/>
                <w:color w:val="auto"/>
                <w:vertAlign w:val="superscript"/>
              </w:rPr>
              <w:t>(3)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263"/>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3,965</w:t>
            </w: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3,948</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2,593</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2,838</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3,728</w:t>
            </w:r>
          </w:p>
        </w:tc>
      </w:tr>
      <w:tr>
        <w:trPr>
          <w:trHeight w:val="277"/>
        </w:trPr>
        <w:tc>
          <w:tcPr>
            <w:tcW w:w="4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925</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1,095</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1,224</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r>
      <w:tr>
        <w:trPr>
          <w:trHeight w:val="263"/>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8,733</w:t>
            </w: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8,482</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8,677</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8,229</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8,362</w:t>
            </w:r>
          </w:p>
        </w:tc>
      </w:tr>
      <w:tr>
        <w:trPr>
          <w:trHeight w:val="277"/>
        </w:trPr>
        <w:tc>
          <w:tcPr>
            <w:tcW w:w="4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64,549</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62,729</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62,957</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61,506</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62,843</w:t>
            </w:r>
          </w:p>
        </w:tc>
      </w:tr>
      <w:tr>
        <w:trPr>
          <w:trHeight w:val="263"/>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14,207</w:t>
            </w: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12,532</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12,972</w:t>
            </w: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13,217</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14,557</w:t>
            </w:r>
          </w:p>
        </w:tc>
      </w:tr>
      <w:tr>
        <w:trPr>
          <w:trHeight w:val="235"/>
        </w:trPr>
        <w:tc>
          <w:tcPr>
            <w:tcW w:w="4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Mondelēz International</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27,275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25,637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25,994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25,141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28,012</w:t>
            </w:r>
          </w:p>
        </w:tc>
      </w:tr>
      <w:tr>
        <w:trPr>
          <w:trHeight w:val="270"/>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 xml:space="preserve">Shares outstanding at year end </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1,435</w:t>
            </w:r>
          </w:p>
        </w:tc>
        <w:tc>
          <w:tcPr>
            <w:tcW w:w="4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1,451</w:t>
            </w:r>
          </w:p>
        </w:tc>
        <w:tc>
          <w:tcPr>
            <w:tcW w:w="4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1,488</w:t>
            </w:r>
          </w:p>
        </w:tc>
        <w:tc>
          <w:tcPr>
            <w:tcW w:w="4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1,528</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1,580</w:t>
            </w:r>
          </w:p>
        </w:tc>
      </w:tr>
      <w:tr>
        <w:trPr>
          <w:trHeight w:val="203"/>
        </w:trPr>
        <w:tc>
          <w:tcPr>
            <w:tcW w:w="41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Per Share and Other Data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63"/>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Book value per shares outstanding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19.01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17.67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17.47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16.45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17.73</w:t>
            </w:r>
          </w:p>
        </w:tc>
      </w:tr>
      <w:tr>
        <w:trPr>
          <w:trHeight w:val="277"/>
        </w:trPr>
        <w:tc>
          <w:tcPr>
            <w:tcW w:w="4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21"/>
                <w:szCs w:val="21"/>
                <w:color w:val="auto"/>
                <w:vertAlign w:val="superscript"/>
              </w:rPr>
              <w:t>(5)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r>
      <w:tr>
        <w:trPr>
          <w:trHeight w:val="263"/>
        </w:trPr>
        <w:tc>
          <w:tcPr>
            <w:tcW w:w="4100" w:type="dxa"/>
            <w:vAlign w:val="bottom"/>
            <w:gridSpan w:val="5"/>
          </w:tcPr>
          <w:p>
            <w:pPr>
              <w:ind w:left="40"/>
              <w:spacing w:after="0"/>
              <w:rPr>
                <w:sz w:val="20"/>
                <w:szCs w:val="20"/>
                <w:color w:val="auto"/>
              </w:rPr>
            </w:pPr>
            <w:r>
              <w:rPr>
                <w:rFonts w:ascii="Arial" w:cs="Arial" w:eastAsia="Arial" w:hAnsi="Arial"/>
                <w:sz w:val="18"/>
                <w:szCs w:val="18"/>
                <w:color w:val="auto"/>
              </w:rPr>
              <w:t>Common Stock closing price at year end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55.08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40.03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42.80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44.33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44.84</w:t>
            </w:r>
          </w:p>
        </w:tc>
      </w:tr>
      <w:tr>
        <w:trPr>
          <w:trHeight w:val="277"/>
        </w:trPr>
        <w:tc>
          <w:tcPr>
            <w:tcW w:w="4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80,000</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80,000</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83,000</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90,000</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99,000</w:t>
            </w:r>
          </w:p>
        </w:tc>
      </w:tr>
    </w:tbl>
    <w:p>
      <w:pPr>
        <w:spacing w:after="0" w:line="107" w:lineRule="exact"/>
        <w:rPr>
          <w:sz w:val="20"/>
          <w:szCs w:val="20"/>
          <w:color w:val="auto"/>
        </w:rPr>
      </w:pPr>
    </w:p>
    <w:p>
      <w:pPr>
        <w:ind w:left="340" w:hanging="332"/>
        <w:spacing w:after="0" w:line="24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selected financial data should be read in conjunction with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our consolidated financial statements and related notes included elsewhere in this Annual Report on Form 10-K and Annual Reports on Form 10-K for earlier periods. During 2018, we moved to a quarter lag for recording Keurig Green Mountain, Inc. ("Keurig") and Keurig Dr Pepper Inc. ("KDP") results and we recast all prior periods since the inception of our investment in Keurig in 2016 on the same quarter lag basis. Please see Note 7, </w:t>
      </w:r>
      <w:r>
        <w:rPr>
          <w:rFonts w:ascii="Arial" w:cs="Arial" w:eastAsia="Arial" w:hAnsi="Arial"/>
          <w:sz w:val="16"/>
          <w:szCs w:val="16"/>
          <w:i w:val="1"/>
          <w:iCs w:val="1"/>
          <w:color w:val="auto"/>
        </w:rPr>
        <w:t>Equity Method</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w:t>
      </w:r>
      <w:r>
        <w:rPr>
          <w:rFonts w:ascii="Arial" w:cs="Arial" w:eastAsia="Arial" w:hAnsi="Arial"/>
          <w:sz w:val="16"/>
          <w:szCs w:val="16"/>
          <w:color w:val="auto"/>
        </w:rPr>
        <w:t>, for more information. During 2018, we adopted the new revenue recognition accounting standard update, and it did not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on any reported periods.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more information. During 2019, we adopted the new lease accounting standard and related updates, and we disclose the impacts to our 2019 financial statements in Note 1,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A significant portion of our business is exposed to currency exchange rate fluctuation as a large portion of our assets, liabilities, revenue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expenses must be translated into U.S. dollars for reporting purposes. Refer to </w:t>
      </w:r>
      <w:r>
        <w:rPr>
          <w:rFonts w:ascii="Arial" w:cs="Arial" w:eastAsia="Arial" w:hAnsi="Arial"/>
          <w:sz w:val="16"/>
          <w:szCs w:val="16"/>
          <w:i w:val="1"/>
          <w:iCs w:val="1"/>
          <w:color w:val="auto"/>
        </w:rPr>
        <w:t>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for a discussion of operating results on a constant currency basis where noted.</w:t>
      </w:r>
    </w:p>
    <w:p>
      <w:pPr>
        <w:spacing w:after="0" w:line="5" w:lineRule="exact"/>
        <w:rPr>
          <w:rFonts w:ascii="Arial" w:cs="Arial" w:eastAsia="Arial" w:hAnsi="Arial"/>
          <w:sz w:val="16"/>
          <w:szCs w:val="16"/>
          <w:color w:val="auto"/>
        </w:rPr>
      </w:pPr>
    </w:p>
    <w:p>
      <w:pPr>
        <w:ind w:left="340" w:right="20" w:hanging="332"/>
        <w:spacing w:after="0" w:line="24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Significant items impacting the comparability of our results from continuing operations include: the Simplify to Grow Program; the contribution of our global coffee businesses and investment in Jacobs Douwe Egberts ("JDE") and related gain in 2015; gain on equity method investment transactions in 2016-2018; other divestitures and sales of property in 2015-2019; acquisitions in 2015-2016 and 2018-2019; losses on debt extinguishment in 2015-2018; unrealized gains on the coffee business transaction currency hedges in 2015; debt tender offers completed in 2015-2016 and 2018; loss on deconsolidation of Venezuela in 2015; the remeasurement of net monetary assets in Venezuela in 2015 and Argentina in 2018-2019; accounting calendar changes in 2015; impairment charges related to intangible assets in 2015-2019; losses or gains related to interest rate swaps in 2015-2016 and 2018-2019; impacts from the resolution of tax matters in 2017-2018; impacts from pension participation changes in 2018-2019; CEO transition remuneration in 2017-2019; malware incident incremental expenses in 2017; and our provision for income taxes in all years, including the U.S. tax reform discrete net tax benefits or expenses in primarily 2017-2018 and Swiss tax reform net impacts in 2019. Please refer to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xml:space="preserve">; Note 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Note 7, Equity Method Investments; Note 8,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Program</w:t>
      </w:r>
      <w:r>
        <w:rPr>
          <w:rFonts w:ascii="Arial" w:cs="Arial" w:eastAsia="Arial" w:hAnsi="Arial"/>
          <w:sz w:val="16"/>
          <w:szCs w:val="16"/>
          <w:color w:val="auto"/>
        </w:rPr>
        <w:t>; Note 9,</w:t>
      </w:r>
      <w:r>
        <w:rPr>
          <w:rFonts w:ascii="Arial" w:cs="Arial" w:eastAsia="Arial" w:hAnsi="Arial"/>
          <w:sz w:val="16"/>
          <w:szCs w:val="16"/>
          <w:i w:val="1"/>
          <w:iCs w:val="1"/>
          <w:color w:val="auto"/>
        </w:rPr>
        <w:t xml:space="preserve"> Debt and Borrowing Arrangements</w:t>
      </w:r>
      <w:r>
        <w:rPr>
          <w:rFonts w:ascii="Arial" w:cs="Arial" w:eastAsia="Arial" w:hAnsi="Arial"/>
          <w:sz w:val="16"/>
          <w:szCs w:val="16"/>
          <w:color w:val="auto"/>
        </w:rPr>
        <w:t>; Note 10,</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Note 11,</w:t>
      </w:r>
      <w:r>
        <w:rPr>
          <w:rFonts w:ascii="Arial" w:cs="Arial" w:eastAsia="Arial" w:hAnsi="Arial"/>
          <w:sz w:val="16"/>
          <w:szCs w:val="16"/>
          <w:i w:val="1"/>
          <w:iCs w:val="1"/>
          <w:color w:val="auto"/>
        </w:rPr>
        <w:t xml:space="preserve"> Benefit Plans</w:t>
      </w:r>
      <w:r>
        <w:rPr>
          <w:rFonts w:ascii="Arial" w:cs="Arial" w:eastAsia="Arial" w:hAnsi="Arial"/>
          <w:sz w:val="16"/>
          <w:szCs w:val="16"/>
          <w:color w:val="auto"/>
        </w:rPr>
        <w:t>; Note 14,</w:t>
      </w:r>
      <w:r>
        <w:rPr>
          <w:rFonts w:ascii="Arial" w:cs="Arial" w:eastAsia="Arial" w:hAnsi="Arial"/>
          <w:sz w:val="16"/>
          <w:szCs w:val="16"/>
          <w:i w:val="1"/>
          <w:iCs w:val="1"/>
          <w:color w:val="auto"/>
        </w:rPr>
        <w:t xml:space="preserve"> Commitments and Contingencies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16,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780"/>
        <w:spacing w:after="0" w:line="283" w:lineRule="auto"/>
        <w:rPr>
          <w:sz w:val="20"/>
          <w:szCs w:val="20"/>
          <w:color w:val="auto"/>
        </w:rPr>
      </w:pPr>
      <w:r>
        <w:rPr>
          <w:rFonts w:ascii="Arial" w:cs="Arial" w:eastAsia="Arial" w:hAnsi="Arial"/>
          <w:sz w:val="16"/>
          <w:szCs w:val="16"/>
          <w:color w:val="auto"/>
        </w:rPr>
        <w:t xml:space="preserve">and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and our Annual Reports on Form 10-K for earlier periods for additional information regarding items affecting comparability of our results from continuing operations.</w:t>
      </w:r>
    </w:p>
    <w:p>
      <w:pPr>
        <w:spacing w:after="0" w:line="1" w:lineRule="exact"/>
        <w:rPr>
          <w:sz w:val="20"/>
          <w:szCs w:val="20"/>
          <w:color w:val="auto"/>
        </w:rPr>
      </w:pPr>
    </w:p>
    <w:p>
      <w:pPr>
        <w:ind w:left="340" w:right="48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Items impacting comparability primarily relate to the Keurig and JDE coffee business transactions in 2015-2016 and the loss on deconsolidation of Venezuela in 2015. Please also refer to our previously filed Annual Reports on Form 10-K for additional information.</w:t>
      </w: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Refer to Note 13, </w:t>
      </w:r>
      <w:r>
        <w:rPr>
          <w:rFonts w:ascii="Arial" w:cs="Arial" w:eastAsia="Arial" w:hAnsi="Arial"/>
          <w:sz w:val="16"/>
          <w:szCs w:val="16"/>
          <w:i w:val="1"/>
          <w:iCs w:val="1"/>
          <w:color w:val="auto"/>
        </w:rPr>
        <w:t>Capital Stock</w:t>
      </w:r>
      <w:r>
        <w:rPr>
          <w:rFonts w:ascii="Arial" w:cs="Arial" w:eastAsia="Arial" w:hAnsi="Arial"/>
          <w:sz w:val="16"/>
          <w:szCs w:val="16"/>
          <w:color w:val="auto"/>
        </w:rPr>
        <w:t>, for additional information on our share repurchase program activity.</w:t>
      </w:r>
    </w:p>
    <w:p>
      <w:pPr>
        <w:spacing w:after="0" w:line="5"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Equity and Dividends</w:t>
      </w:r>
      <w:r>
        <w:rPr>
          <w:rFonts w:ascii="Arial" w:cs="Arial" w:eastAsia="Arial" w:hAnsi="Arial"/>
          <w:sz w:val="16"/>
          <w:szCs w:val="16"/>
          <w:color w:val="auto"/>
        </w:rPr>
        <w:t xml:space="preserve"> section within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for information on our dividends.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140" w:right="3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4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20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the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detailed information on our business and strategy, refer to Item 1, </w:t>
      </w:r>
      <w:r>
        <w:rPr>
          <w:rFonts w:ascii="Arial" w:cs="Arial" w:eastAsia="Arial" w:hAnsi="Arial"/>
          <w:sz w:val="18"/>
          <w:szCs w:val="18"/>
          <w:i w:val="1"/>
          <w:iCs w:val="1"/>
          <w:color w:val="auto"/>
        </w:rPr>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and U.S. Tax Reform</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 / Cantonal events, our position is the enactment of Swiss tax reform for U.S. GAAP purposes was met as of September 30, 2019, and we recorded the impacts in the third quarter 2019. The net impact was a benefit of $767 million, which consisted of a $769 million reduction in deferred tax expense from an allowed step-up of intangible assets for tax purposes and remeasurement of our deferred tax balances, partially offset by a $2 million indirect tax impact in selling, general and administrative expenses. The future rate impacts of these Swiss tax reform law changes are effective starting January 1, 2020. We will continue to monitor Swiss tax reform for any additional interpretative guidance that could result in changes to the amounts we have recorded.</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22, 2017, the United States enacted tax reform legislation ("U.S. tax reform") that included a broad range of business tax provisions, including but not limited to a reduction in the U.S. federal tax rate from 35% to 21%, as well as provisions that limit or eliminate various deductions or credits. The legislation causes certain U.S. allocated expenses (e.g. interest and general administrative expenses) to be taxed and imposes a tax on U.S. cross-border payments. Furthermore, the legislation included a one-time transition tax on accumulated foreign earnings and profits. While clarifying guidance was issued by the U.S. Treasury Department and Internal Revenue Service ("IRS") during 2018 and 2019, we continue to evaluate the impacts as additional guidance on implementing the legislation becomes available. The impact of adopting the new provisions was a discrete net tax expense of $5 million in 2019 and $19 million in 2018 and a discrete net tax benefit of $44 million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our annual effective tax rates and Swiss and U.S. tax reform.</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 Withdrawal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we contribute to multiemployer pension plans based on obligations arising from our collective</w:t>
      </w:r>
    </w:p>
    <w:p>
      <w:pPr>
        <w:spacing w:after="0" w:line="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bargaining agreements. 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("BCTGM"). All of those collective bargaining agreements expired in 2016 and we continued to contribute to the Fund through 2018.</w:t>
      </w:r>
    </w:p>
    <w:p>
      <w:pPr>
        <w:spacing w:after="0" w:line="20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2018, we executed a complete withdrawal from the Fund and recorded a $429 million estimated withdrawal liability. On July 11, 2019, we received an undiscounted withdrawal liability assessment from the Fund totaling $526 million requiring pro-rata monthly payments over 20 years and we recorded a $35 million final adjustment to reduce our withdrawal liability as of June 30, 2019. We began making monthly payments during the third quarter of 2019. As of December 31, 2019, the remaining discounted withdrawal liability was $391 million, with $14 million recorded in other current liabilities and $377 million recorded in long-term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Lease Accounting Standard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further described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we adopted the new lease accounting standard on January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2019. The impact of adopting the standard included the initial recognition as of January 1, 2019, of $710 million of lease-related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$730 million of lease-related liabilities on our consolidated balance sheet. The transition method we elected for adoption required a cumulative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adjustment to retained earnings as of January 1, 2019, which was not material. For additional information on leases, refer to Note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Keurig Dr Pepper Transaction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2018, we recorded a pre-tax gain of $ 778 million (or $586 million after-tax). Also, during the first quarter of 2019, we recognized a $23 million pre-tax gain related to the impact of a KDP acquisition that decreased our ownership interest from 13.8% to 13.6%. In connection with the KDP transaction, in the third quarter of 2018, we changed our accounting principle to reflect our share of Keurig's historical and KDP's ongoing earnings on a one-quarter lag basis for all periods presented while we continue to record dividends when cash is received.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 on KDP and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Malware Incident</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27, 2017, a global malware incident impacted our business. The malware affected a significant portion of our global sales, distribution and financial networks. Following the incident, we executed business continuity and contingency plans to contain the impact, minimize damages and restore our systems environment. We also restored our main operating systems and processes and enhanced our system security. To date, we have not found, nor do we expect to find, any instances of Company or personal data released externally.</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2017, we estimated the malware incident had a negative impact of 0.4% on our net revenue and Organic Net Revenue growth as we recognized the majority of delayed second quarter shipments in our third quarter 2017 results and we also permanently lost some revenue. We incurred total incremental expenses of $84 million predominantly during the second half of 2017 as part of the recovery effort. The recovery from the incident was largely resolved by the end of 2017 and we continued efforts to strengthen our security measures and enhance general information technology, business process and disclosure controls.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40"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47" w:lineRule="exact"/>
        <w:rPr>
          <w:sz w:val="20"/>
          <w:szCs w:val="20"/>
          <w:color w:val="auto"/>
        </w:rPr>
      </w:pPr>
    </w:p>
    <w:p>
      <w:pPr>
        <w:ind w:left="640" w:hanging="321"/>
        <w:spacing w:after="0" w:line="25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revenues were approximately $25.9 billion in both 2019 and 2018, a decrease of 0.3% in 2019 and an increase of 0.2% in 2018. In 2019, net revenues declined due to the impact of unfavorable currency translation and the impact of the divestiture of most of our cheese business in the Middle East and Africa. Net revenues were positively affected by higher net pricing and favorable volume/mix, as well as the acquisitions of a majority interest in Perfect Snacks in 2019 and a U.S. premium biscuit company, Tate's Bake Shop, in 2018. In 2018, net revenues grew due to higher net pricing and favorable volume/mix. Net revenues were also positively affected by the acquisition of Tate's Bake Shop. Net revenue growth was negatively affected by the impact of unfavorable currency translation and the impact of several business divestitures that occurred in 2017 which reduced net revenues in 2018 as compared to the prior year.</w:t>
      </w:r>
    </w:p>
    <w:p>
      <w:pPr>
        <w:spacing w:after="0" w:line="207" w:lineRule="exact"/>
        <w:rPr>
          <w:rFonts w:ascii="Arial" w:cs="Arial" w:eastAsia="Arial" w:hAnsi="Arial"/>
          <w:sz w:val="18"/>
          <w:szCs w:val="18"/>
          <w:color w:val="auto"/>
        </w:rPr>
      </w:pPr>
    </w:p>
    <w:p>
      <w:pPr>
        <w:ind w:left="640" w:right="240" w:hanging="321"/>
        <w:spacing w:after="0" w:line="253"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Organic Net Revenue increased 4.1% to $26.9 billion in 2019 and increased 2.4% to $26.1 billion in 2018. In both 2019 and 2018, Organic Net Revenue increased as a result of higher net pricing and favorable volume/mix. Organic Net Revenue is on a constant currency basis and excludes revenue from divestitures and acquisitions.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5" w:lineRule="exact"/>
        <w:rPr>
          <w:rFonts w:ascii="Arial" w:cs="Arial" w:eastAsia="Arial" w:hAnsi="Arial"/>
          <w:sz w:val="18"/>
          <w:szCs w:val="18"/>
          <w:color w:val="auto"/>
        </w:rPr>
      </w:pPr>
    </w:p>
    <w:p>
      <w:pPr>
        <w:ind w:left="640" w:hanging="321"/>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16.2% to $2.65 in 2019 and increased 23.2% to $2.28 in 2018. Diluted EPS increased in 2019 primarily driven by the benefit from Swiss tax reform, lapping the prior-year impact from pension participation changes, operating gains, lower Simplify to Grow program costs, lapping the prior-year loss on debt extinguishment, fewer shares outstanding, a gain on divestiture, an increase in equity method investment earnings, lower interest expense and a benefit from current-year pension participation changes, partially offset by lapping the prior-year gain on equity method investment transactions, unfavorable currency translation, a loss related to interest rate swaps, the expense from the resolution of tax matters in 2019 and an unfavorable year-over-year change in mark-to-market impacts from currency and commodity derivatives. Diluted EPS increased in</w:t>
      </w:r>
    </w:p>
    <w:p>
      <w:pPr>
        <w:spacing w:after="0" w:line="3" w:lineRule="exact"/>
        <w:rPr>
          <w:rFonts w:ascii="Arial" w:cs="Arial" w:eastAsia="Arial" w:hAnsi="Arial"/>
          <w:sz w:val="18"/>
          <w:szCs w:val="18"/>
          <w:color w:val="auto"/>
        </w:rPr>
      </w:pPr>
    </w:p>
    <w:p>
      <w:pPr>
        <w:ind w:left="640" w:right="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2018 primarily driven by the after-tax gain on the KDP transaction, a favorable year-over-year change in mark-to-market impacts from currency and commodity derivatives, operating gains, lower costs incurred for the Simplify to Grow Program, fewer shares outstanding, lower taxes and increased equity method investment earnings, partially offset by the impact from pension participation changes, lapping the benefit from the resolution of tax matters and lapping a prior-year net gain on divestitures. See our </w:t>
      </w:r>
      <w:r>
        <w:rPr>
          <w:rFonts w:ascii="Arial" w:cs="Arial" w:eastAsia="Arial" w:hAnsi="Arial"/>
          <w:sz w:val="18"/>
          <w:szCs w:val="18"/>
          <w:i w:val="1"/>
          <w:iCs w:val="1"/>
          <w:color w:val="auto"/>
        </w:rPr>
        <w:t>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Historical Results </w:t>
      </w:r>
      <w:r>
        <w:rPr>
          <w:rFonts w:ascii="Arial" w:cs="Arial" w:eastAsia="Arial" w:hAnsi="Arial"/>
          <w:sz w:val="18"/>
          <w:szCs w:val="18"/>
          <w:color w:val="auto"/>
        </w:rPr>
        <w:t>appearing later in this section for further details.</w:t>
      </w:r>
    </w:p>
    <w:p>
      <w:pPr>
        <w:spacing w:after="0" w:line="205" w:lineRule="exact"/>
        <w:rPr>
          <w:rFonts w:ascii="Arial" w:cs="Arial" w:eastAsia="Arial" w:hAnsi="Arial"/>
          <w:sz w:val="18"/>
          <w:szCs w:val="18"/>
          <w:color w:val="auto"/>
        </w:rPr>
      </w:pPr>
    </w:p>
    <w:p>
      <w:pPr>
        <w:ind w:left="640" w:hanging="321"/>
        <w:spacing w:after="0" w:line="25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Adjusted EPS increased 2.1% to $2.47 in 2019 and increased 14.2% to $2.42 in 2018. On a constant currency basis, Adjusted EPS increased 8.3% to $2.62 in 2019 and increased 15.6% to $2.45 in 2018. For 2019, operating gains, fewer shares outstanding, increased equity method investment earnings, lower interest expense and lower taxes drove the Adjusted EPS growth. For 2018, operating gains, fewer shares outstanding, lower taxes, increased equity method investment earnings and lower interest expense drove the Adjusted EPS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Long-Term Demographics and Consumer Trends </w:t>
      </w:r>
      <w:r>
        <w:rPr>
          <w:rFonts w:ascii="Arial" w:cs="Arial" w:eastAsia="Arial" w:hAnsi="Arial"/>
          <w:sz w:val="18"/>
          <w:szCs w:val="18"/>
          <w:color w:val="auto"/>
        </w:rPr>
        <w:t>– Snack food consumption is highly correlated to GDP growth, urbanization of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rising discretionary income levels associated with a growing middle class, particularly in emerging markets. Snacking behavior is on the rise around the world according to the first annual “State of Snacking” report, commissioned by Mondelēz International and issued in November 2019, which summarizes the findings from interviews with thousands of consumers across 12 countries. A majority of adults, and an even higher percentage of Millennial consumers, indicated they prefer to eat small bites throughout the day as opposed to larger meals. The report concludes that consumer needs are evolving in response to busy modern lifestyles, the desire for community connections and a more holistic sense of well-being. Also, the way consumers snack and buy snacks around the world is diverse, with consumers purchasing snacks across evolving retail and digital landscapes. We expect these trends to continue and, in order to position ourselves for long-term growth, we are investing in our well-being and other snack offerings, product and marketing innovation and new routes to market including e-commerce.</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three years, we have been seeing improvements in regional economic growth, consumer confidence and growth in our categories. However, geopolitical and economic uncertainties from time to time may continue to affect economic growth, consumer confidence and category growth. As part of our new strategic plan, we seek to drive category growth by offering snack innovations, leveraging our local and consumer-focused commercial approach, making investments in our brand and snacks portfolio, building strong routes to market in both emerging and developed markets and improving our position across multiple channels. We believe these actions will help drive demand in our categories and strengthen our positions across markets.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operations, including in emerging markets. Some</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markets have greater political, economic and currency volatility and greater vulnerability to infrastructure and labor disruptions. Volatility in these markets affects demand for and the costs of our products and requires frequent changes in how we operate our business. See below for a discussion of Brexit as well as Argentina, which was designated a highly inflationary economy in 2018. In addition, the imposition of increased or new tariffs, quotas, trade barriers or similar restrictions on our sales or key commodities and potential changes in U.S. trade programs, trade relations, regulations, taxes or fiscal policies might negatively affect our sales or profitability. To help mitigate adverse effects of ongoing volatility across markets, we aim to protect profitability through the management of costs (including hedging) and pricing as well as targeted investments in our brands and new routes to market.</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Coronavirus </w:t>
      </w:r>
      <w:r>
        <w:rPr>
          <w:rFonts w:ascii="Arial" w:cs="Arial" w:eastAsia="Arial" w:hAnsi="Arial"/>
          <w:sz w:val="18"/>
          <w:szCs w:val="18"/>
          <w:color w:val="auto"/>
        </w:rPr>
        <w:t>– We have been monitoring the outbreak of a new coronavirus that originated in China. We believe it could have a negative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on our results in the short term and we are taking steps to protect our employees, consumers and business.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We operate in highly competitive markets that include global, regional and local competitors. Our advantaged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new digital and other sales and marketing initiatives, product innovation and high standards of product quality. We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also continue to optimize our manufacturing and other operations and invest in our brands through ongoing research and development, advertising, marketing and consumer promotions.</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Our net revenue growth and profitability may be affected as we adjust prices to address new conditions. We adjust our product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number of variables including demand, the competitive environment and changes in our product input costs. We generally have increased prices in response to higher commodity costs, currency and other market factors. In 2020, we anticipate changing market conditions to continue to impact pricing. Price changes may affect net revenues or market share in the near term as the market adjusts to changes in input costs and other market conditions.</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We manage these costs through cost saving and productivity initiatives, sourcing and hedging programs, pricing actions, refinancing and tax planning. To remain competitive on our operating structure, we continue to work on programs to expand our profitability, such as our Simplify to Grow Program, which is designed to bring about significant reductions in our operating cost structure in both our supply chain and overhead costs.</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Multiemployer pension plan </w:t>
      </w:r>
      <w:r>
        <w:rPr>
          <w:rFonts w:ascii="Arial" w:cs="Arial" w:eastAsia="Arial" w:hAnsi="Arial"/>
          <w:sz w:val="18"/>
          <w:szCs w:val="18"/>
          <w:color w:val="auto"/>
        </w:rPr>
        <w:t>– In 2018, we executed a complete withdrawal from the Fund and recorded a $429 million estimated withdrawal</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On July 11, 2019, we received an undiscounted withdrawal liability assessment from the Fund totaling $526 million and we recorded a $35 million final adjustment to reduce our withdrawal liability at that time. During the third quarter of 2019, we began making monthly pro-rata payments on the 20-year obligation. As of December 31, 2019, the remaining discounted withdrawal liability was $391 million.</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 During the third quarter of 2019, Swiss Federal and Zurich Cantonal tax events drove our recognition of a $767 million Swiss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net benefit to our results of operations. The future tax rate impacts of the Swiss tax reform law changes became effective on January 1, 2020 and are not expected to have a material impact on our overall results of operations. We will continue to monitor Swiss tax reform for any additional interpretative guidance that could result in changes to the amounts we have recorded. In the United States, while the 2017 U.S. tax reform reduced the U.S. corporate tax rate and included some beneficial provisions, other provisions have, and in the future will have, an adverse effect on our results. We continue to evaluate the impacts as additional guidance on implementing the legislation becomes available. While additional guidance has been issued by the IRS and the U.S. Treasury Department, there are still some areas that may not be clarified for some time. Also, a number of U.S. states have not updated their laws to take into account the new federal legislation. As a result, there may be additional impacts of the new laws on our future results of operations and financial condition. It is possible that U.S. tax reform or related interpretations could change and have an adverse effect on us that could be material.</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 As a global company with 74.4% of our net revenues generated outside the United States, we are continually exposed to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global economic conditions and currency movements. While we hedge significant forecasted currency exchange transactions as well as currency translation impacts from certain net assets of our non-U.S. operations, including the United Kingdom, we cannot fully predict or eliminate all adverse impacts arising from changes in currency exchange rates on our consolidated financial results. To partially offset currency translation impacts arising from our overseas operations, we enter into net investment hedges primarily in the form of local currency-denominated debt, cross-currency swaps and other financial instruments. While we work to mitigate our exposure to currency risks, factors such as continued global and local market volatility, actions by foreign governments, political uncertainty, limited hedging opportunities and other factors could lead to unfavorable currency impacts in the future and could adversely affect our results of operations or financial position. See additional discussion of Brexit and Argentina below and refer also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for additional information on how we manage currency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risks. As currency movements can make comparison of year-over-year operating performance challenging, we isolate the impact of currency and also report growth on a constant currency basis, holding prior-year currency exchange rates constant, so that prior-year and current-year results can be compared on a consistent basis.</w:t>
      </w:r>
    </w:p>
    <w:p>
      <w:pPr>
        <w:spacing w:after="0" w:line="18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 On January 31, 2020, the United Kingdom began the withdrawal process from the European Union under the European and U.K.</w:t>
      </w:r>
      <w:r>
        <w:rPr>
          <w:rFonts w:ascii="Arial" w:cs="Arial" w:eastAsia="Arial" w:hAnsi="Arial"/>
          <w:sz w:val="18"/>
          <w:szCs w:val="18"/>
          <w:i w:val="1"/>
          <w:iCs w:val="1"/>
          <w:color w:val="auto"/>
        </w:rPr>
        <w:t xml:space="preserve"> </w:t>
      </w:r>
      <w:r>
        <w:rPr>
          <w:rFonts w:ascii="Arial" w:cs="Arial" w:eastAsia="Arial" w:hAnsi="Arial"/>
          <w:sz w:val="18"/>
          <w:szCs w:val="18"/>
          <w:color w:val="auto"/>
        </w:rPr>
        <w:t>Parliament approved Withdrawal Agreement. During a transition period currently scheduled to end on December 31, 2020, the United Kingdom will effectively remain in the E.U.’s customs union and single market while a trade deal with the European Union is negotiated. The deadline for extending the transition period ends on June 30, 2020. If the transition period is not extended, on December 31, 2020, the United Kingdom will either exit the European Union without a trade deal or will begin a new trade relationship with the European Union.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transition period, we continue to take protective measures in response to the potential impacts on our results of operations and financial condition. Our exposure to disruptions to our supply chain, the imposition of tariffs and currency devaluation in the United Kingdom could result in a material impact to our consolidated revenue, earnings and cash flow. In 2019, we generated 8.6% of our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trade and other cross-border operating agreements, there could be increased costs from re-imposition of tariffs on trade between the United Kingdom and other countries, including those in the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 Resulting impacts and market volatility can vary significantly depending on the final terms of the U.K.’s exit from the European Union.</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Summary of Significant Accounting Policies – Currency Translation and Highly Inflationary Accounting, </w:t>
      </w:r>
      <w:r>
        <w:rPr>
          <w:rFonts w:ascii="Arial" w:cs="Arial" w:eastAsia="Arial" w:hAnsi="Arial"/>
          <w:sz w:val="18"/>
          <w:szCs w:val="18"/>
          <w:color w:val="auto"/>
        </w:rPr>
        <w:t>on July 1, 2018, we began to apply highly inflationary accounting for our Argentinean subsidiaries. As a result, we recorded a</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gain of $ 4 million in 2019 and a remeasurement loss of $11 million in 2018 within selling, general and administrative expenses related to the revaluation of the Argentinean peso denominated net monetary position over these periods. The mix of monetary assets and liabilities and the exchange rate to convert Argentinean pesos to U.S. dollars could change over time, so it is difficult to predict the overall impact of the Argentina highly inflationary accounting on future net earnings.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Financing Costs </w:t>
      </w:r>
      <w:r>
        <w:rPr>
          <w:rFonts w:ascii="Arial" w:cs="Arial" w:eastAsia="Arial" w:hAnsi="Arial"/>
          <w:sz w:val="18"/>
          <w:szCs w:val="18"/>
          <w:color w:val="auto"/>
        </w:rPr>
        <w:t>– We regularly evaluate our variable and fixed-rate debt. We continue to use low-cost, short- and long-term debt to finance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ongoing working capital, capital expenditures and other investments, dividends and share repurchases. Our weighted-average interest rate on our total debt as of December 31, 2019 was 2.2%, down from 2.3% as of December 31, 2018 and up from 2.1% as of December 31, 2017, primarily reflecting changes in our interest rates on commercial paper borrowings over these periods. We continue to use interest rate swaps and other financial instruments to manage our exposure to interest rate and cash flow variability, protect the value of our existing currency assets and liabilities and protect the value of our debt. We also enter into cross-currency interest rate swaps and forwards to hedge our non-U.S. net investments against adverse movements in exchange rates. Our net investment hedge derivative contracts have had and are expected to have a favorable impact and reduce some of the financing costs and related currency impacts within our interest costs.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 on our debt and derivative activity.</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 In 2017, the malware incident impacted our operating systems and results. We continue to devote focused resources to</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security, backup and disaster recovery, enhanced training and other security measures to protect our systems and data. We also focus on enhancing the monitoring and detection of threats in our environment, including but not limited to the manufacturing environment and operational technologies, as well as adjusting information security controls based on updated threats. While we have taken a number of security measures to protect our systems and data, security measures cannot provide absolute certainty or guarantee that we will be successful in preventing or responding to every breach or disruption on a timely basis.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center"/>
              <w:ind w:left="572"/>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5320" w:type="dxa"/>
            <w:vAlign w:val="bottom"/>
          </w:tcPr>
          <w:p>
            <w:pPr>
              <w:spacing w:after="0"/>
              <w:rPr>
                <w:sz w:val="22"/>
                <w:szCs w:val="22"/>
                <w:color w:val="auto"/>
              </w:rPr>
            </w:pPr>
          </w:p>
        </w:tc>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See Note</w:t>
            </w: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22"/>
                <w:szCs w:val="22"/>
                <w:color w:val="auto"/>
              </w:rPr>
            </w:pPr>
          </w:p>
        </w:tc>
        <w:tc>
          <w:tcPr>
            <w:tcW w:w="1160" w:type="dxa"/>
            <w:vAlign w:val="bottom"/>
          </w:tcPr>
          <w:p>
            <w:pPr>
              <w:jc w:val="center"/>
              <w:ind w:right="311"/>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2"/>
                <w:szCs w:val="22"/>
                <w:color w:val="auto"/>
              </w:rPr>
            </w:pPr>
          </w:p>
        </w:tc>
        <w:tc>
          <w:tcPr>
            <w:tcW w:w="9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r>
      <w:tr>
        <w:trPr>
          <w:trHeight w:val="250"/>
        </w:trPr>
        <w:tc>
          <w:tcPr>
            <w:tcW w:w="53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4"/>
          </w:tcPr>
          <w:p>
            <w:pPr>
              <w:jc w:val="center"/>
              <w:ind w:left="572"/>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top w:val="single" w:sz="8" w:color="auto"/>
            </w:tcBorders>
          </w:tcPr>
          <w:p>
            <w:pPr>
              <w:spacing w:after="0"/>
              <w:rPr>
                <w:sz w:val="21"/>
                <w:szCs w:val="2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900" w:type="dxa"/>
            <w:vAlign w:val="bottom"/>
            <w:tcBorders>
              <w:bottom w:val="single" w:sz="8" w:color="CCEEFF"/>
            </w:tcBorders>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8</w:t>
            </w:r>
          </w:p>
        </w:tc>
        <w:tc>
          <w:tcPr>
            <w:tcW w:w="1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(176)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(535)</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Implementation Charges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Intangible asset impairment charges</w:t>
            </w: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rPr>
              <w:t>Note 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(109)</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Mark-to-market gains/(losses) from derivatives </w:t>
            </w:r>
            <w:r>
              <w:rPr>
                <w:rFonts w:ascii="Arial" w:cs="Arial" w:eastAsia="Arial" w:hAnsi="Arial"/>
                <w:sz w:val="21"/>
                <w:szCs w:val="21"/>
                <w:b w:val="1"/>
                <w:bCs w:val="1"/>
                <w:color w:val="auto"/>
                <w:vertAlign w:val="superscript"/>
              </w:rPr>
              <w:t>(1)</w:t>
            </w:r>
          </w:p>
        </w:tc>
        <w:tc>
          <w:tcPr>
            <w:tcW w:w="190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10</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Malware incident incremental expenses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(84)</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900" w:type="dxa"/>
            <w:vAlign w:val="bottom"/>
            <w:tcBorders>
              <w:bottom w:val="single" w:sz="8" w:color="CCEEFF"/>
            </w:tcBorders>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2</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Acquisition integration costs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Divestiture-related costs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 on divestitures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1"/>
                <w:szCs w:val="21"/>
                <w:b w:val="1"/>
                <w:bCs w:val="1"/>
                <w:color w:val="auto"/>
                <w:vertAlign w:val="superscript"/>
              </w:rPr>
              <w:t>(1)</w:t>
            </w:r>
          </w:p>
        </w:tc>
        <w:tc>
          <w:tcPr>
            <w:tcW w:w="190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11</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(429)</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Impact from resolution of tax matters</w:t>
            </w: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14</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281</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(2)</w:t>
            </w: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(Loss)/gain related to interest rate swaps</w:t>
            </w: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9 &amp; 10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on debt extinguishment</w:t>
            </w:r>
          </w:p>
        </w:tc>
        <w:tc>
          <w:tcPr>
            <w:tcW w:w="1900" w:type="dxa"/>
            <w:vAlign w:val="bottom"/>
            <w:tcBorders>
              <w:bottom w:val="single" w:sz="8" w:color="CCEEFF"/>
            </w:tcBorders>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9</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Swiss tax reform net impacts</w:t>
            </w: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16</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767</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tax reform discrete net tax impacts</w:t>
            </w:r>
          </w:p>
        </w:tc>
        <w:tc>
          <w:tcPr>
            <w:tcW w:w="1900" w:type="dxa"/>
            <w:vAlign w:val="bottom"/>
            <w:tcBorders>
              <w:bottom w:val="single" w:sz="8" w:color="CCEEFF"/>
            </w:tcBorders>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16</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r>
      <w:tr>
        <w:trPr>
          <w:trHeight w:val="20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Net (loss)/gain on equity method</w:t>
            </w: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rPr>
              <w:t>Note 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778</w:t>
            </w:r>
          </w:p>
        </w:tc>
        <w:tc>
          <w:tcPr>
            <w:tcW w:w="520" w:type="dxa"/>
            <w:vAlign w:val="bottom"/>
          </w:tcPr>
          <w:p>
            <w:pPr>
              <w:spacing w:after="0"/>
              <w:rPr>
                <w:sz w:val="17"/>
                <w:szCs w:val="17"/>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w:t>
            </w:r>
          </w:p>
        </w:tc>
      </w:tr>
      <w:tr>
        <w:trPr>
          <w:trHeight w:val="252"/>
        </w:trPr>
        <w:tc>
          <w:tcPr>
            <w:tcW w:w="5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investment transactions </w:t>
            </w:r>
            <w:r>
              <w:rPr>
                <w:rFonts w:ascii="Arial" w:cs="Arial" w:eastAsia="Arial" w:hAnsi="Arial"/>
                <w:sz w:val="21"/>
                <w:szCs w:val="21"/>
                <w:b w:val="1"/>
                <w:bCs w:val="1"/>
                <w:color w:val="auto"/>
                <w:vertAlign w:val="superscript"/>
              </w:rPr>
              <w:t>(3)</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 method investee acquisition-related</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r>
      <w:tr>
        <w:trPr>
          <w:trHeight w:val="252"/>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xml:space="preserve">and other (charges)/benefits </w:t>
            </w:r>
            <w:r>
              <w:rPr>
                <w:rFonts w:ascii="Arial" w:cs="Arial" w:eastAsia="Arial" w:hAnsi="Arial"/>
                <w:sz w:val="21"/>
                <w:szCs w:val="21"/>
                <w:b w:val="1"/>
                <w:bCs w:val="1"/>
                <w:color w:val="auto"/>
                <w:vertAlign w:val="superscript"/>
              </w:rPr>
              <w:t>(4)</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16</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r>
    </w:tbl>
    <w:p>
      <w:pPr>
        <w:spacing w:after="0" w:line="19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impacts recorded in operating income and interest expense and other, net.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net gain/(loss) on equity method investment transactions is recorded outside pre-tax operating results on the consolidated statement of earnings.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for 2018 primarily relates to a deferred tax benefit Keurig recorded as a result of U.S. tax reform.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2019 with 2018 and 2018 with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302"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4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(in millions, except per share data)</w:t>
            </w: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25,868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25,938</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3,843</w:t>
            </w:r>
          </w:p>
        </w:tc>
        <w:tc>
          <w:tcPr>
            <w:tcW w:w="48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3,312</w:t>
            </w:r>
          </w:p>
        </w:tc>
        <w:tc>
          <w:tcPr>
            <w:tcW w:w="5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3,885</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3,395</w:t>
            </w: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Net earnings attributable to</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4"/>
        </w:trPr>
        <w:tc>
          <w:tcPr>
            <w:tcW w:w="460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3,870</w:t>
            </w:r>
          </w:p>
        </w:tc>
        <w:tc>
          <w:tcPr>
            <w:tcW w:w="4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3,381</w:t>
            </w:r>
          </w:p>
        </w:tc>
        <w:tc>
          <w:tcPr>
            <w:tcW w:w="5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14.5 %</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bl>
    <w:p>
      <w:pPr>
        <w:spacing w:after="0" w:line="197"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$70 million (0.3%) to $25,868 million in 2019, and Organic Net Revenue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$1,067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(4.1%) to $26,879 million. Emerging markets net revenues increased 0.2%, including an unfavorable currency impact, and emerging markets Organic Net Revenue increased 7.7%. The underlying changes in net revenues and Organic Net Revenue are detailed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revenues (by percentage point)</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Total change in net revenues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 the following items affecting comparability:</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180"/>
              <w:spacing w:after="0"/>
              <w:rPr>
                <w:sz w:val="20"/>
                <w:szCs w:val="20"/>
                <w:color w:val="auto"/>
              </w:rPr>
            </w:pPr>
            <w:r>
              <w:rPr>
                <w:rFonts w:ascii="Arial" w:cs="Arial" w:eastAsia="Arial" w:hAnsi="Arial"/>
                <w:sz w:val="18"/>
                <w:szCs w:val="18"/>
                <w:color w:val="auto"/>
              </w:rPr>
              <w:t>Unfavorable 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4.5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divestiture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pp</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Impact of acquisitions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(0.4)pp</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Higher net pricing</w:t>
            </w: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2.2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3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Net revenue decrease of 0.3% was driven by unfavorable currency and the impact of a divestiture, partially offset by our underlying Organic Net Revenue growth of 4.1% and the impact of acquisitions. Unfavorable currency impacts decreased net revenues by $1,154 million, due primarily to the strength of the U.S. dollar relative to most currencies, including the Argentinean peso, euro, Brazilian real, British pound sterling, Australian dollar, Chinese yuan, Indian rupee, Turkish lira and South African rand. The impact of the divestiture of most of our cheese business in the Middle East and Africa on May 28, 2019 resulted in a year-over-year decline in net revenues of $71 million. Our underlying Organic Net Revenue growth was driven by higher net pricing and favorable volume/mix. Net pricing was up, which includes the benefit of carryover pricing from 2018 as well as the effects of input cost-driven pricing actions taken during 2019. Higher net pricing was reflected in Latin America, North America and AMEA as net pricing in Europe was flat. Favorable volume/mix was reflected in Europe and AMEA, partially offset by unfavorable volume/mix in Latin America and North America. The July 16, 2019 acquisition of a majority interest in Perfect Snacks added net revenues of $53 million and the June 7, 2018 acquisition of Tate’s Bake Shop added incremental net revenues of $35 million in 2019.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more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both"/>
        <w:ind w:right="80"/>
        <w:spacing w:after="0" w:line="232"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$531 million (16.0%) to $3,843 million in 2019, Adjusted Operating Income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$38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(0.9%) to $4,264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$189 million (4.4%) to $4,491 million due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w:t>
            </w:r>
          </w:p>
        </w:tc>
        <w:tc>
          <w:tcPr>
            <w:tcW w:w="1720" w:type="dxa"/>
            <w:vAlign w:val="bottom"/>
          </w:tcPr>
          <w:p>
            <w:pPr>
              <w:spacing w:after="0"/>
              <w:rPr>
                <w:sz w:val="14"/>
                <w:szCs w:val="14"/>
                <w:color w:val="auto"/>
              </w:rPr>
            </w:pP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21"/>
                <w:szCs w:val="2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3,312</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(8)</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(9)</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tcPr>
          <w:p>
            <w:pPr>
              <w:spacing w:after="0"/>
              <w:rPr>
                <w:sz w:val="23"/>
                <w:szCs w:val="23"/>
                <w:color w:val="auto"/>
              </w:rPr>
            </w:pPr>
          </w:p>
        </w:tc>
      </w:tr>
      <w:tr>
        <w:trPr>
          <w:trHeight w:val="25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4,302</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Higher net pricing</w:t>
            </w:r>
          </w:p>
        </w:tc>
        <w:tc>
          <w:tcPr>
            <w:tcW w:w="2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input costs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Favorable volume/mix</w:t>
            </w:r>
          </w:p>
        </w:tc>
        <w:tc>
          <w:tcPr>
            <w:tcW w:w="2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selling, general and administrative expenses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VAT-related settlements</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1"/>
                <w:szCs w:val="21"/>
                <w:color w:val="auto"/>
                <w:vertAlign w:val="superscript"/>
              </w:rPr>
              <w:t>(6)</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Unfavorable currency translation</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b w:val="1"/>
                <w:bCs w:val="1"/>
                <w:color w:val="auto"/>
              </w:rPr>
              <w:t>4,264</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(6)</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(8)</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(9)</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1"/>
                <w:szCs w:val="21"/>
                <w:color w:val="auto"/>
                <w:vertAlign w:val="superscript"/>
              </w:rPr>
              <w:t>(10)</w:t>
            </w: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tcPr>
          <w:p>
            <w:pPr>
              <w:spacing w:after="0"/>
              <w:rPr>
                <w:sz w:val="23"/>
                <w:szCs w:val="23"/>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2019</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16.0 %</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intangible asset impairments.</w:t>
      </w:r>
    </w:p>
    <w:p>
      <w:pPr>
        <w:spacing w:after="0" w:line="5" w:lineRule="exact"/>
        <w:rPr>
          <w:rFonts w:ascii="Arial" w:cs="Arial" w:eastAsia="Arial" w:hAnsi="Arial"/>
          <w:sz w:val="16"/>
          <w:szCs w:val="16"/>
          <w:color w:val="auto"/>
        </w:rPr>
      </w:pPr>
    </w:p>
    <w:p>
      <w:pPr>
        <w:ind w:left="340" w:right="66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 to our Annual Report on Form 10-K for the year ended December 31, 2018 for more information on the acquisition of a biscuit business in Vietnam.</w:t>
      </w:r>
    </w:p>
    <w:p>
      <w:pPr>
        <w:sectPr>
          <w:pgSz w:w="11900" w:h="16838" w:orient="portrait"/>
          <w:cols w:equalWidth="0" w:num="1">
            <w:col w:w="11420"/>
          </w:cols>
          <w:pgMar w:left="240" w:top="140"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0"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left="340" w:right="300" w:hanging="332"/>
        <w:spacing w:after="0" w:line="257"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July 16, 2019 acquisition of a majority interest in Perfect Snacks, the May 28, 2019 divestiture of most of our cheese business in the Middle East and Africa and the June 7, 2018 acquisition of Tate's Bake Shop.</w:t>
      </w:r>
    </w:p>
    <w:p>
      <w:pPr>
        <w:ind w:left="340" w:right="16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Swiss tax reform.</w:t>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2019, we realized higher net pricing, which was partially offset by increased input costs. Higher net pricing, which included the carryover impact of pricing actions taken in 2018 as well as the effects of input cost-driven pricing actions taken during 2019, was reflected in Latin America, North America and AMEA as net pricing in Europe was flat.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energy, dairy, grains, cocoa and oils costs, partially offset by lower costs for sugar and nuts. Favorable volume/mix was driven by Europe and AMEA, which was partially offset by unfavorable volume/mix in Latin America and North America.</w:t>
      </w:r>
    </w:p>
    <w:p>
      <w:pPr>
        <w:spacing w:after="0" w:line="20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Total selling, general and administrative expenses decreased $339 million from 2018, due to a number of factors noted in the table above, including in part, the lapping of the prior-year impact from pension participation changes, favorable currency impact, the benefit from current-year pension participation changes, favorable change in remeasurement on net monetary position in Argentina (remeasurement gain in 2019 as compared to a remeasurement loss in 2018), the lapping of a prior-year expense from the resolution of a tax matter, lower CEO transition remuneration and lower acquisition-related costs. These decreases were partially offset by the expenses from the resolution of tax matters in 2019, higher implementation costs incurred for the Simplify to Grow program, the impact of acquisitions, the lapping of a benefit from a prior-year value-added tax (“VAT”) related settlement, a VAT cost settlement in 2019 and higher divestiture-related costs. Excluding these factors, selling, general and administrative expenses increased $173 million from 2018. The increase was driven primarily by higher overheads reflecting route-to-market investments and higher advertising and consumer promotion costs.</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recorded an expense of $11 million from a VAT-related settlement in Latin America in 2019 and a benefit of $ 21 million from a VAT-related settlement in Latin America in 2018. Unfavorable currency changes decreased operating income by $227 million due primarily to the strength of the U.S. dollar relative to most currencies, including the euro, Argentinean peso, British pound sterling, Brazilian real, Australian dollar, Chinese yuan and Indian rupee.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increased from 12.8% in 2018 to 14.9% in 2019. The increase in operating income margin was driven primarily by the lapping of the prior-year impact from pension participation changes, lower Simplify to Grow Program costs, a gain on divestiture, the benefit from current-year pension participation changes, the lapping of a prior-year expense from the resolution of a tax matter and lower CEO transition remuneration, partially offset by the expenses from the resolution of tax matters in 2019 and the year-over-year unfavorable change in mark-to-market gains/(losses) from currency and commodity hedging activities. Adjusted Operating Income margin decreased from 16.7% in 2018 to 16.5% in 2019. The decrease in Adjusted Operating Income margin was driven primarily by higher raw material costs, mostly offset by higher pricing and lower manufacturing costs.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$3,870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$489 million (14.5%) in 2019. Diluted EPS attributable to Mondelēz International was $2.65 in 2019, up $0.37 (16.2%) from 2018.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$2.47 in 2019, up $0.05 (2.1%) from 2018.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$2.62 in 2019, up $0.20 (8.3%) from 2018.</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Diluted EPS</w:t>
            </w:r>
          </w:p>
        </w:tc>
      </w:tr>
      <w:tr>
        <w:trPr>
          <w:trHeight w:val="297"/>
        </w:trPr>
        <w:tc>
          <w:tcPr>
            <w:tcW w:w="9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(4)</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0.07</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(6)</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charges/(benefits) </w:t>
            </w:r>
            <w:r>
              <w:rPr>
                <w:rFonts w:ascii="Arial" w:cs="Arial" w:eastAsia="Arial" w:hAnsi="Arial"/>
                <w:sz w:val="21"/>
                <w:szCs w:val="21"/>
                <w:color w:val="auto"/>
                <w:vertAlign w:val="superscript"/>
              </w:rPr>
              <w:t>(7)</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operations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Increase in equity method investment net earnings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VAT-related settlements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(8)</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(9)</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(10)</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r>
      <w:tr>
        <w:trPr>
          <w:trHeight w:val="25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r>
      <w:tr>
        <w:trPr>
          <w:trHeight w:val="250"/>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Unfavorable currency translation</w:t>
            </w: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1"/>
                <w:szCs w:val="21"/>
                <w:color w:val="auto"/>
                <w:vertAlign w:val="superscript"/>
              </w:rPr>
              <w:t>(5)</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0.53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loss on equity method investment transactions </w:t>
            </w:r>
            <w:r>
              <w:rPr>
                <w:rFonts w:ascii="Arial" w:cs="Arial" w:eastAsia="Arial" w:hAnsi="Arial"/>
                <w:sz w:val="21"/>
                <w:szCs w:val="21"/>
                <w:color w:val="auto"/>
                <w:vertAlign w:val="superscript"/>
              </w:rPr>
              <w:t>(6)</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(charges)/benefits </w:t>
            </w:r>
            <w:r>
              <w:rPr>
                <w:rFonts w:ascii="Arial" w:cs="Arial" w:eastAsia="Arial" w:hAnsi="Arial"/>
                <w:sz w:val="21"/>
                <w:szCs w:val="21"/>
                <w:color w:val="auto"/>
                <w:vertAlign w:val="superscript"/>
              </w:rPr>
              <w:t>(7)</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4"/>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2019</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w:t>
            </w:r>
          </w:p>
        </w:tc>
      </w:tr>
      <w:tr>
        <w:trPr>
          <w:trHeight w:val="20"/>
        </w:trPr>
        <w:tc>
          <w:tcPr>
            <w:tcW w:w="9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appearing later in this section.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table above and the related footnotes for more information.</w:t>
      </w:r>
    </w:p>
    <w:p>
      <w:pPr>
        <w:sectPr>
          <w:pgSz w:w="11900" w:h="16838" w:orient="portrait"/>
          <w:cols w:equalWidth="0" w:num="1">
            <w:col w:w="11420"/>
          </w:cols>
          <w:pgMar w:left="240" w:top="140"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40"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interest rate swaps no longer designated as cash flow hedges.</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impacts of U.S. and Swiss tax reform.</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the gain and net loss on equity method investment transactions.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the currency impact on interest expense related to our non-U.S. dollar-denominated debt which is included in currency translation.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items affecting income taxes.</w:t>
      </w:r>
    </w:p>
    <w:p>
      <w:pPr>
        <w:spacing w:after="0" w:line="5" w:lineRule="exact"/>
        <w:rPr>
          <w:rFonts w:ascii="Arial" w:cs="Arial" w:eastAsia="Arial" w:hAnsi="Arial"/>
          <w:sz w:val="16"/>
          <w:szCs w:val="16"/>
          <w:color w:val="auto"/>
        </w:rPr>
      </w:pPr>
    </w:p>
    <w:p>
      <w:pPr>
        <w:ind w:left="340" w:right="380" w:hanging="332"/>
        <w:spacing w:after="0" w:line="260" w:lineRule="auto"/>
        <w:tabs>
          <w:tab w:leader="none" w:pos="3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for more information on our equity compensation programs and share repurchase program and Note 17,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40"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302"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4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(in millions, except per share data)</w:t>
            </w: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25,938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25,896</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3,312</w:t>
            </w:r>
          </w:p>
        </w:tc>
        <w:tc>
          <w:tcPr>
            <w:tcW w:w="48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3,462</w:t>
            </w:r>
          </w:p>
        </w:tc>
        <w:tc>
          <w:tcPr>
            <w:tcW w:w="5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3,395</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2,842</w:t>
            </w: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Net earnings attributable to</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4"/>
        </w:trPr>
        <w:tc>
          <w:tcPr>
            <w:tcW w:w="460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3,381</w:t>
            </w:r>
          </w:p>
        </w:tc>
        <w:tc>
          <w:tcPr>
            <w:tcW w:w="4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2,828</w:t>
            </w:r>
          </w:p>
        </w:tc>
        <w:tc>
          <w:tcPr>
            <w:tcW w:w="5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$42 million (0.2%) to $25,938 million in 2018, and Organic Net Revenue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$609 million</w:t>
      </w:r>
    </w:p>
    <w:p>
      <w:pPr>
        <w:spacing w:after="0"/>
        <w:rPr>
          <w:sz w:val="20"/>
          <w:szCs w:val="20"/>
          <w:color w:val="auto"/>
        </w:rPr>
      </w:pPr>
      <w:r>
        <w:rPr>
          <w:rFonts w:ascii="Arial" w:cs="Arial" w:eastAsia="Arial" w:hAnsi="Arial"/>
          <w:sz w:val="18"/>
          <w:szCs w:val="18"/>
          <w:color w:val="auto"/>
        </w:rPr>
        <w:t>(2.4%) to $26,103 million. Emerging markets net revenues decreased 0.5%, including an unfavorable currency impact, and emerging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Organic Net Revenue increased 5.9%. The underlying changes in net revenues and Organic Net Revenue are detailed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revenues (by percentage point)</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Total change in net revenues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 the following items affecting comparability:</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180"/>
              <w:spacing w:after="0"/>
              <w:rPr>
                <w:sz w:val="20"/>
                <w:szCs w:val="20"/>
                <w:color w:val="auto"/>
              </w:rPr>
            </w:pPr>
            <w:r>
              <w:rPr>
                <w:rFonts w:ascii="Arial" w:cs="Arial" w:eastAsia="Arial" w:hAnsi="Arial"/>
                <w:sz w:val="18"/>
                <w:szCs w:val="18"/>
                <w:color w:val="auto"/>
              </w:rPr>
              <w:t>Unfavorable 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1.4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acquisition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Impact of divestitures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pp</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Higher net pricing</w:t>
            </w: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pp</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Net revenue increase of 0.2% was driven by our underlying Organic Net Revenue growth of 2.4% and the impact of an acquisition, mostly offset by unfavorable currency and the impact of divestitures. Our underlying Organic Net Revenue growth was driven by higher net pricing and favorable volume/mix. Net pricing was up, which includes the benefit of carryover pricing from 2017 as well as the effects of input cost-driven pricing actions taken during 2018. Higher net pricing was reflected in Latin America, AMEA and North America, partially offset by lower net pricing in Europe. Favorable volume/mix was reflected in Europe and AMEA, partially offset by unfavorable volume/mix in Latin America and North America. The June 7, 2018 acquisition of a U.S. premium biscuit company, Tate’s Bake Shop, added net revenues of $52 million in 2018. Unfavorable currency impacts decreased net revenues by $343 million, due primarily to the strength of the U.S. dollar relative to several other currencies, including the Argentinean peso, Brazilian real, Russian ruble, Indian rupee and Turkish lira, partially offset by the strength of several currencies relative to the U.S. dollar, including the euro, British pound sterling and Chinese yuan. Businesses divested in 2019 and 2017 resulted in a decline in net revenues of $276 million.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right="580"/>
        <w:spacing w:after="0" w:line="232"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$150 million (4.3%) to $3,312 million in 2018, Adjusted Operating Income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$214 million (5.2%) to $4,302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$269 million (6.6%) to $4,357 million due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60" w:type="dxa"/>
            <w:vAlign w:val="bottom"/>
          </w:tcPr>
          <w:p>
            <w:pPr>
              <w:jc w:val="center"/>
              <w:ind w:left="498"/>
              <w:spacing w:after="0"/>
              <w:rPr>
                <w:sz w:val="20"/>
                <w:szCs w:val="20"/>
                <w:color w:val="auto"/>
              </w:rPr>
            </w:pPr>
            <w:r>
              <w:rPr>
                <w:rFonts w:ascii="Arial" w:cs="Arial" w:eastAsia="Arial" w:hAnsi="Arial"/>
                <w:sz w:val="14"/>
                <w:szCs w:val="14"/>
                <w:b w:val="1"/>
                <w:bCs w:val="1"/>
                <w:color w:val="auto"/>
              </w:rPr>
              <w:t>Operating</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6"/>
        </w:trPr>
        <w:tc>
          <w:tcPr>
            <w:tcW w:w="7540" w:type="dxa"/>
            <w:vAlign w:val="bottom"/>
          </w:tcPr>
          <w:p>
            <w:pPr>
              <w:spacing w:after="0"/>
              <w:rPr>
                <w:sz w:val="17"/>
                <w:szCs w:val="17"/>
                <w:color w:val="auto"/>
              </w:rPr>
            </w:pPr>
          </w:p>
        </w:tc>
        <w:tc>
          <w:tcPr>
            <w:tcW w:w="1260" w:type="dxa"/>
            <w:vAlign w:val="bottom"/>
            <w:tcBorders>
              <w:bottom w:val="single" w:sz="8" w:color="auto"/>
            </w:tcBorders>
          </w:tcPr>
          <w:p>
            <w:pPr>
              <w:jc w:val="center"/>
              <w:ind w:left="478"/>
              <w:spacing w:after="0"/>
              <w:rPr>
                <w:sz w:val="20"/>
                <w:szCs w:val="20"/>
                <w:color w:val="auto"/>
              </w:rPr>
            </w:pPr>
            <w:r>
              <w:rPr>
                <w:rFonts w:ascii="Arial" w:cs="Arial" w:eastAsia="Arial" w:hAnsi="Arial"/>
                <w:sz w:val="14"/>
                <w:szCs w:val="14"/>
                <w:b w:val="1"/>
                <w:bCs w:val="1"/>
                <w:color w:val="auto"/>
              </w:rPr>
              <w:t>Income</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Pr>
          <w:p>
            <w:pPr>
              <w:spacing w:after="0"/>
              <w:rPr>
                <w:sz w:val="21"/>
                <w:szCs w:val="21"/>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spacing w:after="0"/>
              <w:rPr>
                <w:sz w:val="21"/>
                <w:szCs w:val="2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2017</w:t>
            </w:r>
          </w:p>
        </w:tc>
        <w:tc>
          <w:tcPr>
            <w:tcW w:w="1260" w:type="dxa"/>
            <w:vAlign w:val="bottom"/>
            <w:shd w:val="clear" w:color="auto" w:fill="CCEEFF"/>
          </w:tcPr>
          <w:p>
            <w:pPr>
              <w:jc w:val="right"/>
              <w:ind w:right="103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3,462</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12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12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Malware incident incremental expenses</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12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(6)</w:t>
            </w:r>
          </w:p>
        </w:tc>
        <w:tc>
          <w:tcPr>
            <w:tcW w:w="1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(6)</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1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64"/>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Other/rounding</w:t>
            </w: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1260" w:type="dxa"/>
            <w:vAlign w:val="bottom"/>
            <w:shd w:val="clear" w:color="auto" w:fill="CCEEFF"/>
          </w:tcPr>
          <w:p>
            <w:pPr>
              <w:jc w:val="right"/>
              <w:ind w:right="103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4,088</w:t>
            </w: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Higher net pricing</w:t>
            </w:r>
          </w:p>
        </w:tc>
        <w:tc>
          <w:tcPr>
            <w:tcW w:w="12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input costs</w:t>
            </w:r>
          </w:p>
        </w:tc>
        <w:tc>
          <w:tcPr>
            <w:tcW w:w="12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Favorable volume/mix</w:t>
            </w:r>
          </w:p>
        </w:tc>
        <w:tc>
          <w:tcPr>
            <w:tcW w:w="12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selling, general and administrative expenses</w:t>
            </w:r>
          </w:p>
        </w:tc>
        <w:tc>
          <w:tcPr>
            <w:tcW w:w="12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VAT-related settlement in 2018</w:t>
            </w:r>
          </w:p>
        </w:tc>
        <w:tc>
          <w:tcPr>
            <w:tcW w:w="12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insurance recovery in 2017</w:t>
            </w:r>
          </w:p>
        </w:tc>
        <w:tc>
          <w:tcPr>
            <w:tcW w:w="12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(6)</w:t>
            </w:r>
          </w:p>
        </w:tc>
        <w:tc>
          <w:tcPr>
            <w:tcW w:w="12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269</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6.6 %</w:t>
            </w: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Unfavorable currency translation</w:t>
            </w:r>
          </w:p>
        </w:tc>
        <w:tc>
          <w:tcPr>
            <w:tcW w:w="12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5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5.2 %</w:t>
            </w:r>
          </w:p>
        </w:tc>
      </w:tr>
      <w:tr>
        <w:trPr>
          <w:trHeight w:val="250"/>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1260" w:type="dxa"/>
            <w:vAlign w:val="bottom"/>
            <w:shd w:val="clear" w:color="auto" w:fill="CCEEFF"/>
          </w:tcPr>
          <w:p>
            <w:pPr>
              <w:jc w:val="right"/>
              <w:ind w:right="103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4,302</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1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12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1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(6)</w:t>
            </w:r>
          </w:p>
        </w:tc>
        <w:tc>
          <w:tcPr>
            <w:tcW w:w="12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(8)</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(9)</w:t>
            </w:r>
          </w:p>
        </w:tc>
        <w:tc>
          <w:tcPr>
            <w:tcW w:w="1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1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tcPr>
          <w:p>
            <w:pPr>
              <w:spacing w:after="0"/>
              <w:rPr>
                <w:sz w:val="23"/>
                <w:szCs w:val="23"/>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2018</w:t>
            </w:r>
          </w:p>
        </w:tc>
        <w:tc>
          <w:tcPr>
            <w:tcW w:w="126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3,312</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0"/>
        </w:trPr>
        <w:tc>
          <w:tcPr>
            <w:tcW w:w="7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intangible asset impairments.</w:t>
      </w:r>
    </w:p>
    <w:p>
      <w:pPr>
        <w:spacing w:after="0" w:line="5" w:lineRule="exact"/>
        <w:rPr>
          <w:rFonts w:ascii="Arial" w:cs="Arial" w:eastAsia="Arial" w:hAnsi="Arial"/>
          <w:sz w:val="16"/>
          <w:szCs w:val="16"/>
          <w:color w:val="auto"/>
        </w:rPr>
      </w:pPr>
    </w:p>
    <w:p>
      <w:pPr>
        <w:ind w:left="340" w:right="66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our Annual Report on Form 10-K for the year ended December 31, 2018 for more information on the acquisition of a biscuit business in Vietnam.</w:t>
      </w:r>
    </w:p>
    <w:p>
      <w:pPr>
        <w:sectPr>
          <w:pgSz w:w="11900" w:h="16838" w:orient="portrait"/>
          <w:cols w:equalWidth="0" w:num="1">
            <w:col w:w="11420"/>
          </w:cols>
          <w:pgMar w:left="240" w:top="140"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June 7, 2018 acquisition of Tate's Bake Shop and 2019 and 2017 divestitures.</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2018, we realized higher net pricing, which was partially offset by increased input costs. Higher net pricing, which included the carryover impact of pricing actions taken in 2017 as well as the effects of input cost-driven pricing actions taken during 2018, was reflected across all regions except Europe. The increase in input costs was driven by higher raw material costs, mostly offset by lower manufacturing costs due to productivity efforts. Higher raw material costs were primarily due to higher currency exchange transaction costs on imported materials, as well as higher packaging, dairy and energy, partially offset primarily by lower cocoa costs. Favorable volume/mix was driven by Europe and AMEA, which was partially offset by unfavorable volume/mix in North America and Latin America.</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Total selling, general and administrative expenses increased $537 million from 2017, due to a number of factors noted in the table above, including in part, the impact from pension participation changes, lapping of prior-year benefits from the resolution of tax matters, lapping of a prior-year property insurance recovery, acquisition-related costs, remeasurement of net monetary position in Argentina, the impact of an acquisition and higher CEO transition remuneration. The increases were partially offset by favorable currency impact, lower implementation costs incurred for the Simplify to Grow Program, lower divestiture-related costs, the lapping of prior-year malware incident incremental costs, a VAT related settlement in 2018, the impact of divestitures and the net benefit from the resolution of tax matters in 2018. Excluding these factors, selling, general and administrative expenses increased $75 million from 2017. The increase was driven by the year-over year net unfavorable change in miscellaneous other income and expense items within selling, general and administrative expenses and higher overhead costs, which more than offset lower advertising and consumer promotion costs.</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recorded a benefit of $21 million from a VAT-related settlement in Latin America in 2018. We recorded a benefit of $27 million from an insurance recovery in AMEA in 2017. Unfavorable currency changes decreased operating income by $55 million due primarily to the strength of the U.S. dollar relative to several currencies, including the Brazilian real, Argentinean peso, Russian ruble and Turkish lira, partially offset by the strength of several currencies relative to the U.S. dollar, including the euro and British pound sterling.</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margin decreased from 13.4% in 2017 to 12.8% in 2018. The decrease in operating income margin was driven by the impact from pension participation changes, the lapping of prior-year benefits from the resolution of tax matters, the lapping of a prior-year gain on divestiture and higher CEO transition remuneration. These unfavorable items were partially offset by the year-over-year favorable change in mark-to-market gains/(losses) from currency and commodity hedging activities, lower Simplify to Grow Program costs, an increase in our Adjusted Operating Income margin, the lapping of prior-year malware incident incremental costs, lower divestiture-related costs and lower intangible asset impairment charges. Adjusted Operating Income margin increased from 16.0% in 2017 to 16.7% in 2018. The increase in Adjusted Operating Income margin was driven primarily by higher net pricing, lower manufacturing costs due to continued cost reduction efforts and lower advertising and consumer promotion costs, partially offset by higher raw material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$3,381 million increased by $553 million (19.6%) in 2018. Diluted EPS attributable to Mondelēz International was $2.28 in 2018, up $0.43</w:t>
      </w:r>
    </w:p>
    <w:p>
      <w:pPr>
        <w:spacing w:after="0" w:line="7"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 xml:space="preserve">(23.2%) from 2017.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$2.42 in 2018, up $0.30 (14.2%) from 2017.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$2.45 in 2018, up $0.33 (15.6%) from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Diluted EPS</w:t>
            </w:r>
          </w:p>
        </w:tc>
      </w:tr>
      <w:tr>
        <w:trPr>
          <w:trHeight w:val="297"/>
        </w:trPr>
        <w:tc>
          <w:tcPr>
            <w:tcW w:w="9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Malware incident incremental expenses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U.S. tax reform discrete net tax benefit </w:t>
            </w:r>
            <w:r>
              <w:rPr>
                <w:rFonts w:ascii="Arial" w:cs="Arial" w:eastAsia="Arial" w:hAnsi="Arial"/>
                <w:sz w:val="21"/>
                <w:szCs w:val="21"/>
                <w:color w:val="auto"/>
                <w:vertAlign w:val="superscript"/>
              </w:rPr>
              <w:t>(3)</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charges/(benefits) </w:t>
            </w:r>
            <w:r>
              <w:rPr>
                <w:rFonts w:ascii="Arial" w:cs="Arial" w:eastAsia="Arial" w:hAnsi="Arial"/>
                <w:sz w:val="21"/>
                <w:szCs w:val="21"/>
                <w:color w:val="auto"/>
                <w:vertAlign w:val="superscript"/>
              </w:rPr>
              <w:t>(5)</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r>
      <w:tr>
        <w:trPr>
          <w:trHeight w:val="25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Increase in operations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equity method investment net earnings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VAT-related settlements in 2018</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insurance recovery in 2017</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(7)</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(8)</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2.45</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Unfavorable currency translation</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(9)</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(10)</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(3)</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(charges)/benefits </w:t>
            </w:r>
            <w:r>
              <w:rPr>
                <w:rFonts w:ascii="Arial" w:cs="Arial" w:eastAsia="Arial" w:hAnsi="Arial"/>
                <w:sz w:val="21"/>
                <w:szCs w:val="21"/>
                <w:color w:val="auto"/>
                <w:vertAlign w:val="superscript"/>
              </w:rPr>
              <w:t>(5)</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r>
      <w:tr>
        <w:trPr>
          <w:trHeight w:val="20"/>
        </w:trPr>
        <w:tc>
          <w:tcPr>
            <w:tcW w:w="9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appearing later in this section.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table above and the related footnotes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 of the U.S. tax reform.</w:t>
      </w:r>
    </w:p>
    <w:p>
      <w:pPr>
        <w:spacing w:after="0" w:line="5" w:lineRule="exact"/>
        <w:rPr>
          <w:rFonts w:ascii="Arial" w:cs="Arial" w:eastAsia="Arial" w:hAnsi="Arial"/>
          <w:sz w:val="16"/>
          <w:szCs w:val="16"/>
          <w:color w:val="auto"/>
        </w:rPr>
      </w:pPr>
    </w:p>
    <w:p>
      <w:pPr>
        <w:ind w:left="340" w:right="32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the KDP transaction in 2018 and the 2017 sale of an interest in one of our equity method investments.</w:t>
      </w: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the currency impact on interest expense related to our non-U.S. dollar-denominated debt which is included in currency translation.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items affecting income taxes.</w:t>
      </w:r>
    </w:p>
    <w:p>
      <w:pPr>
        <w:spacing w:after="0" w:line="5" w:lineRule="exact"/>
        <w:rPr>
          <w:rFonts w:ascii="Arial" w:cs="Arial" w:eastAsia="Arial" w:hAnsi="Arial"/>
          <w:sz w:val="16"/>
          <w:szCs w:val="16"/>
          <w:color w:val="auto"/>
        </w:rPr>
      </w:pPr>
    </w:p>
    <w:p>
      <w:pPr>
        <w:ind w:left="340" w:right="38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for more information on our equity compensation programs and share repurchase program and Note 17,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for earnings per share weighted-average share information.</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interest rate swaps no longer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40"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152"/>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center"/>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220"/>
              <w:spacing w:after="0"/>
              <w:rPr>
                <w:sz w:val="20"/>
                <w:szCs w:val="20"/>
                <w:color w:val="auto"/>
              </w:rPr>
            </w:pPr>
            <w:r>
              <w:rPr>
                <w:rFonts w:ascii="Arial" w:cs="Arial" w:eastAsia="Arial" w:hAnsi="Arial"/>
                <w:sz w:val="18"/>
                <w:szCs w:val="18"/>
                <w:color w:val="auto"/>
              </w:rPr>
              <w:t>Latin America</w:t>
            </w:r>
          </w:p>
        </w:tc>
        <w:tc>
          <w:tcPr>
            <w:tcW w:w="21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AMEA</w:t>
            </w:r>
          </w:p>
        </w:tc>
        <w:tc>
          <w:tcPr>
            <w:tcW w:w="1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63"/>
        </w:trPr>
        <w:tc>
          <w:tcPr>
            <w:tcW w:w="4860" w:type="dxa"/>
            <w:vAlign w:val="bottom"/>
          </w:tcPr>
          <w:p>
            <w:pPr>
              <w:ind w:left="220"/>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14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7,108</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6,885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44"/>
        </w:trPr>
        <w:tc>
          <w:tcPr>
            <w:tcW w:w="48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140" w:type="dxa"/>
            <w:vAlign w:val="bottom"/>
          </w:tcPr>
          <w:p>
            <w:pPr>
              <w:spacing w:after="0"/>
              <w:rPr>
                <w:sz w:val="21"/>
                <w:szCs w:val="21"/>
                <w:color w:val="auto"/>
              </w:rPr>
            </w:pPr>
          </w:p>
        </w:tc>
        <w:tc>
          <w:tcPr>
            <w:tcW w:w="1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25,868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152"/>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center"/>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2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63"/>
        </w:trPr>
        <w:tc>
          <w:tcPr>
            <w:tcW w:w="4860" w:type="dxa"/>
            <w:vAlign w:val="bottom"/>
          </w:tcPr>
          <w:p>
            <w:pPr>
              <w:ind w:left="380"/>
              <w:spacing w:after="0"/>
              <w:rPr>
                <w:sz w:val="20"/>
                <w:szCs w:val="20"/>
                <w:color w:val="auto"/>
              </w:rPr>
            </w:pPr>
            <w:r>
              <w:rPr>
                <w:rFonts w:ascii="Arial" w:cs="Arial" w:eastAsia="Arial" w:hAnsi="Arial"/>
                <w:sz w:val="18"/>
                <w:szCs w:val="18"/>
                <w:color w:val="auto"/>
              </w:rPr>
              <w:t>AMEA</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63"/>
        </w:trPr>
        <w:tc>
          <w:tcPr>
            <w:tcW w:w="48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35"/>
        </w:trPr>
        <w:tc>
          <w:tcPr>
            <w:tcW w:w="4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1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1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3"/>
        </w:trPr>
        <w:tc>
          <w:tcPr>
            <w:tcW w:w="48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63"/>
        </w:trPr>
        <w:tc>
          <w:tcPr>
            <w:tcW w:w="4860" w:type="dxa"/>
            <w:vAlign w:val="bottom"/>
          </w:tcPr>
          <w:p>
            <w:pPr>
              <w:ind w:left="380"/>
              <w:spacing w:after="0"/>
              <w:rPr>
                <w:sz w:val="20"/>
                <w:szCs w:val="20"/>
                <w:color w:val="auto"/>
              </w:rPr>
            </w:pPr>
            <w:r>
              <w:rPr>
                <w:rFonts w:ascii="Arial" w:cs="Arial" w:eastAsia="Arial" w:hAnsi="Arial"/>
                <w:sz w:val="18"/>
                <w:szCs w:val="18"/>
                <w:color w:val="auto"/>
              </w:rPr>
              <w:t>Net gains on divestitures</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114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3,843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1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11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96"/>
              <w:spacing w:after="0"/>
              <w:rPr>
                <w:sz w:val="20"/>
                <w:szCs w:val="20"/>
                <w:color w:val="auto"/>
              </w:rPr>
            </w:pPr>
            <w:r>
              <w:rPr>
                <w:rFonts w:ascii="Arial" w:cs="Arial" w:eastAsia="Arial" w:hAnsi="Arial"/>
                <w:sz w:val="18"/>
                <w:szCs w:val="18"/>
                <w:color w:val="auto"/>
              </w:rPr>
              <w:t>44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8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4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3,018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3,202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189"/>
        </w:trPr>
        <w:tc>
          <w:tcPr>
            <w:tcW w:w="4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4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3,566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410</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564</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revenues decreased $ 184 million (5.7%), due to unfavorable currency (13.5 pp) and unfavorable volume/mix (2.1 pp), partially offset by higher net pricing (9.9 pp). Unfavorable currency impacts were due primarily to the strength of the U.S. dollar relative to most currencies in the region including the Argentinean peso and Brazilian real. Unfavorable volume/mix was due to the impact of pricing-related elasticity, and was driven by declines in refreshment beverages, candy, cheese &amp; grocery and chocolate, partially offset by gains in biscuits and gum. Higher net pricing was reflected across all categories, driven primarily by Argentina, Brazil and Mexico.</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Segment operating income decreased $69 million (16.8%), primarily due to higher raw material costs, unfavorable currency, unfavorable volume/mix, the lapping of the 2018 benefit from the resolution of a Brazilian indirect tax matter of $26 million, higher manufacturing costs and higher other selling, general and administrative expenses (including lapping the benefit from a VAT-related settlement in 2018 and the expense of a VAT-related settlement in 2019). These unfavorable items were partially offset by higher net pricing, lower costs incurred for the Simplify to Grow Program, favorable change in remeasurement on net monetary position in Argentina (remeasurement gain in 2019 as compared to a remeasurement loss in 2018) and lower advertising and consumer promotion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revenues decreased $ 364 million (10.2%), due to unfavorable currency (13.8 pp) and unfavorable volume/mix (2.6 pp), partially offset by higher net pricing (6.2 pp). Unfavorable currency impacts were due primarily to the strength of the U.S. dollar relative to most currencies in the region including the Argentinean peso, Brazilian real and Mexican peso. Unfavorable volume/mix was due primarily to the impact of pricing-related elasticity, as well as in part due to the negative impact of the Brazil trucking strike that occurred in the second quarter. Unfavorable volume/mix was driven by declines in all categories except biscuits. Higher net pricing was reflected across all categories, driven primarily by Argentina, Mexico and Brazil.</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Segment operating income decreased $154 million (27.3%), primarily due to lapping last year's benefit from the resolution of a Brazilian indirect tax matter of $ 153 million, higher raw material costs, unfavorable currency, higher other selling, general and administrative expenses (net of the benefit from a VAT-related settlement in 2018), unfavorable volume/mix and a loss from the remeasurement of the net monetary position in Argentina. These unfavorable items were partially offset by higher net pricing, lower manufacturing costs, the 2018 benefit from the resolution of a Brazilian tax matter of $26 million, lower advertising and consumer promotion costs, lower costs incurred for the Simplify to Grow Program and the lapping of the 2017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5,729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691</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702</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89"/>
        </w:trPr>
        <w:tc>
          <w:tcPr>
            <w:tcW w:w="4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4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5,729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5,739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702</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514</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36.6 %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$ 41 million (0.7%), due to favorable volume/mix (3.6 pp) and higher net pricing (1.7 pp), mostly offset by unfavorable currency (3.3 pp) and the impact of a divestiture (1.3 pp). Favorable volume/mix was driven by gains across all categories except refreshment beverages and candy. Higher net pricing was reflected across all categories. Unfavorable currency impacts were due to the strength of the U.S. dollar relative to several currencies in the region, including the Australian dollar, Chinese yuan, Indian rupee and South African rand. The divestiture of most of our cheese business in the Middle East and Africa on May 28, 2019, resulted in a year-over-year decline in net revenues of $71 million.</w:t>
      </w:r>
    </w:p>
    <w:p>
      <w:pPr>
        <w:spacing w:after="0" w:line="20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Segment operating income decreased $11 million (1.6%), primarily due to higher raw material costs, expenses from the resolution of tax matters in India totaling $ 87 million, higher advertising and consumer promotion costs, unfavorable currency, higher other selling, general and administrative expenses, the impact of the divestiture and higher intangible asset impairment charges. These unfavorable items were partially offset by lower manufacturing costs, higher net pricing, lower costs incurred for the Simplify to Grow Program and favorable volume/mix.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revenues decreased $ 10 million (0.2%), due to the impact of divestitures (2.6 pp) and unfavorable currency (1.3 pp), partially offset by favorable volume/mix (2.2 pp) and higher net pricing (1.5 pp). The impact of divestitures related to most of our cheese business in the Middle East and Africa on May 28, 2019, the grocery &amp; cheese business in Australia and New Zealand that was divested on July 4, 2017 and the confectionery business in Japan that was divested on December 28, 2017, and resulted in a year-over-year decline in net revenues of $139 million for 2018. Unfavorable currency impacts were due primarily to the strength of the U.S. dollar relative to several currencies in the region, including the Indian rupee, Australian dollar and Philippine peso, partially offset by the strength of several currencies in the region relative to the U.S. dollar, including the Chinese yuan and Japanese yen. Favorable volume/mix was driven by gains in chocolate and biscuits, including the shift of volume into the first quarter of 2018 due to the timing of Chinese New Year, partially offset by declines in refreshment beverages, cheese &amp; grocery, gum and candy. Higher net pricing was reflected across all categories except gum and candy.</w:t>
      </w: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Segment operating income increased $188 million (36.6%), primarily due to higher net pricing, lower costs incurred for the Simplify to Grow Program, lower manufacturing costs, lower intangible asset impairment charges, lower advertising and consumer promotion costs and favorable volume/mix. These favorable items were partially offset by higher raw material costs, the impact of divestitures, unfavorable currency and higher other selling, general and administrative expenses (net of prior-year property insurance recovery).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65"/>
        </w:trPr>
        <w:tc>
          <w:tcPr>
            <w:tcW w:w="46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198"/>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3"/>
        </w:trPr>
        <w:tc>
          <w:tcPr>
            <w:tcW w:w="4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9,972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10,122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1,732</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1,734</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189"/>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10,122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9,794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1,734</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1,610</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revenues decreased $150 million (1.5%), due to unfavorable currency (5.2 pp), partially offset by favorable volume/mix (3.7 pp), as net pricing was flat. Unfavorable currency impacts reflected the strength of the U.S. dollar relative to most currencies in the region, primarily the euro, British pound sterling, Turkish lira and Swedish krona. Favorable volume/mix was driven by gains across all categories except gum. Net pricing was flat as higher net pricing in gum and candy was offset by lower net pricing in all other categories.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Segment operating income decreased $2 million (0.1%), primarily due to unfavorable currency, higher raw material costs and higher advertising and consumer promotion costs. These unfavorable items were mostly offset by favorable volume/mix, lower manufacturing costs and lower intangible asset impairment charges.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$328 million (3.3%), due to favorable volume/mix (3.1 pp) and favorable currency (2.3 pp), partially offset by the impact of divestitures (1.5 pp) and lower net pricing (0.6 pp). Favorable volume/mix was driven by chocolate, biscuits and candy, partially offset by declines in cheese &amp; grocery, gum and refreshment beverages. Favorable currency impacts reflected the strength of several currencies relative to the U.S. dollar, primarily the euro, British pound sterling, Polish zloty and Czech koruna, partially offset by the strength of the U.S. dollar relative to several currencies, primarily the Russian ruble and Turkish lira. The impact of divestitures, due to the sale of a confectionery business in France and the termination of certain Kraft Heinz Company-owned grocery brand licenses, resulted in a year-over-year decline in net revenues of $137 million for 2018. Lower net pricing was driven by chocolate and biscuits, partially offset by higher net pricing in cheese &amp; grocery, candy and gum.</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Segment operating income increased $124 million (7.7%), primarily due to favorable volume/mix, lower manufacturing costs, lower costs incurred for the Simplify to Grow Program, favorable currency, lower raw material costs, lower divestiture-related costs and the lapping of prior-year malware incident incremental costs. These favorable items were partially offset by higher advertising and consumer promotion costs, higher other selling, general and administrative expenses, lower net pricing, lapping the prior-year benefit from the settlement of a Cadbury tax matter, higher intangible asset impairment charges and the impact from divestitures.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7,108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6,885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1,451</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849</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70.9 %</w:t>
            </w:r>
          </w:p>
        </w:tc>
      </w:tr>
      <w:tr>
        <w:trPr>
          <w:trHeight w:val="189"/>
        </w:trPr>
        <w:tc>
          <w:tcPr>
            <w:tcW w:w="4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4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6,885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6,797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1,144</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Net revenues increased $ 223 million (3.2%), due to higher net pricing (2.3 pp) and the impact of acquisitions (1.3 pp), partially offset by unfavorable currency (0.3 pp) and unfavorable volume/mix (0.1 pp). Higher net pricing was reflected across all categories except chocolate. The July 16, 2019 acquisition of a majority interest in Perfect Snacks added net revenues of $53 million and the June 7, 2018 acquisition of Tate’s Bake Shop added incremental net revenues of $35 million in 2019. Unfavorable currency impact was due to the strength of the U.S. dollar relative to the Canadian dollar. Unfavorable volume/mix was driven by declines in gum, chocolate and candy, mostly offset by favorable volume/mix in biscuits.</w:t>
      </w:r>
    </w:p>
    <w:p>
      <w:pPr>
        <w:spacing w:after="0" w:line="20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Segment operating income increased $602 million (70.9%), primarily due to lapping prior-year pension participation changes, higher net pricing, lower manufacturing costs, lower costs incurred for the Simplify to Grow Program, benefit from current-year pension participation changes, lapping prior-year intangible asset impairment charges and the impact from the acquisitions of Perfect Snacks and Tate's Bake Shop. These favorable items were partially offset by higher raw material costs, higher other selling, general and administrative expenses and unfavorable volume/mix.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increased $88 million (1.3%), due to higher net pricing (1.1 pp) and the impact of an acquisition (0.8 pp), partially offset by unfavorable volume/mix (0.5 pp) and unfavorable currency (0.1 pp). Higher net pricing was reflected in biscuits and gum, partially offset by lower net pricing in chocolate and candy. The June 7, 2018 acquisition of a U.S. premium biscuit company, Tate’s Bake Shop, added net revenues of $52 million in 2018. Unfavorable volume/mix, which was net of the benefit from lapping last year's negative impact from the 2017 malware incident, reflected declines in gum and chocolate, partially offset by gains in biscuits and candy. Unfavorable currency impact was due to the strength of the U.S. dollar relative to the Canadian dollar.</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Segment operating income decreased $295 million (25.8%), primarily due to the impact from pension participation changes, higher manufacturing costs, unfavorable volume/mix, higher raw material costs and higher other selling, general and administrative expenses. These unfavorable items were partially offset by lower advertising and consumer promotion costs, higher net pricing, the lapping of prior-year malware incident incremental costs, lower costs incurred for the Simplify to Grow Program, lower intangible asset impairment charges and the impact from the acquisition of Tate's Bake Shop.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r>
        <w:rPr>
          <w:rFonts w:ascii="Arial" w:cs="Arial" w:eastAsia="Arial" w:hAnsi="Arial"/>
          <w:sz w:val="18"/>
          <w:szCs w:val="18"/>
          <w:color w:val="auto"/>
        </w:rPr>
        <w:t>:</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test goodwill and non-amortizable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5.9% to discount the projected cash flows of those operations. For our Latin America and AMEA reporting units, we used a risk-rated discount rate of 8.9%.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recognize an impairment charge for the amount by which the carrying value exceeds the reporting unit fair value.</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2019, 2018 and 2017, there were no impairments of goodwill. In connection with our 2019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estimated fair value, the asset is impaired and its carrying value is reduced to the estimated fair value.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our 2019 annual testing of non-amortizable intangible assets, we recorded $57 million of impairment charges in the third quarter of 2019 related to nine brands. The impairments arose due to lower than expected brand earnings growth. We recorded charges related to gum, chocolate, biscuits and candy brands of $39 million in Europe, $15 million in AMEA and $3 million in Latin America. The impairment charges were calculated as the excess of the carrying value over the estimated fair value of the intangible assets on a global basis and were recorded within asset impairment and exit costs. We use several accepted valuation methods, including relief of royalty, excess earnings and excess margin, that utilize estimates of future sales, earnings growth rates, royalty rates and discount rates in determining a brand's global fair value. We also identified fourteen brands, including the nine impaired brands, with $635 million of aggregate book value as of December 31, 2019 that each had a fair value in excess of book value of 10% or less.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 In 2018, we recorded charges related to gum, chocolate, biscuits and candy brands of $45 million in Europe, $ 14 million in North America and $9 million in AMEA. In 2017, we recorded charges related to candy and gum brands of $52 million in AMEA, $11 million in Europe, $5 million in Latin America and $2 million in North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0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11, </w:t>
      </w:r>
      <w:r>
        <w:rPr>
          <w:rFonts w:ascii="Arial" w:cs="Arial" w:eastAsia="Arial" w:hAnsi="Arial"/>
          <w:sz w:val="18"/>
          <w:szCs w:val="18"/>
          <w:i w:val="1"/>
          <w:iCs w:val="1"/>
          <w:color w:val="auto"/>
        </w:rPr>
        <w:t>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to the consolidated financial statements.</w:t>
      </w:r>
    </w:p>
    <w:p>
      <w:pPr>
        <w:spacing w:after="0" w:line="20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While we do not anticipate further changes in the 2020 assumptions for our U.S. and non-U.S. pension and postretirement health care plans, as a sensitivity measure, a fifty-basis point change in our discount rates or the expected rate of return on plan assets would have the following effects, increase/(decrease), on our annual benefit plan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center"/>
              <w:ind w:right="279"/>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49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11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Non-U.S. Plans</w:t>
            </w:r>
          </w:p>
        </w:tc>
      </w:tr>
      <w:tr>
        <w:trPr>
          <w:trHeight w:val="250"/>
        </w:trPr>
        <w:tc>
          <w:tcPr>
            <w:tcW w:w="4920" w:type="dxa"/>
            <w:vAlign w:val="bottom"/>
          </w:tcPr>
          <w:p>
            <w:pPr>
              <w:spacing w:after="0"/>
              <w:rPr>
                <w:sz w:val="21"/>
                <w:szCs w:val="21"/>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Fifty-Basis-Point</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Fifty-Basis-Point</w:t>
            </w:r>
          </w:p>
        </w:tc>
      </w:tr>
      <w:tr>
        <w:trPr>
          <w:trHeight w:val="264"/>
        </w:trPr>
        <w:tc>
          <w:tcPr>
            <w:tcW w:w="49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w:t>
            </w: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Decrease</w:t>
            </w:r>
          </w:p>
        </w:tc>
      </w:tr>
      <w:tr>
        <w:trPr>
          <w:trHeight w:val="237"/>
        </w:trPr>
        <w:tc>
          <w:tcPr>
            <w:tcW w:w="4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 in discount rate on</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costs</w:t>
            </w:r>
          </w:p>
        </w:tc>
        <w:tc>
          <w:tcPr>
            <w:tcW w:w="108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Effect of change in expected rate of return on</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4920" w:type="dxa"/>
            <w:vAlign w:val="bottom"/>
          </w:tcPr>
          <w:p>
            <w:pPr>
              <w:ind w:left="180"/>
              <w:spacing w:after="0"/>
              <w:rPr>
                <w:sz w:val="20"/>
                <w:szCs w:val="20"/>
                <w:color w:val="auto"/>
              </w:rPr>
            </w:pPr>
            <w:r>
              <w:rPr>
                <w:rFonts w:ascii="Arial" w:cs="Arial" w:eastAsia="Arial" w:hAnsi="Arial"/>
                <w:sz w:val="18"/>
                <w:szCs w:val="18"/>
                <w:color w:val="auto"/>
              </w:rPr>
              <w:t>plan assets on pension costs</w:t>
            </w:r>
          </w:p>
        </w:tc>
        <w:tc>
          <w:tcPr>
            <w:tcW w:w="1080" w:type="dxa"/>
            <w:vAlign w:val="bottom"/>
          </w:tcPr>
          <w:p>
            <w:pPr>
              <w:spacing w:after="0"/>
              <w:rPr>
                <w:sz w:val="19"/>
                <w:szCs w:val="19"/>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35"/>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 in discount rate on</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health care costs</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accordance with obligations we have under collective bargaining agreements, we participate in multiemployer pension plans. In 2017, the only individually significant multiemployer plan we contributed to was the Bakery and Confectionery Union and Industry International Pension Fund. Our obligation to contribute to the Fund arose with respect to 8 collective bargaining agreements covering most of our employees represented by the BCTGM. All of those collective bargaining agreements expired in 2016. In 2018, we executed a complete withdrawal from the Fund and recorded a $429 million estimated withdrawal liability. On July 11, 2019, we received an undiscounted withdrawal liability assessment from the Fund totaling $ 526 million requiring pro-rata monthly payments over 20 years and we recorded a $35 million final adjustment to reduce our withdrawal liability as of June 30, 2019. We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began making monthly payments during the third quarter of 2019. As of December 31, 2019, the remaining discounted withdrawal liability was $391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additional information on our employee benefit plans in Note 11,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 and historical income tax provisions. The outcome of these final determinations could have a material effect on our provision for income taxes, net earnings or cash flows in the period in which the determination is made.</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As a result of Swiss and U.S. tax reform and the related SEC guidance, we finalized our accounting for the legislation based on guidance issued prior to 2019 year end. 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amounts recorded related to Swiss and U.S. tax reform in our financial statements, as well as additional information on our effective tax rate, current and deferred taxes, valuation allowances and unrecognized tax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provide sufficient liquidity for our working capital needs, planned capital expenditures and future payments of our U.S. tax reform transition tax liability, contractual and benefit plan obligations, share repurchases and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Operating activities provided net cash of $3,965 million in 2019, $3,948 million in 2018 and $2,593 million in 2017. The increase in net cash provided by operating activities in 2019 relative to 2018 was due primarily to higher earnings, increased distributions from equity method investments and lower pension contributions, partially offset by increased working capital requirements including higher tax payments. Cash flows from operating activities were higher in 2018 than 2017 primarily due to higher cash flow from working capital, higher net earnings as well as lower pension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investing activities was $960 million in 2019, $ 1,224 million in 2018 and $301 million in 2017. The decrease in net cash used in investing activities in 2019 relative to 2018 was primarily due to less cash expended for acquisitions in 2019 than in 2018, lower capital expenditures and the 2019 cash proceeds from the divestiture of primarily our cheese business in the Middle East and Africa, partially offset by lower cash received as a result of the settlement and replacement of several net investment hedge derivative contracts and cash paid to settle our forward-starting interest rate swaps. The increase in net cash used in investing activities in 2018 relative to 2017 was primarily due to cash received in 2017 from proceeds from divestitures, cash expenditures in 2018 for an acquisition and higher capital expenditures in 2018, partially offset by cash received as a result of the settlement and replacement of several net investment hedge derivative contracts.</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Capital expenditures were $925 million in 2019, $1,095 million in 2018 and $ 1,014 million in 2017. We continue to make capital expenditures primarily to modernize manufacturing facilities and support new product and productivity initiatives. We expect 2020 capital expenditures to be up to $0.9 billion, including capital expenditures in connection with our Simplify to Grow Program. We expect to continue to fund these expenditures from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financing activities was $ 2,787 million in 2019, $2,329 million in 2018 and $3,361 million in 2017. The increase in net cash used in financing activities in 2019 relative to 2018 was primarily due to lower net debt issuances and higher dividends paid in 2019, partially offset by lower share repurchases. The decrease in net cash used in financing activities in 2018 relative to 2017 was primarily due to higher net debt issuances and lower share repurchases partially offset by higher dividends paid.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recent tender offers, debt issuances and maturities.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19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One of our subsidiaries, Mondelez International Holdings Netherlands B.V. (“MIHN”), has outstanding debt. Refer to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The operations held by MIHN generated approximately 73.0% (or $18.9 billion) of the $25.9 billion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 during fiscal year 2019 and represented approximately 87.2% (or $23.9 billion) of the $27.4 billion of net assets as of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February 7, 2019, our Board of Directors approved a new $5.0 billion long-term financing authority to replace the prior $5.0 billion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$1.8 billion of long-term financing authority remaining.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next 12 months, we expect approximately $1.5 billion of long-term debt will mature as follows: $427 million in February 2020, $233 million in March 2020, $750 million in May 2020 and $140 million in October 2020. We expect to fund these repayments with a combination of cash from operations, short-term debt, including issuance of commercial paper and long-term debt.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total debt was $ 18.4 billion at December 31, 2019 and $18.4 billion at December 31, 2018. Our debt-to-capitalization ratio was 0.40 at December 31, 2019 and 0.42 at December 31, 2018. At December 31, 2019, the weighted-average term of our outstanding long-term debt was 5.8 years. Our average daily commercial borrowings were $4.1 billion in 2019, $4.5 billion in 2018 and $4.4 billion in 2017. We had $2.6 billion of commercial paper borrowings outstanding at December 31, 2019 and $3.1 billion outstanding as of December 31, 2018. We expect to continue to use commercial paper to finance various short-term financing needs. We continue to comply with our debt covenants.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2019, the primary drivers of the increase in our aggregate commodity costs were higher currency exchange transaction costs on imported materials, as well as increased costs for packaging, energy, dairy, grains, cocoa and oils, partially offset by lower costs for sugar and nuts.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expect price volatility and a higher aggregate cost environment to continue in 2020.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arrangements other than the contractual obligations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As discussed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December 31, 2019, we had no material third-party guarantees recorded on our consolidated balance sheet.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Guarantees do not have, and we do not expect them to have, a material effect on our liquidity.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0"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Payments Due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34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2021-22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2023-24</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 and Thereafter</w:t>
            </w:r>
          </w:p>
        </w:tc>
      </w:tr>
      <w:tr>
        <w:trPr>
          <w:trHeight w:val="237"/>
        </w:trPr>
        <w:tc>
          <w:tcPr>
            <w:tcW w:w="3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5,520</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3460" w:type="dxa"/>
            <w:vAlign w:val="bottom"/>
          </w:tcPr>
          <w:p>
            <w:pPr>
              <w:ind w:left="180"/>
              <w:spacing w:after="0"/>
              <w:rPr>
                <w:sz w:val="20"/>
                <w:szCs w:val="20"/>
                <w:color w:val="auto"/>
              </w:rPr>
            </w:pPr>
            <w:r>
              <w:rPr>
                <w:rFonts w:ascii="Arial" w:cs="Arial" w:eastAsia="Arial" w:hAnsi="Arial"/>
                <w:sz w:val="18"/>
                <w:szCs w:val="18"/>
                <w:color w:val="auto"/>
              </w:rPr>
              <w:t>Inventory and production costs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0"/>
        </w:trPr>
        <w:tc>
          <w:tcPr>
            <w:tcW w:w="3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7,714</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tax reform transition liability </w:t>
            </w:r>
            <w:r>
              <w:rPr>
                <w:rFonts w:ascii="Arial" w:cs="Arial" w:eastAsia="Arial" w:hAnsi="Arial"/>
                <w:sz w:val="21"/>
                <w:szCs w:val="21"/>
                <w:color w:val="auto"/>
                <w:vertAlign w:val="superscript"/>
              </w:rPr>
              <w:t>(5)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26"/>
        </w:trPr>
        <w:tc>
          <w:tcPr>
            <w:tcW w:w="3460" w:type="dxa"/>
            <w:vAlign w:val="bottom"/>
          </w:tcPr>
          <w:p>
            <w:pPr>
              <w:ind w:left="40"/>
              <w:spacing w:after="0"/>
              <w:rPr>
                <w:sz w:val="20"/>
                <w:szCs w:val="20"/>
                <w:color w:val="auto"/>
              </w:rPr>
            </w:pPr>
            <w:r>
              <w:rPr>
                <w:rFonts w:ascii="Arial" w:cs="Arial" w:eastAsia="Arial" w:hAnsi="Arial"/>
                <w:sz w:val="18"/>
                <w:szCs w:val="18"/>
                <w:color w:val="auto"/>
              </w:rPr>
              <w:t>Multiemployer pension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3460" w:type="dxa"/>
            <w:vAlign w:val="bottom"/>
          </w:tcPr>
          <w:p>
            <w:pPr>
              <w:ind w:left="180"/>
              <w:spacing w:after="0" w:line="233" w:lineRule="exact"/>
              <w:rPr>
                <w:sz w:val="20"/>
                <w:szCs w:val="20"/>
                <w:color w:val="auto"/>
              </w:rPr>
            </w:pPr>
            <w:r>
              <w:rPr>
                <w:rFonts w:ascii="Arial" w:cs="Arial" w:eastAsia="Arial" w:hAnsi="Arial"/>
                <w:sz w:val="18"/>
                <w:szCs w:val="18"/>
                <w:color w:val="auto"/>
              </w:rPr>
              <w:t xml:space="preserve">withdrawal liability </w:t>
            </w:r>
            <w:r>
              <w:rPr>
                <w:rFonts w:ascii="Arial" w:cs="Arial" w:eastAsia="Arial" w:hAnsi="Arial"/>
                <w:sz w:val="21"/>
                <w:szCs w:val="21"/>
                <w:color w:val="auto"/>
                <w:vertAlign w:val="superscript"/>
              </w:rPr>
              <w:t>(6)</w:t>
            </w: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1"/>
                <w:szCs w:val="21"/>
                <w:color w:val="auto"/>
                <w:vertAlign w:val="superscript"/>
              </w:rPr>
              <w:t>(7)</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4"/>
        </w:trPr>
        <w:tc>
          <w:tcPr>
            <w:tcW w:w="34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27,289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8,592</w:t>
            </w:r>
          </w:p>
        </w:tc>
      </w:tr>
      <w:tr>
        <w:trPr>
          <w:trHeight w:val="20"/>
        </w:trPr>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340" w:right="40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include the expected cash payments of our long-term debt, including the current portion and excluding finance leases, which are presented separately in the table above. The amounts also exclude $76 million of net unamortized non-cash bond premiums, discounts, bank fees and mark-to-market adjustments related to our interest rate swaps recorded in total debt.</w:t>
      </w:r>
    </w:p>
    <w:p>
      <w:pPr>
        <w:spacing w:after="0" w:line="1" w:lineRule="exact"/>
        <w:rPr>
          <w:rFonts w:ascii="Arial" w:cs="Arial" w:eastAsia="Arial" w:hAnsi="Arial"/>
          <w:sz w:val="16"/>
          <w:szCs w:val="16"/>
          <w:color w:val="auto"/>
        </w:rPr>
      </w:pPr>
    </w:p>
    <w:p>
      <w:pPr>
        <w:ind w:left="340" w:right="28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the expected cash payments of our interest expense on our long-term debt. Interest calculated on our non-U.S. dollar denominated debt was forecasted using currency exchange rates as of December 31, 2019.</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exclude imputed interest on finance leases of $11 million.</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Purchase obligations for inventory and production costs (such as raw materials, indirect materials and supplies, packaging, co-manufacturing arrangements, storage and distribution) are 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specifies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2" w:lineRule="exact"/>
        <w:rPr>
          <w:rFonts w:ascii="Arial" w:cs="Arial" w:eastAsia="Arial" w:hAnsi="Arial"/>
          <w:sz w:val="16"/>
          <w:szCs w:val="16"/>
          <w:color w:val="auto"/>
        </w:rPr>
      </w:pPr>
    </w:p>
    <w:p>
      <w:pPr>
        <w:ind w:left="340" w:right="32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connection with U.S. tax reform, we estimate paying a total $1.3 billion transition tax liability through 2026. As of December 31, 2019, the amount outstanding was $1.0 billion. The amounts and timing of our tax payments may change as a result of additional guidance issued. See Note 16,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for additional information on U.S. tax reform and its impact on our financial statements.</w:t>
      </w:r>
    </w:p>
    <w:p>
      <w:pPr>
        <w:spacing w:after="0" w:line="1" w:lineRule="exact"/>
        <w:rPr>
          <w:rFonts w:ascii="Arial" w:cs="Arial" w:eastAsia="Arial" w:hAnsi="Arial"/>
          <w:sz w:val="16"/>
          <w:szCs w:val="16"/>
          <w:color w:val="auto"/>
        </w:rPr>
      </w:pPr>
    </w:p>
    <w:p>
      <w:pPr>
        <w:jc w:val="both"/>
        <w:ind w:left="340" w:right="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During 2018, we executed a complete withdrawal liability from our most individually significant multiemployer pension plan. On July 11, 2019, we received an undiscounted withdrawal liability assessment from the Fund totaling $526 million requiring pro-rata monthly payments over 20 years through 2039. See Note 11, </w:t>
      </w:r>
      <w:r>
        <w:rPr>
          <w:rFonts w:ascii="Arial" w:cs="Arial" w:eastAsia="Arial" w:hAnsi="Arial"/>
          <w:sz w:val="16"/>
          <w:szCs w:val="16"/>
          <w:i w:val="1"/>
          <w:iCs w:val="1"/>
          <w:color w:val="auto"/>
        </w:rPr>
        <w:t>Benefit Plans,</w:t>
      </w:r>
      <w:r>
        <w:rPr>
          <w:rFonts w:ascii="Arial" w:cs="Arial" w:eastAsia="Arial" w:hAnsi="Arial"/>
          <w:sz w:val="16"/>
          <w:szCs w:val="16"/>
          <w:color w:val="auto"/>
        </w:rPr>
        <w:t xml:space="preserve"> for additional information on our multiemployer pension plan withdrawal liability.</w:t>
      </w:r>
    </w:p>
    <w:p>
      <w:pPr>
        <w:spacing w:after="0" w:line="1" w:lineRule="exact"/>
        <w:rPr>
          <w:rFonts w:ascii="Arial" w:cs="Arial" w:eastAsia="Arial" w:hAnsi="Arial"/>
          <w:sz w:val="16"/>
          <w:szCs w:val="16"/>
          <w:color w:val="auto"/>
        </w:rPr>
      </w:pPr>
    </w:p>
    <w:p>
      <w:pPr>
        <w:ind w:left="340" w:right="60" w:hanging="332"/>
        <w:spacing w:after="0" w:line="248"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long-term liabilities in the table above include the long-term liabilities and any current portion of these obligations. We have included the estimated future benefit payments for our postretirement health care plans through December 31, 2029 of $198 million. We are unable to reliably estimate the timing of the payments beyond 2029; as such, they are excluded from the above table. There are also another $1 million of various other long-term liabilities that are expected to be paid over the next 5 years. In addition, the following long-term liabilities included on the consolidated balance sheet are excluded from the table above: accrued pension costs, unrecognized tax benefits, insurance accruals and other accruals. As of December 31, 2019, our unrecognized tax benefit, including associated interest and penalties, classified as a long-term payable is $507 million. We currently expect to make approximately $246 million in contributions to our pension plans in 2020.</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0"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 Plans</w:t>
      </w:r>
      <w:r>
        <w:rPr>
          <w:rFonts w:ascii="Arial" w:cs="Arial" w:eastAsia="Arial" w:hAnsi="Arial"/>
          <w:sz w:val="18"/>
          <w:szCs w:val="18"/>
          <w:color w:val="auto"/>
        </w:rPr>
        <w:t>, to the consolidated financial statements for more information on our stock plans and grant activity during 2017-2019.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Capital Stock</w:t>
      </w:r>
      <w:r>
        <w:rPr>
          <w:rFonts w:ascii="Arial" w:cs="Arial" w:eastAsia="Arial" w:hAnsi="Arial"/>
          <w:sz w:val="18"/>
          <w:szCs w:val="18"/>
          <w:color w:val="auto"/>
        </w:rPr>
        <w:t>, to the consolidated financial statements for more information on our share repurchase program.</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Through December 31, 2019, we repurchased approximately $16.5 billion of shares ($1.5 billion in 2019, $2.0 billion in 2018, $2.2 billion in 2017, $2.6 billion in 2016, $3.6 billion in 2015, $1.9 billion in 2014 and $2.7 billion in 2013), at a weighted-average cost of $39.65 per share.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paid dividends of $1,542 million in 2019, $1,359 million in 2018 and $ 1,198 million in 2017. On July 30, 2019, the Finance Committee, with authorization delegated from our Board of Directors, declared a quarterly cash dividend of $0.285 per share of Class A Common Stock, an increase of 10 percent, which would be $1.14 per common share on an annualized basis. On July 25, 2018, the Finance Committee, with authorization delegated from our Board of Directors, declared a quarterly cash dividend of $0.26 per share of Class A Common Stock, an increase of 18 percent, which would be $1.04 per common share on an annualized basis. On August 2, 2017, the Finance Committee, with authorization delegated from our Board of Directors, approved a 16% increase in the quarterly dividend to $0.22 per common share or $0.88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U.S. income tax purposes only, the Company has determined that 100% of the distributions paid to its shareholders in 2019 are characterized as a qualified dividend paid from U.S. earnings and profits. Shareholders should consult their tax advisors for a full understanding of the tax consequences of the receipt of dividends.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10-K.</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spacing w:after="0" w:line="214" w:lineRule="auto"/>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and developed markets.</w:t>
      </w:r>
    </w:p>
    <w:p>
      <w:pPr>
        <w:ind w:left="1000" w:right="40" w:hanging="317"/>
        <w:spacing w:after="0" w:line="250"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2" w:lineRule="exact"/>
        <w:rPr>
          <w:rFonts w:ascii="Arial" w:cs="Arial" w:eastAsia="Arial" w:hAnsi="Arial"/>
          <w:sz w:val="18"/>
          <w:szCs w:val="18"/>
          <w:color w:val="auto"/>
        </w:rPr>
      </w:pPr>
    </w:p>
    <w:p>
      <w:pPr>
        <w:ind w:left="640" w:right="120" w:hanging="321"/>
        <w:spacing w:after="0" w:line="231"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“Adjusted Operating Income” is defined as operating income excluding the impacts of the Simplify to Grow Program </w:t>
      </w:r>
      <w:r>
        <w:rPr>
          <w:rFonts w:ascii="Arial" w:cs="Arial" w:eastAsia="Arial" w:hAnsi="Arial"/>
          <w:sz w:val="20"/>
          <w:szCs w:val="20"/>
          <w:color w:val="auto"/>
          <w:vertAlign w:val="superscript"/>
        </w:rPr>
        <w:t>(4)</w:t>
      </w:r>
      <w:r>
        <w:rPr>
          <w:rFonts w:ascii="Arial" w:cs="Arial" w:eastAsia="Arial" w:hAnsi="Arial"/>
          <w:sz w:val="17"/>
          <w:szCs w:val="17"/>
          <w:color w:val="auto"/>
        </w:rPr>
        <w:t xml:space="preserve">; gains or losses (including non-cash impairment charges) on goodwill and intangible assets; divestiture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or acquisition gains or losses and related divestiture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acquisition and integration costs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the operating results of divestitures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remeasurement of net monetary position </w:t>
      </w:r>
      <w:r>
        <w:rPr>
          <w:rFonts w:ascii="Arial" w:cs="Arial" w:eastAsia="Arial" w:hAnsi="Arial"/>
          <w:sz w:val="20"/>
          <w:szCs w:val="20"/>
          <w:color w:val="auto"/>
          <w:vertAlign w:val="superscript"/>
        </w:rPr>
        <w:t>(5)</w:t>
      </w:r>
      <w:r>
        <w:rPr>
          <w:rFonts w:ascii="Arial" w:cs="Arial" w:eastAsia="Arial" w:hAnsi="Arial"/>
          <w:sz w:val="17"/>
          <w:szCs w:val="17"/>
          <w:color w:val="auto"/>
        </w:rPr>
        <w:t xml:space="preserve">; mark-to-market impacts from commodity and forecasted currency transaction derivative contracts </w:t>
      </w:r>
      <w:r>
        <w:rPr>
          <w:rFonts w:ascii="Arial" w:cs="Arial" w:eastAsia="Arial" w:hAnsi="Arial"/>
          <w:sz w:val="20"/>
          <w:szCs w:val="20"/>
          <w:color w:val="auto"/>
          <w:vertAlign w:val="superscript"/>
        </w:rPr>
        <w:t>(6)</w:t>
      </w:r>
      <w:r>
        <w:rPr>
          <w:rFonts w:ascii="Arial" w:cs="Arial" w:eastAsia="Arial" w:hAnsi="Arial"/>
          <w:sz w:val="17"/>
          <w:szCs w:val="17"/>
          <w:color w:val="auto"/>
        </w:rPr>
        <w:t xml:space="preserve">; impact from resolution of tax matters </w:t>
      </w:r>
      <w:r>
        <w:rPr>
          <w:rFonts w:ascii="Arial" w:cs="Arial" w:eastAsia="Arial" w:hAnsi="Arial"/>
          <w:sz w:val="20"/>
          <w:szCs w:val="20"/>
          <w:color w:val="auto"/>
          <w:vertAlign w:val="superscript"/>
        </w:rPr>
        <w:t>(7)</w:t>
      </w:r>
      <w:r>
        <w:rPr>
          <w:rFonts w:ascii="Arial" w:cs="Arial" w:eastAsia="Arial" w:hAnsi="Arial"/>
          <w:sz w:val="17"/>
          <w:szCs w:val="17"/>
          <w:color w:val="auto"/>
        </w:rPr>
        <w:t xml:space="preserve">; CEO transition remuneration </w:t>
      </w:r>
      <w:r>
        <w:rPr>
          <w:rFonts w:ascii="Arial" w:cs="Arial" w:eastAsia="Arial" w:hAnsi="Arial"/>
          <w:sz w:val="20"/>
          <w:szCs w:val="20"/>
          <w:color w:val="auto"/>
          <w:vertAlign w:val="superscript"/>
        </w:rPr>
        <w:t>(8)</w:t>
      </w:r>
      <w:r>
        <w:rPr>
          <w:rFonts w:ascii="Arial" w:cs="Arial" w:eastAsia="Arial" w:hAnsi="Arial"/>
          <w:sz w:val="17"/>
          <w:szCs w:val="17"/>
          <w:color w:val="auto"/>
        </w:rPr>
        <w:t xml:space="preserve">; impact from pension participation changes </w:t>
      </w:r>
      <w:r>
        <w:rPr>
          <w:rFonts w:ascii="Arial" w:cs="Arial" w:eastAsia="Arial" w:hAnsi="Arial"/>
          <w:sz w:val="20"/>
          <w:szCs w:val="20"/>
          <w:color w:val="auto"/>
          <w:vertAlign w:val="superscript"/>
        </w:rPr>
        <w:t>(9)</w:t>
      </w:r>
      <w:r>
        <w:rPr>
          <w:rFonts w:ascii="Arial" w:cs="Arial" w:eastAsia="Arial" w:hAnsi="Arial"/>
          <w:sz w:val="17"/>
          <w:szCs w:val="17"/>
          <w:color w:val="auto"/>
        </w:rPr>
        <w:t xml:space="preserve">; Swiss tax reform impacts </w:t>
      </w:r>
      <w:r>
        <w:rPr>
          <w:rFonts w:ascii="Arial" w:cs="Arial" w:eastAsia="Arial" w:hAnsi="Arial"/>
          <w:sz w:val="20"/>
          <w:szCs w:val="20"/>
          <w:color w:val="auto"/>
          <w:vertAlign w:val="superscript"/>
        </w:rPr>
        <w:t>(10)</w:t>
      </w:r>
      <w:r>
        <w:rPr>
          <w:rFonts w:ascii="Arial" w:cs="Arial" w:eastAsia="Arial" w:hAnsi="Arial"/>
          <w:sz w:val="17"/>
          <w:szCs w:val="17"/>
          <w:color w:val="auto"/>
        </w:rPr>
        <w:t>; and incremental expenses related to the 2017 malware incident. We also present “Adjusted Operating Income margin,” which is subject to the same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adjustments as Adjusted Operating Income. We also evaluate growth in our Adjusted Operating Income on a constant currency basis</w:t>
      </w:r>
    </w:p>
    <w:p>
      <w:pPr>
        <w:ind w:left="640"/>
        <w:spacing w:after="0" w:line="180" w:lineRule="auto"/>
        <w:rPr>
          <w:sz w:val="20"/>
          <w:szCs w:val="20"/>
          <w:color w:val="auto"/>
        </w:rPr>
      </w:pPr>
      <w:r>
        <w:rPr>
          <w:rFonts w:ascii="Arial" w:cs="Arial" w:eastAsia="Arial" w:hAnsi="Arial"/>
          <w:sz w:val="9"/>
          <w:szCs w:val="9"/>
          <w:color w:val="auto"/>
        </w:rPr>
        <w:t>(3)</w:t>
      </w:r>
      <w:r>
        <w:rPr>
          <w:rFonts w:ascii="Arial" w:cs="Arial" w:eastAsia="Arial" w:hAnsi="Arial"/>
          <w:sz w:val="26"/>
          <w:szCs w:val="26"/>
          <w:color w:val="auto"/>
          <w:vertAlign w:val="subscript"/>
        </w:rPr>
        <w:t>.</w:t>
      </w:r>
    </w:p>
    <w:p>
      <w:pPr>
        <w:spacing w:after="0" w:line="1" w:lineRule="exact"/>
        <w:rPr>
          <w:sz w:val="20"/>
          <w:szCs w:val="20"/>
          <w:color w:val="auto"/>
        </w:rPr>
      </w:pPr>
    </w:p>
    <w:p>
      <w:pPr>
        <w:ind w:left="640" w:right="40" w:hanging="321"/>
        <w:spacing w:after="0" w:line="241" w:lineRule="auto"/>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340" w:right="22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When items no longer impact our current or future presentation of non-GAAP operating results, we remove these items from our non-GAAP definitions. During 2019, we added to the non-GAAP definitions the exclusion of the impact from Swiss tax reform as described in footnote (10) below. During 2018, we added to the non-GAAP definitions the exclusion of: remeasurement gains or losses related to remeasuring net monetary assets or liabilities in Argentina (see footnote (5) below) and the impact from pension participation changes (see footnote (9) below).</w:t>
      </w:r>
    </w:p>
    <w:p>
      <w:pPr>
        <w:spacing w:after="0" w:line="1" w:lineRule="exact"/>
        <w:rPr>
          <w:rFonts w:ascii="Arial" w:cs="Arial" w:eastAsia="Arial" w:hAnsi="Arial"/>
          <w:sz w:val="16"/>
          <w:szCs w:val="16"/>
          <w:color w:val="auto"/>
        </w:rPr>
      </w:pPr>
    </w:p>
    <w:p>
      <w:pPr>
        <w:ind w:left="340" w:right="62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Divestitures include completed sales of businesses and exits of major product lines upon completion of a sale or licensing agreement. See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information on divestitures and acquisitions impacting the comparability of our results.</w:t>
      </w:r>
    </w:p>
    <w:p>
      <w:pPr>
        <w:ind w:left="340" w:right="300" w:hanging="332"/>
        <w:spacing w:after="0" w:line="25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7" w:lineRule="exact"/>
        <w:rPr>
          <w:sz w:val="20"/>
          <w:szCs w:val="20"/>
          <w:color w:val="auto"/>
        </w:rPr>
      </w:pPr>
    </w:p>
    <w:p>
      <w:pPr>
        <w:ind w:left="340" w:right="1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340" w:right="1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During the third quarter of 2018, as we began to apply highly inflationary accounting for Argentina (refer to Note 1,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we excluded the remeasurement gains or losses related to remeasuring net monetary assets or liabilities in Argentina to be consistent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prior accounting for these remeasurement gains/losses for Venezuela when it was subject to highly inflationary accounting prior to 2016.</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See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additional information.</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w:t>
      </w:r>
    </w:p>
    <w:p>
      <w:pPr>
        <w:spacing w:after="0" w:line="5" w:lineRule="exact"/>
        <w:rPr>
          <w:rFonts w:ascii="Arial" w:cs="Arial" w:eastAsia="Arial" w:hAnsi="Arial"/>
          <w:sz w:val="16"/>
          <w:szCs w:val="16"/>
          <w:color w:val="auto"/>
        </w:rPr>
      </w:pPr>
    </w:p>
    <w:p>
      <w:pPr>
        <w:jc w:val="both"/>
        <w:ind w:left="340" w:right="1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 on the multiemployer pension plan withdrawal.</w:t>
      </w:r>
    </w:p>
    <w:p>
      <w:pPr>
        <w:spacing w:after="0" w:line="1" w:lineRule="exact"/>
        <w:rPr>
          <w:rFonts w:ascii="Arial" w:cs="Arial" w:eastAsia="Arial" w:hAnsi="Arial"/>
          <w:sz w:val="16"/>
          <w:szCs w:val="16"/>
          <w:color w:val="auto"/>
        </w:rPr>
      </w:pPr>
    </w:p>
    <w:p>
      <w:pPr>
        <w:ind w:left="340" w:right="160" w:hanging="332"/>
        <w:spacing w:after="0" w:line="246" w:lineRule="auto"/>
        <w:tabs>
          <w:tab w:leader="none" w:pos="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We exclude the impact of the 2019 Swiss tax reform and 2017 U.S. tax reform. During the third quarter of 2019, Swiss Federal and Zurich Cantonal tax events drove our recognition of a Swiss tax reform net benefit to our results of operations. On December 22, 2017, the United States enacted tax reform legislation that included a broad range of business tax provisions. We exclude these tax reform impacts from our Adjusted EPS as they do not reflect our ongoing tax obligations under the new tax reforms. 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our current year estimated annual effective tax rate and U.S. and Swiss tax reform.</w:t>
      </w:r>
    </w:p>
    <w:p>
      <w:pPr>
        <w:spacing w:after="0" w:line="2" w:lineRule="exact"/>
        <w:rPr>
          <w:rFonts w:ascii="Arial" w:cs="Arial" w:eastAsia="Arial" w:hAnsi="Arial"/>
          <w:sz w:val="16"/>
          <w:szCs w:val="16"/>
          <w:color w:val="auto"/>
        </w:rPr>
      </w:pPr>
    </w:p>
    <w:p>
      <w:pPr>
        <w:ind w:left="340" w:right="60" w:hanging="332"/>
        <w:spacing w:after="0" w:line="248" w:lineRule="auto"/>
        <w:tabs>
          <w:tab w:leader="none" w:pos="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7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0"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these underlying measures are also reconciled to U.S. GAAP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Year Ended December 31, 2019</w:t>
            </w:r>
          </w:p>
        </w:tc>
        <w:tc>
          <w:tcPr>
            <w:tcW w:w="200" w:type="dxa"/>
            <w:vAlign w:val="bottom"/>
          </w:tcPr>
          <w:p>
            <w:pPr>
              <w:spacing w:after="0"/>
              <w:rPr>
                <w:sz w:val="17"/>
                <w:szCs w:val="17"/>
                <w:color w:val="auto"/>
              </w:rPr>
            </w:pPr>
          </w:p>
        </w:tc>
        <w:tc>
          <w:tcPr>
            <w:tcW w:w="374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2018</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Emerging</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Emerging</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Revenue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9,675</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16,193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25,868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9,659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16,279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25,938</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currency</w:t>
            </w:r>
          </w:p>
        </w:tc>
        <w:tc>
          <w:tcPr>
            <w:tcW w:w="200" w:type="dxa"/>
            <w:vAlign w:val="bottom"/>
          </w:tcPr>
          <w:p>
            <w:pPr>
              <w:spacing w:after="0"/>
              <w:rPr>
                <w:sz w:val="17"/>
                <w:szCs w:val="17"/>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acquisitions</w:t>
            </w:r>
          </w:p>
        </w:tc>
        <w:tc>
          <w:tcPr>
            <w:tcW w:w="2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divestitures</w:t>
            </w:r>
          </w:p>
        </w:tc>
        <w:tc>
          <w:tcPr>
            <w:tcW w:w="200" w:type="dxa"/>
            <w:vAlign w:val="bottom"/>
          </w:tcPr>
          <w:p>
            <w:pPr>
              <w:spacing w:after="0"/>
              <w:rPr>
                <w:sz w:val="17"/>
                <w:szCs w:val="17"/>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Organic Net Revenue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26,879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Year Ended December 31, 2018</w:t>
            </w:r>
          </w:p>
        </w:tc>
        <w:tc>
          <w:tcPr>
            <w:tcW w:w="200" w:type="dxa"/>
            <w:vAlign w:val="bottom"/>
          </w:tcPr>
          <w:p>
            <w:pPr>
              <w:spacing w:after="0"/>
              <w:rPr>
                <w:sz w:val="21"/>
                <w:szCs w:val="21"/>
                <w:color w:val="auto"/>
              </w:rPr>
            </w:pPr>
          </w:p>
        </w:tc>
        <w:tc>
          <w:tcPr>
            <w:tcW w:w="374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2017</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Emerging</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Emerging</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Net Revenue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9,659</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16,279</w:t>
            </w:r>
          </w:p>
        </w:tc>
        <w:tc>
          <w:tcPr>
            <w:tcW w:w="100" w:type="dxa"/>
            <w:vAlign w:val="bottom"/>
          </w:tcPr>
          <w:p>
            <w:pPr>
              <w:spacing w:after="0"/>
              <w:rPr>
                <w:sz w:val="18"/>
                <w:szCs w:val="18"/>
                <w:color w:val="auto"/>
              </w:rPr>
            </w:pP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25,938</w:t>
            </w:r>
          </w:p>
        </w:tc>
        <w:tc>
          <w:tcPr>
            <w:tcW w:w="120" w:type="dxa"/>
            <w:vAlign w:val="bottom"/>
          </w:tcPr>
          <w:p>
            <w:pPr>
              <w:spacing w:after="0"/>
              <w:rPr>
                <w:sz w:val="18"/>
                <w:szCs w:val="18"/>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9,707</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16,189</w:t>
            </w:r>
          </w:p>
        </w:tc>
        <w:tc>
          <w:tcPr>
            <w:tcW w:w="120" w:type="dxa"/>
            <w:vAlign w:val="bottom"/>
          </w:tcPr>
          <w:p>
            <w:pPr>
              <w:spacing w:after="0"/>
              <w:rPr>
                <w:sz w:val="18"/>
                <w:szCs w:val="18"/>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25,896</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currency</w:t>
            </w:r>
          </w:p>
        </w:tc>
        <w:tc>
          <w:tcPr>
            <w:tcW w:w="2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acquisitions</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divestitures</w:t>
            </w:r>
          </w:p>
        </w:tc>
        <w:tc>
          <w:tcPr>
            <w:tcW w:w="2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Organic Net Revenue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10,137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15,966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26,103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9,575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15,919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25,494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malware incident incremental expenses, acquisition integration costs; acquisition and divestiture-related costs; operating income from divestitures; net gains from divestitures; the remeasurement of net monetary position; impact from pension participation changes; impact from the resolution of tax matters; CEO transition remuneration and Swiss tax reform impact. We also evaluate Adjusted Operating Income on a constant currency basis. We believe these measures provide improved comparability of underlying operating results.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For the Years Ended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55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16.0 %</w:t>
            </w: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4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4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(5)</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(7)</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(8)</w:t>
            </w:r>
          </w:p>
        </w:tc>
        <w:tc>
          <w:tcPr>
            <w:tcW w:w="4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(9)</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1"/>
                <w:szCs w:val="21"/>
                <w:color w:val="auto"/>
                <w:vertAlign w:val="superscript"/>
              </w:rPr>
              <w:t>(10)</w:t>
            </w:r>
          </w:p>
        </w:tc>
        <w:tc>
          <w:tcPr>
            <w:tcW w:w="4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4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4,264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4,302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6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r>
      <w:tr>
        <w:trPr>
          <w:trHeight w:val="264"/>
        </w:trPr>
        <w:tc>
          <w:tcPr>
            <w:tcW w:w="550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42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4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w:t>
            </w:r>
          </w:p>
        </w:tc>
        <w:tc>
          <w:tcPr>
            <w:tcW w:w="1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Years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55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(7)</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(8)</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(9)</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4,302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4,088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214</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5.2 %</w:t>
            </w:r>
          </w:p>
        </w:tc>
      </w:tr>
      <w:tr>
        <w:trPr>
          <w:trHeight w:val="277"/>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Unfavorable currency translation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0"/>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4,357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4,088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6.6 %</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trademark impairments.</w:t>
      </w:r>
    </w:p>
    <w:p>
      <w:pPr>
        <w:spacing w:after="0" w:line="5" w:lineRule="exact"/>
        <w:rPr>
          <w:rFonts w:ascii="Arial" w:cs="Arial" w:eastAsia="Arial" w:hAnsi="Arial"/>
          <w:sz w:val="16"/>
          <w:szCs w:val="16"/>
          <w:color w:val="auto"/>
        </w:rPr>
      </w:pPr>
    </w:p>
    <w:p>
      <w:pPr>
        <w:ind w:left="340" w:right="66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acquisition of a biscuit business in Vietnam.</w:t>
      </w:r>
    </w:p>
    <w:p>
      <w:pPr>
        <w:spacing w:after="0" w:line="5" w:lineRule="exact"/>
        <w:rPr>
          <w:rFonts w:ascii="Arial" w:cs="Arial" w:eastAsia="Arial" w:hAnsi="Arial"/>
          <w:sz w:val="16"/>
          <w:szCs w:val="16"/>
          <w:color w:val="auto"/>
        </w:rPr>
      </w:pPr>
    </w:p>
    <w:p>
      <w:pPr>
        <w:ind w:left="340" w:right="26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prior-year divestitures, intangible asset sales and the June 7, 2018 acquisition of Tate's Bake Shop.</w:t>
      </w:r>
    </w:p>
    <w:p>
      <w:pPr>
        <w:ind w:left="340" w:right="16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definition and related table notes.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Swiss tax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gains/(losses) related to interest rate swaps; loss on debt extinguishment; U.S. tax reform discrete net tax impact; net gains/(losses) on equity method investment transactions;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3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For the Years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2.65</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0.37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(0.05)</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loss/(gain) related to interest rate swaps </w:t>
            </w:r>
            <w:r>
              <w:rPr>
                <w:rFonts w:ascii="Arial" w:cs="Arial" w:eastAsia="Arial" w:hAnsi="Arial"/>
                <w:sz w:val="21"/>
                <w:szCs w:val="21"/>
                <w:color w:val="auto"/>
                <w:vertAlign w:val="superscript"/>
              </w:rPr>
              <w:t>(3)</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(4)</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(5)</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loss/(gain) on equity method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55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 xml:space="preserve">investment transactions </w:t>
            </w:r>
            <w:r>
              <w:rPr>
                <w:rFonts w:ascii="Arial" w:cs="Arial" w:eastAsia="Arial" w:hAnsi="Arial"/>
                <w:sz w:val="21"/>
                <w:szCs w:val="21"/>
                <w:color w:val="auto"/>
                <w:vertAlign w:val="superscript"/>
              </w:rPr>
              <w:t>(6)</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6"/>
        </w:trPr>
        <w:tc>
          <w:tcPr>
            <w:tcW w:w="5540" w:type="dxa"/>
            <w:vAlign w:val="bottom"/>
          </w:tcPr>
          <w:p>
            <w:pPr>
              <w:ind w:left="180"/>
              <w:spacing w:after="0"/>
              <w:rPr>
                <w:sz w:val="20"/>
                <w:szCs w:val="20"/>
                <w:color w:val="auto"/>
              </w:rPr>
            </w:pPr>
            <w:r>
              <w:rPr>
                <w:rFonts w:ascii="Arial" w:cs="Arial" w:eastAsia="Arial" w:hAnsi="Arial"/>
                <w:sz w:val="18"/>
                <w:szCs w:val="18"/>
                <w:color w:val="auto"/>
              </w:rPr>
              <w:t>Equity method investee acquisition-related</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3"/>
        </w:trPr>
        <w:tc>
          <w:tcPr>
            <w:tcW w:w="5540" w:type="dxa"/>
            <w:vAlign w:val="bottom"/>
            <w:tcBorders>
              <w:bottom w:val="single" w:sz="8" w:color="CCEEFF"/>
            </w:tcBorders>
          </w:tcPr>
          <w:p>
            <w:pPr>
              <w:ind w:left="40"/>
              <w:spacing w:after="0" w:line="233" w:lineRule="exact"/>
              <w:rPr>
                <w:sz w:val="20"/>
                <w:szCs w:val="20"/>
                <w:color w:val="auto"/>
              </w:rPr>
            </w:pPr>
            <w:r>
              <w:rPr>
                <w:rFonts w:ascii="Arial" w:cs="Arial" w:eastAsia="Arial" w:hAnsi="Arial"/>
                <w:sz w:val="18"/>
                <w:szCs w:val="18"/>
                <w:color w:val="auto"/>
              </w:rPr>
              <w:t xml:space="preserve">and other charges/(benefits) </w:t>
            </w:r>
            <w:r>
              <w:rPr>
                <w:rFonts w:ascii="Arial" w:cs="Arial" w:eastAsia="Arial" w:hAnsi="Arial"/>
                <w:sz w:val="21"/>
                <w:szCs w:val="21"/>
                <w:color w:val="auto"/>
                <w:vertAlign w:val="superscript"/>
              </w:rPr>
              <w:t>(7)</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(0.03)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r>
      <w:tr>
        <w:trPr>
          <w:trHeight w:val="25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2.47</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64"/>
        </w:trPr>
        <w:tc>
          <w:tcPr>
            <w:tcW w:w="554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840" w:type="dxa"/>
            <w:vAlign w:val="bottom"/>
          </w:tcPr>
          <w:p>
            <w:pPr>
              <w:spacing w:after="0"/>
              <w:rPr>
                <w:sz w:val="22"/>
                <w:szCs w:val="22"/>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0.20</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r>
      <w:tr>
        <w:trPr>
          <w:trHeight w:val="20"/>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3"/>
        </w:trPr>
        <w:tc>
          <w:tcPr>
            <w:tcW w:w="5540" w:type="dxa"/>
            <w:vAlign w:val="bottom"/>
          </w:tcPr>
          <w:p>
            <w:pPr>
              <w:spacing w:after="0"/>
              <w:rPr>
                <w:sz w:val="24"/>
                <w:szCs w:val="24"/>
                <w:color w:val="auto"/>
              </w:rPr>
            </w:pPr>
          </w:p>
        </w:tc>
        <w:tc>
          <w:tcPr>
            <w:tcW w:w="840" w:type="dxa"/>
            <w:vAlign w:val="bottom"/>
          </w:tcPr>
          <w:p>
            <w:pPr>
              <w:jc w:val="right"/>
              <w:ind w:right="476"/>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3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For the Years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2.28</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Malware incident incremental expenses</w:t>
            </w:r>
          </w:p>
        </w:tc>
        <w:tc>
          <w:tcPr>
            <w:tcW w:w="8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(3)</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(4)</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U.S. tax reform discrete net tax expense/(benefit) </w:t>
            </w:r>
            <w:r>
              <w:rPr>
                <w:rFonts w:ascii="Arial" w:cs="Arial" w:eastAsia="Arial" w:hAnsi="Arial"/>
                <w:sz w:val="21"/>
                <w:szCs w:val="21"/>
                <w:color w:val="auto"/>
                <w:vertAlign w:val="superscript"/>
              </w:rPr>
              <w:t>(5)</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Gains on equity method investment transactions </w:t>
            </w:r>
            <w:r>
              <w:rPr>
                <w:rFonts w:ascii="Arial" w:cs="Arial" w:eastAsia="Arial" w:hAnsi="Arial"/>
                <w:sz w:val="21"/>
                <w:szCs w:val="21"/>
                <w:color w:val="auto"/>
                <w:vertAlign w:val="superscript"/>
              </w:rPr>
              <w:t>(6)</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(0.39)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investee acquisition-related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5540" w:type="dxa"/>
            <w:vAlign w:val="bottom"/>
            <w:shd w:val="clear" w:color="auto" w:fill="CCEEFF"/>
          </w:tcPr>
          <w:p>
            <w:pPr>
              <w:ind w:left="360"/>
              <w:spacing w:after="0" w:line="233" w:lineRule="exact"/>
              <w:rPr>
                <w:sz w:val="20"/>
                <w:szCs w:val="20"/>
                <w:color w:val="auto"/>
              </w:rPr>
            </w:pPr>
            <w:r>
              <w:rPr>
                <w:rFonts w:ascii="Arial" w:cs="Arial" w:eastAsia="Arial" w:hAnsi="Arial"/>
                <w:sz w:val="18"/>
                <w:szCs w:val="18"/>
                <w:color w:val="auto"/>
              </w:rPr>
              <w:t xml:space="preserve">and other charges/(benefits) </w:t>
            </w:r>
            <w:r>
              <w:rPr>
                <w:rFonts w:ascii="Arial" w:cs="Arial" w:eastAsia="Arial" w:hAnsi="Arial"/>
                <w:sz w:val="21"/>
                <w:szCs w:val="21"/>
                <w:color w:val="auto"/>
                <w:vertAlign w:val="superscript"/>
              </w:rPr>
              <w:t>(7)</w:t>
            </w:r>
          </w:p>
        </w:tc>
        <w:tc>
          <w:tcPr>
            <w:tcW w:w="8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840" w:type="dxa"/>
            <w:vAlign w:val="bottom"/>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21"/>
                <w:szCs w:val="21"/>
                <w:color w:val="auto"/>
              </w:rPr>
            </w:pPr>
          </w:p>
        </w:tc>
        <w:tc>
          <w:tcPr>
            <w:tcW w:w="860" w:type="dxa"/>
            <w:vAlign w:val="bottom"/>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21"/>
                <w:szCs w:val="21"/>
                <w:color w:val="auto"/>
              </w:rPr>
            </w:pPr>
          </w:p>
        </w:tc>
        <w:tc>
          <w:tcPr>
            <w:tcW w:w="460" w:type="dxa"/>
            <w:vAlign w:val="bottom"/>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0.30</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w:t>
            </w: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0.33</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w:t>
            </w:r>
          </w:p>
        </w:tc>
      </w:tr>
      <w:tr>
        <w:trPr>
          <w:trHeight w:val="20"/>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23" w:lineRule="exact"/>
        <w:rPr>
          <w:sz w:val="20"/>
          <w:szCs w:val="20"/>
          <w:color w:val="auto"/>
        </w:rPr>
      </w:pPr>
    </w:p>
    <w:p>
      <w:pPr>
        <w:ind w:left="340" w:right="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tax expense/(benefit) of each of the pre-tax items excluded from our GAAP results was computed based on the facts and tax assumptions associated with each item, and such impacts have also been excluded from Adjusted EPS.</w:t>
      </w:r>
    </w:p>
    <w:p>
      <w:pPr>
        <w:ind w:left="580" w:right="40" w:hanging="248"/>
        <w:spacing w:after="0" w:line="246" w:lineRule="auto"/>
        <w:tabs>
          <w:tab w:leader="none" w:pos="5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2019 taxes for the: Simplify to Grow Program were $(103) million, intangible asset impairment charges were $(14) million, mark-to-market gains from derivatives were $19 million, divestiture-related costs were zero, net earnings from divestiture were zero, net gain on divestiture were $3 million, impact from pension participation changes were $8 million, impact from resolution of tax matters were $(21) million, CEO transition remuneration were zero, net loss related to interest rate swaps were zero, Swiss tax reform were $(769) million, net loss on equity method investment transactions were $6 million and equity method investee and other charges/benefits were $(12) million.</w:t>
      </w:r>
    </w:p>
    <w:p>
      <w:pPr>
        <w:spacing w:after="0" w:line="2" w:lineRule="exact"/>
        <w:rPr>
          <w:rFonts w:ascii="Arial" w:cs="Arial" w:eastAsia="Arial" w:hAnsi="Arial"/>
          <w:sz w:val="16"/>
          <w:szCs w:val="16"/>
          <w:color w:val="auto"/>
        </w:rPr>
      </w:pPr>
    </w:p>
    <w:p>
      <w:pPr>
        <w:ind w:left="580" w:right="20" w:hanging="248"/>
        <w:spacing w:after="0" w:line="246" w:lineRule="auto"/>
        <w:tabs>
          <w:tab w:leader="none" w:pos="5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2018 taxes for the: Simplify to Grow Program were $(156) million, intangible asset impairment charges were $(16) million, mark-to-market gains from derivatives were $10 million, acquisition-related costs were $(3) million, net earnings from divestiture were zero, impact from pension participation changes were $(108) million, impact from resolution of tax matters were $(6) million, CEO transition remuneration were $(5) million, net gain related to interest rate swaps were $2 million, loss on debt extinguishment were $(35) million, U.S. tax reform were $19 million, gain on equity method investment transaction were $192 million and equity method investee and other charges/benefits were $16 million.</w:t>
      </w:r>
    </w:p>
    <w:p>
      <w:pPr>
        <w:spacing w:after="0" w:line="2" w:lineRule="exact"/>
        <w:rPr>
          <w:rFonts w:ascii="Arial" w:cs="Arial" w:eastAsia="Arial" w:hAnsi="Arial"/>
          <w:sz w:val="16"/>
          <w:szCs w:val="16"/>
          <w:color w:val="auto"/>
        </w:rPr>
      </w:pPr>
    </w:p>
    <w:p>
      <w:pPr>
        <w:ind w:left="580" w:right="120" w:hanging="248"/>
        <w:spacing w:after="0" w:line="246" w:lineRule="auto"/>
        <w:tabs>
          <w:tab w:leader="none" w:pos="5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2017 taxes for the: Simplify to Grow Program were $(190) million, intangible asset impairment charges were $(30) million, mark-to-market losses from derivatives were $(6) million, malware incident incremental costs were $(27) million, divestiture-related costs were $8 million, net earnings from divestitures were $16 million, net gain on divestitures were $7 million, impact from resolution of tax matters were $75 million, CEO transition remuneration were $(5) million, U.S. tax reform were $(44) million, gain on equity method investment transactions were $15 million and equity method investee and other charges/benefits were $(10) million.</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Adjusted Operating Income</w:t>
      </w:r>
      <w:r>
        <w:rPr>
          <w:rFonts w:ascii="Arial" w:cs="Arial" w:eastAsia="Arial" w:hAnsi="Arial"/>
          <w:sz w:val="16"/>
          <w:szCs w:val="16"/>
          <w:color w:val="auto"/>
        </w:rPr>
        <w:t xml:space="preserve"> table above and the related footnotes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interest rate swaps no longer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 of U.S. tax reform.</w:t>
      </w:r>
    </w:p>
    <w:p>
      <w:pPr>
        <w:spacing w:after="0" w:line="5"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the KDP transaction in 2018, the 2017 sale of an interest in one of our equity method investments and the 2016 acquisition of an interest in Keurig.</w:t>
      </w:r>
    </w:p>
    <w:p>
      <w:pPr>
        <w:ind w:left="340" w:right="60" w:hanging="332"/>
        <w:spacing w:after="0" w:line="260"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our proportionate share of unusual or infrequent items, such as acquisition and divestiture-related costs, restructuring program costs and discrete U.S. tax reform impacts recorded by our JDE and Keurig equity method investees.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Summary of Significant Accounting Policies—Currency Translation and Highly</w:t>
      </w:r>
      <w:r>
        <w:rPr>
          <w:rFonts w:ascii="Arial" w:cs="Arial" w:eastAsia="Arial" w:hAnsi="Arial"/>
          <w:sz w:val="18"/>
          <w:szCs w:val="18"/>
          <w:color w:val="auto"/>
        </w:rPr>
        <w:t xml:space="preserve"> </w:t>
      </w:r>
      <w:r>
        <w:rPr>
          <w:rFonts w:ascii="Arial" w:cs="Arial" w:eastAsia="Arial" w:hAnsi="Arial"/>
          <w:sz w:val="18"/>
          <w:szCs w:val="18"/>
          <w:i w:val="1"/>
          <w:iCs w:val="1"/>
          <w:color w:val="auto"/>
        </w:rPr>
        <w:t>Inflationary Accounting</w:t>
      </w:r>
      <w:r>
        <w:rPr>
          <w:rFonts w:ascii="Arial" w:cs="Arial" w:eastAsia="Arial" w:hAnsi="Arial"/>
          <w:sz w:val="18"/>
          <w:szCs w:val="18"/>
          <w:color w:val="auto"/>
        </w:rPr>
        <w:t>.</w:t>
      </w:r>
    </w:p>
    <w:p>
      <w:pPr>
        <w:spacing w:after="0" w:line="21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fixed-rate debt based on current and projected market conditions. Our weighted-average interest rate on our total debt was 2.2% as of December 31, 2019, down from 2.3% as of December 31, 2018, primarily due to lower interest rates on commercial paper borrowings.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Beginning in 2018, we entered into new investment hedge derivative contracts, specifically, cross-currency interest rate swaps and forwards, to hedge certain investments in our non-U.S. operations against movements in exchange rates.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derivative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4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40"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2019 and 2018,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0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As of December 31, 2019 and December 31, 2018,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Pre-Tax Earnings Impact</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64"/>
        </w:trPr>
        <w:tc>
          <w:tcPr>
            <w:tcW w:w="2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At 12/31/19</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Low</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At 12/31/19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Low</w:t>
            </w:r>
          </w:p>
        </w:tc>
      </w:tr>
      <w:tr>
        <w:trPr>
          <w:trHeight w:val="223"/>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 sensitive to:</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63"/>
        </w:trPr>
        <w:tc>
          <w:tcPr>
            <w:tcW w:w="2500" w:type="dxa"/>
            <w:vAlign w:val="bottom"/>
          </w:tcPr>
          <w:p>
            <w:pPr>
              <w:ind w:left="180"/>
              <w:spacing w:after="0"/>
              <w:rPr>
                <w:sz w:val="20"/>
                <w:szCs w:val="20"/>
                <w:color w:val="auto"/>
              </w:rPr>
            </w:pPr>
            <w:r>
              <w:rPr>
                <w:rFonts w:ascii="Arial" w:cs="Arial" w:eastAsia="Arial" w:hAnsi="Arial"/>
                <w:sz w:val="18"/>
                <w:szCs w:val="18"/>
                <w:color w:val="auto"/>
              </w:rPr>
              <w:t>Interest rates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49</w:t>
            </w:r>
          </w:p>
        </w:tc>
      </w:tr>
      <w:tr>
        <w:trPr>
          <w:trHeight w:val="277"/>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rates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7"/>
        </w:trPr>
        <w:tc>
          <w:tcPr>
            <w:tcW w:w="2500" w:type="dxa"/>
            <w:vAlign w:val="bottom"/>
          </w:tcPr>
          <w:p>
            <w:pPr>
              <w:ind w:left="180"/>
              <w:spacing w:after="0"/>
              <w:rPr>
                <w:sz w:val="20"/>
                <w:szCs w:val="20"/>
                <w:color w:val="auto"/>
              </w:rPr>
            </w:pPr>
            <w:r>
              <w:rPr>
                <w:rFonts w:ascii="Arial" w:cs="Arial" w:eastAsia="Arial" w:hAnsi="Arial"/>
                <w:sz w:val="18"/>
                <w:szCs w:val="18"/>
                <w:color w:val="auto"/>
              </w:rPr>
              <w:t>Commodity prices</w:t>
            </w: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8"/>
        </w:trPr>
        <w:tc>
          <w:tcPr>
            <w:tcW w:w="2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Pre-Tax Earnings Impact</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2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At 12/31/18</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Low</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At 12/31/18</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Low</w:t>
            </w:r>
          </w:p>
        </w:tc>
      </w:tr>
      <w:tr>
        <w:trPr>
          <w:trHeight w:val="223"/>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 sensitive to:</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63"/>
        </w:trPr>
        <w:tc>
          <w:tcPr>
            <w:tcW w:w="2500" w:type="dxa"/>
            <w:vAlign w:val="bottom"/>
          </w:tcPr>
          <w:p>
            <w:pPr>
              <w:ind w:left="180"/>
              <w:spacing w:after="0"/>
              <w:rPr>
                <w:sz w:val="20"/>
                <w:szCs w:val="20"/>
                <w:color w:val="auto"/>
              </w:rPr>
            </w:pPr>
            <w:r>
              <w:rPr>
                <w:rFonts w:ascii="Arial" w:cs="Arial" w:eastAsia="Arial" w:hAnsi="Arial"/>
                <w:sz w:val="18"/>
                <w:szCs w:val="18"/>
                <w:color w:val="auto"/>
              </w:rPr>
              <w:t>Interest rates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27</w:t>
            </w:r>
          </w:p>
        </w:tc>
      </w:tr>
      <w:tr>
        <w:trPr>
          <w:trHeight w:val="277"/>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rates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7"/>
        </w:trPr>
        <w:tc>
          <w:tcPr>
            <w:tcW w:w="2500" w:type="dxa"/>
            <w:vAlign w:val="bottom"/>
          </w:tcPr>
          <w:p>
            <w:pPr>
              <w:ind w:left="180"/>
              <w:spacing w:after="0"/>
              <w:rPr>
                <w:sz w:val="20"/>
                <w:szCs w:val="20"/>
                <w:color w:val="auto"/>
              </w:rPr>
            </w:pPr>
            <w:r>
              <w:rPr>
                <w:rFonts w:ascii="Arial" w:cs="Arial" w:eastAsia="Arial" w:hAnsi="Arial"/>
                <w:sz w:val="18"/>
                <w:szCs w:val="18"/>
                <w:color w:val="auto"/>
              </w:rPr>
              <w:t>Commodity prices</w:t>
            </w: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2019 and 2018, and the related consolidated statements of earnings, comprehensive earnings, equity and cash flows for each of the three years in the period ended December 31, 2019, including the related notes and financial statement schedule for each of the three years in the period ended December 31, 2019 listed in the index appearing under Item 15(a)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40"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Non-Amortizable Intangible Assets Impairment Assessment</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described in Notes 1 and 6 to the consolidated financial statements, the Company’s consolidated non-amortizable intangible assets balance was $17.3 billion as of December 31, 2019, and an impairment charge of $ 57 million was recorded in the year ended December 31, 2019. Annually, management assesses non-amortizable intangible assets, which principally consist of brand names, for impairment by performing a qualitative review and assessing events and circumstances that could affect the fair value or carrying value of the non-amortizable intangible assets. If significant potential impairment risk exists for a specific asset, management quantitatively tests the asset for impairment by comparing its estimated fair value with its carrying value. Management estimates fair value for each asset using several accepted valuation methods, including relief of royalty, excess earnings and excess margin, that utilize estimates of future sales, earnings growth rates, royalty rates and discount rates.</w:t>
      </w:r>
    </w:p>
    <w:p>
      <w:pPr>
        <w:spacing w:after="0" w:line="206"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non-amortizable intangible assets impairment assessment is a critical audit matter are there was significant judgment by management when developing the fair value measurement of the non-amortizable intangible assets. This in turn led to a high degree of auditor judgment, subjectivity, and effort in performing procedures to evaluate management’s fair value estimates and significant assumptions, including estimates of future sales, earnings growth rates, royalty rates, and discount rates. In addition, the audit effort involved the use of professionals with specialized skill and knowledge to assist in performing these procedures and evaluating the audit evidence obtained.</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non-amortizable intangible assets impairment assessment, including controls over the determination of the fair values of the Company’s non-amortizable intangible assets as part of the annual impairment assessment. These procedures also included, among others, testing management’s process for developing the fair value estimate; evaluating the appropriateness of the valuation methods; testing the completeness and accuracy of underlying data used in the valuation methods; and evaluating the significant assumptions used by management, including the estimates of future sales, earnings growth rates, royalty rates, and discount rates. Evaluating management’s assumptions related to estimates of future sales and earnings growth rates involved evaluating whether the assumptions used by management were reasonable considering (i)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40"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current and past performance of the non-amortizable intangible assets, (ii) the consistency with external market and industry data, and (iii) whether these assumptions were consistent with evidence obtained in other areas of the audit. Professionals with specialized skill and knowledge were used to assist in the evaluation of the Company’s valuation methods and certain significant assumptions, including the royalty rates and discount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140"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25,868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15,531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15,586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gains on divestitures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(loss)/gain on equity method investment transactions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3,381</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3,885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3,395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1,149</w:t>
            </w:r>
          </w:p>
        </w:tc>
      </w:tr>
      <w:tr>
        <w:trPr>
          <w:trHeight w:val="26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4,255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2,760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3,991</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Mondelēz International</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4,242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3,949</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35"/>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$35 at December 31, 2019</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$40 at December 31, 2018)</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$44 at December 31, 2019</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100" w:type="dxa"/>
            <w:vAlign w:val="bottom"/>
          </w:tcPr>
          <w:p>
            <w:pPr>
              <w:ind w:left="340"/>
              <w:spacing w:after="0"/>
              <w:rPr>
                <w:sz w:val="20"/>
                <w:szCs w:val="20"/>
                <w:color w:val="auto"/>
              </w:rPr>
            </w:pPr>
            <w:r>
              <w:rPr>
                <w:rFonts w:ascii="Arial" w:cs="Arial" w:eastAsia="Arial" w:hAnsi="Arial"/>
                <w:sz w:val="18"/>
                <w:szCs w:val="18"/>
                <w:color w:val="auto"/>
              </w:rPr>
              <w:t>and $47 at December 31, 2018)</w:t>
            </w: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744</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7,604</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8,482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20,725</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18,002</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7,123</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84"/>
        </w:trPr>
        <w:tc>
          <w:tcPr>
            <w:tcW w:w="810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62,729</w:t>
            </w:r>
          </w:p>
        </w:tc>
      </w:tr>
      <w:tr>
        <w:trPr>
          <w:trHeight w:val="237"/>
        </w:trPr>
        <w:tc>
          <w:tcPr>
            <w:tcW w:w="81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2,648</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5,794</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marketing</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employment costs</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16,737</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12,532</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3,552</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1,221</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2,623</w:t>
            </w: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37,198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37,016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100" w:type="dxa"/>
            <w:vAlign w:val="bottom"/>
          </w:tcPr>
          <w:p>
            <w:pPr>
              <w:ind w:left="340"/>
              <w:spacing w:after="0"/>
              <w:rPr>
                <w:sz w:val="20"/>
                <w:szCs w:val="20"/>
                <w:color w:val="auto"/>
              </w:rPr>
            </w:pPr>
            <w:r>
              <w:rPr>
                <w:rFonts w:ascii="Arial" w:cs="Arial" w:eastAsia="Arial" w:hAnsi="Arial"/>
                <w:sz w:val="18"/>
                <w:szCs w:val="18"/>
                <w:color w:val="auto"/>
              </w:rPr>
              <w:t>1,996,537,778 shares issued at December 31, 2019 and December 31, 2018)</w:t>
            </w:r>
          </w:p>
        </w:tc>
        <w:tc>
          <w:tcPr>
            <w:tcW w:w="4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32,019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31,961</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24,491</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Treasury stock, at cost (561,531,524 shares at December 31, 2019 and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545,537,923 shares at December 31, 2018)</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Mondelēz International Shareholders’ Equity</w:t>
            </w: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25,637</w:t>
            </w: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27,351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25,713</w:t>
            </w:r>
          </w:p>
        </w:tc>
      </w:tr>
      <w:tr>
        <w:trPr>
          <w:trHeight w:val="244"/>
        </w:trPr>
        <w:tc>
          <w:tcPr>
            <w:tcW w:w="810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64,549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62,729</w:t>
            </w:r>
          </w:p>
        </w:tc>
      </w:tr>
      <w:tr>
        <w:trPr>
          <w:trHeight w:val="20"/>
        </w:trPr>
        <w:tc>
          <w:tcPr>
            <w:tcW w:w="8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8540" w:type="dxa"/>
            <w:vAlign w:val="bottom"/>
            <w:gridSpan w:val="2"/>
          </w:tcPr>
          <w:p>
            <w:pPr>
              <w:ind w:left="3080"/>
              <w:spacing w:after="0"/>
              <w:rPr>
                <w:sz w:val="20"/>
                <w:szCs w:val="20"/>
                <w:color w:val="auto"/>
              </w:rPr>
            </w:pPr>
            <w:r>
              <w:rPr>
                <w:rFonts w:ascii="Arial" w:cs="Arial" w:eastAsia="Arial" w:hAnsi="Arial"/>
                <w:sz w:val="18"/>
                <w:szCs w:val="18"/>
                <w:color w:val="auto"/>
              </w:rPr>
              <w:t>See accompanying notes to the consolidated financial statements.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140"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Mondelēz International Shareholders’ Equity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25,195</w:t>
            </w:r>
          </w:p>
        </w:tc>
        <w:tc>
          <w:tcPr>
            <w:tcW w:w="0" w:type="dxa"/>
            <w:vAlign w:val="bottom"/>
          </w:tcPr>
          <w:p>
            <w:pPr>
              <w:spacing w:after="0"/>
              <w:rPr>
                <w:sz w:val="1"/>
                <w:szCs w:val="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7"/>
        </w:trPr>
        <w:tc>
          <w:tcPr>
            <w:tcW w:w="3160" w:type="dxa"/>
            <w:vAlign w:val="bottom"/>
          </w:tcPr>
          <w:p>
            <w:pPr>
              <w:ind w:left="3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18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($0.82 per share)</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7"/>
        </w:trPr>
        <w:tc>
          <w:tcPr>
            <w:tcW w:w="3160" w:type="dxa"/>
            <w:vAlign w:val="bottom"/>
          </w:tcPr>
          <w:p>
            <w:pPr>
              <w:ind w:left="3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($0.96 per share)</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25,713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7"/>
        </w:trPr>
        <w:tc>
          <w:tcPr>
            <w:tcW w:w="3160" w:type="dxa"/>
            <w:vAlign w:val="bottom"/>
          </w:tcPr>
          <w:p>
            <w:pPr>
              <w:ind w:left="3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($1.09 per share)</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32,019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27,351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U.S. tax reform transition tax/(benefit)</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(benefit)/provision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63"/>
        </w:trPr>
        <w:tc>
          <w:tcPr>
            <w:tcW w:w="7080" w:type="dxa"/>
            <w:vAlign w:val="bottom"/>
          </w:tcPr>
          <w:p>
            <w:pPr>
              <w:ind w:left="320"/>
              <w:spacing w:after="0"/>
              <w:rPr>
                <w:sz w:val="20"/>
                <w:szCs w:val="20"/>
                <w:color w:val="auto"/>
              </w:rPr>
            </w:pPr>
            <w:r>
              <w:rPr>
                <w:rFonts w:ascii="Arial" w:cs="Arial" w:eastAsia="Arial" w:hAnsi="Arial"/>
                <w:sz w:val="18"/>
                <w:szCs w:val="18"/>
                <w:color w:val="auto"/>
              </w:rPr>
              <w:t>Asset impairments and accelerated depreciation</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Net gain on divestitures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loss/(gain) on equity method investment transactions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Equity method investment net earnings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equity method investments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Other non-cash items, net</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64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708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7080" w:type="dxa"/>
            <w:vAlign w:val="bottom"/>
          </w:tcPr>
          <w:p>
            <w:pPr>
              <w:ind w:left="6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pension and postretirement assets and liabilities, net</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net of cash received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divestitures, net of disbursements</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Net issuances/(repayments) of other short-term borrowings</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Long-term debt repayments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Cash paid: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8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40" w:right="239" w:bottom="81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40" w:right="239" w:bottom="813"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which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 Under the cost method of accounting, earnings are recognized to the extent cash is received.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accounting policy elections, estimates and assumptions include, among others, pension and benefit plan assumptions, valuation assumptions of goodwill and intangible assets, useful lives of long-lived assets, restructuring program liabilities, marketing program accruals, insurance and self-insurance reserves and income taxes.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which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December 31, 2019, our Argentinean operations had less than $1 million of Argentinean peso denominated net monetary liabilities. Our Argentinean operations contributed $382 million, or 1.5% of consolidated net revenues in 2019. We recorded a remeasurement gain of</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140" w:right="3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$4 million in 2019 and a remeasurement loss of $11 million in 2018 within selling, general and administrative expenses related to the revaluation of the Argentinean peso denominated net monetary position over these periods.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In 2019, we generated 8.6% of our net revenues in the United Kingdom. On January 31, 2020, the United Kingdom began the</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process from the European Union under the European and U.K. Parliament approved Withdrawal Agreement. During a transition period currently scheduled to end on December 31, 2020, the United Kingdom will effectively remain in the E.U.’s customs union and single market while a trade deal with the European Union is negotiated. The deadline for extending the transition period ends on June 30, 2020. If the transition period is not extended, on December 31, 2020, the United Kingdom will either exit the European Union without a trade deal or will begin a new trade relationship with the European Union. During the transition period, we continue to take protective measures in response to the potential impacts on our results of operations and financial condition.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If the ultimate terms of the United Kingdom’s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these exposures. Some of the countries in which we do business have recently experienced periods of significant economic uncertainty and exchange rate volatility, including Brazil, China, Mexico, Russia, Ukraine, Turkey, Egypt, Nigeria, South Africa and Pakistan. We continue to monitor operations, currencies and net monetary exposures in these countries. At this time, we do not anticipate that these countries are at risk of becoming highly inflationary economies.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As of December 31, 2019, we also had $37 million of restricted cash recorded within other current assets. Total cash, cash equivalents and restricted cash was $1,328 million as of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$760 million as of December 31, 2019, $819 million as of December 31, 2018 and $843 million as of December 31, 2017. The incremental costs of factoring receivables under this arrangement were approximately $10 million or less in each of the years presented. The proceeds from the sales of receivables are included in cash from operating activities in the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inventory using the average cost method and record inventory allowances for overstock and obsolete inventory.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review long-lived assets, including amortizable intangible assets, for realizability on an ongoing basis. Changes in depreciation, generally accelerated depreciation, are determined and recorded when estimates of the remaining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significant impairment losses would be recorded within asset impairment and exit costs in the consolidated statements of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determine whether a contract is or contains a lease at contract inception. On January 1, 2019, we began to record operating leases on our consolidated balance sheet. We elected not to recognize right-of-use ("ROU") assets and lease liabilities for short-term operating leases with terms of 12 months or less. Long-term operating lease ROU assets and long-term operating lease liabilities are presented separately and operating lease liabilities payable in the next twelve months are recorded in other current liabilities. Finance lease ROU assets continue to be presented in property, plant and equipment and the related finance lease liabilities continue to be presented in the current portion of long-term debt and long-term debt.</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Lease ROU assets represent our right to use an underlying asset for the lease term and lease liabilities represent our obligation to make lease payments arising from the lease.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rate implicit in the lease is not readily determinable in most of our leases, we use our country-specific incremental borrowing rate based on the lease term using information available at commencement date in determining the present value of lease payments. Our lease terms may include options to extend or terminate the lease when it is reasonably certain that we will exercise that option. Many of our leases contain non-lease components (e.g. product costs, common-area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Amortization of ROU lease assets is calculated on a straight-line basis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(on a straight-line basis) for operating leases. All operating lease cash payments and interest on finance leases are recorded within cash flows from operating activities and all finance lease principal payments are recorded within cash flows from financing activities in the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test goodwill and non-amortizable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This year, for our Europe and North America reporting units, we used a market-based, weighted-average cost of capital of 5.9% to discount the projected cash flows of those operations. For our Latin America and AMEA reporting units, we used a risk-rated discount rate of 8.9%. Estimating the fair value of individual reporting units requires us to make assumptions and estimates regarding our future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plans, industry and economic conditions, and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20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estimates of future sales, earnings growth rates, royalty rates and discount rates. If the carrying value of the asset exceeds its fair value, we consider the asset impaired and reduce its carrying value to the estimated fair value. We amortize definite-lived intangible assets over their estimated useful lives and evaluate them for impairment as we do other long-lived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disclosed in Note 18,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A small percentage of our net revenues relates to the licensing of our intellectual property, predominantly brand and trade names, and we record these revenues when earned within the period of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 and all marketing and advertising costs are recorded as an expense in the year incurred. Advertising expense was $1,208 million in 2019, $1,173 million in 2018 and $ 1,248 million in 2017. We expense product research and development costs as incurred. Research and development expense was $ 351 million in 2019, $362 million in 2018 and $366 million in 2017. We record marketing and advertising as well as research and development expenses within selling, general and administrative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Stock-based compensation awarded to employees and non-employee directors is valued at fair value on the grant date. We record stock-based compensation expense over the vesting period, generally three years. Forfeitures are estimated on the grant date for all of our stock-based compensation awards.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 principally through the use of derivative instruments.</w:t>
      </w:r>
    </w:p>
    <w:p>
      <w:pPr>
        <w:spacing w:after="0" w:line="206"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 xml:space="preserve">We use a combination of primarily currency forward contracts, futures, options and swaps; commodity forward contracts, futures and options; and interest rate swaps to manage our exposure to cash flow variability, protect the value of our existing currency assets and liabilities and protect the value of our debt. See Note 10,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more information on the types of derivative instruments we use.</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record derivative financial instruments on a gross basis and at fair value in our consolidated balance sheets within other current assets or other current liabilities due to their relatively short-term duration. Cash flows related to the settlement of derivative instruments designated as net investment hedges of foreign operations are classified in the consolidated statements of cash flows within investing activities. All other cash flows related to derivative instruments that are designated, and those that are economic hedges, are classified in the same line item as the cash flows of the related hedged item, which is generally within operating activities. Cash flows related to the settlement of all other free-standing derivative instruments are classified within investing activities. Changes in the fair value of a derivative that is designated as a cash flow hedge, to the extent that the hedge is effective, are recorded in accumulated other comprehensive earnings/(losses) and reclassified to earnings when the hedged item affects earnings. Changes in fair value of economic hedges and the ineffective portion of all hedges are recognized in current period earnings. Changes in the fair value of a derivative that is designated as a fair value hedge, along with the changes in the fair value of the related hedged asset or liability, are recorded in earnings in the same period. We use non-U.S. dollar denominated debt to hedge a portion of our net investment in non-U.S. operations against adverse movements in exchange rates. Currency movements related to our non-U.S. debt and our net investments in non-U.S. operations, as well as the related deferred taxes, are recorded within currency translation adjustment in accumulated other comprehensive earnings/(losses).</w:t>
      </w:r>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order to qualify for hedge accounting, a specified level of hedging effectiveness between the derivative instrument and the item being hedged must exist at inception and throughout the hedged period. We must also formally document the nature of and relationship between the derivative and the hedged item, as well as our risk management objectives, strategies for undertaking the hedge transaction and method of assessing hedge effectiveness. Additionally, for a hedge of a forecasted transaction, the significant characteristics and expected term of the forecasted transaction must be specifically identified, and it must be probable that the forecasted transaction will occur. If it is no longer probable that the hedged forecasted transaction will occur, we would recognize the gain or loss related to the derivative in earnings.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we use derivatives, we are exposed to credit and market risks. Credit risk exists when a counterparty to a derivative contract might fail to fulfill its performance obligations under the contract.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Market risk exists when the value of a derivative or other financial instrument might be adversely affected by changes in market conditions and commodity prices, currency exchange rates or interest rates. We manage derivative market risk by limiting the types of derivative instruments and derivative strategies we use and the degree of market risk that we plan to hedge through the use of derivative instruments.</w:t>
      </w:r>
    </w:p>
    <w:p>
      <w:pPr>
        <w:spacing w:after="0" w:line="18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We enter into commodity forward contracts primarily for wheat, sugar and other sweeteners, soybean and vegetable oils and cocoa. Commodity forward contracts generally are not subject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accounting requirements for derivative instruments and hedging activities under the normal purchases exception. We also use commodity futures and options to hedge the price of certain input costs, including cocoa, energy costs, sugar and other sweeteners, wheat, packaging, dairy, corn, and soybean and vegetable oils. We also sell commodity futures to unprice future purchase commitments, and we occasionally use related futures to cross-hedge a commodity exposure. We are not a party to leveraged derivatives and, by policy, do not use financial instruments for speculative purposes.</w:t>
      </w:r>
    </w:p>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use various financial instruments to mitigate our exposure to changes in exchange rates from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intercompany current and forecasted transactions. These instruments may include currency exchange forward contracts, futures, options and swaps. Based on the size and location of our businesses, we use these instruments to hedge our exposure to certain currencies, including the euro, pound sterling, Swiss franc, Canadian dollar and Mexican peso. Any unrealized gains or losses (mark-to-market impacts) and realized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Interest rate cash flow and fair value hedges</w:t>
      </w:r>
      <w:r>
        <w:rPr>
          <w:rFonts w:ascii="Arial" w:cs="Arial" w:eastAsia="Arial" w:hAnsi="Arial"/>
          <w:sz w:val="18"/>
          <w:szCs w:val="18"/>
          <w:color w:val="auto"/>
        </w:rPr>
        <w:t>. We manage interest rate volatility by modifying the pricing or maturity characteristics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so that the net impact on expense is not, on a material basis, adversely affected by movements in interest rates. As a result of interest rate fluctuations, hedged fixed-rate liabilities appreciate or depreciate in market value. We expect the effect of this unrealized appreciation or depreciation to be substantially offset by our gains or losses on the derivative instruments that are linked to these hedged liabilities. We use derivative instruments, including interest rate swaps that have indices related to the pricing of specific liabilities as part of our interest rate risk management strategy. As a matter of policy, we do not use highly leveraged derivative instruments for interest rate risk management. We use interest rate swaps to economically convert a portion of our fixed-rate debt into variable-rate debt. Under the interest rate swap contracts, we agree with other parties to exchange, at specified intervals, the difference between fixed-rate and floating-rate interest amounts, which is calculated based on an agreed-upon notional amount. We use interest rate swaps to hedge the variability of interest payment cash flows on a portion of our future debt obligations. We also execute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exposed to changes and volatility in currency exchange rates. We use local currency denominated debt to hedge our non-U.S. net investments against adverse movements in exchange rates. We designated our euro, pound sterling, Swiss franc and Canadian dollar-denominated borrowings as a net investment hedge of a portion of our overall international operations. The gains and losses on our net investment in these designated international operations are economically offset by losses and gains on our euro, pound sterling, Swiss franc and Canadian dollar-denominated borrowings. The change in the debt’s value, net of deferred taxes, is recorded in the currency translation adjustment component of accumulated other comprehensive earnings/(losses).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beginning in the first quarter of 2018, we entered into cross-currency interest rate swaps and forwards to hedge certain investments in our non-U.S. operations against movements in exchange rates. The after-tax gain/(loss) on these net investment hedge contracts is recorded in the cumulative translation adjustment section of other comprehensive income and the pre-tax impacts of the cash flows from these contracts are reported as other investing activities in the consolidated statement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0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40"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that removes certain exceptions in accounting for income taxes, improves consistency in application and clarifies existing guidance. This ASU is effective for fiscal years beginning after December 15, 2020, with early adoption permitted. We do not expect this ASU to have a material impact on our consolidated financial statements.</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October 2018, the FASB issued an ASU that permits the use of the Secured Overnight Financing Rate ("SOFR") Overnight Index Swap ("OIS") Rate as a U.S. benchmark interest rate for hedge accounting purposes. We adopted the new standard on January 1, 2019 and there was no material impact to our consolidated financial statements upon adoption.</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August 2018, the FASB issued an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We will adopt this ASU as of January 1, 2020 and we do not expect this ASU to have a material impact on our consolidated financial statements.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ending after December 15, 2020, with early adoption permitted. We will adopt this ASU as of December 31, 2020. The new standard will impact our year-end disclosures only and is not expected to have an impact on our consolidated financial statements.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We will adopt this ASU as of January 1, 2020. The new standard will impact our disclosures and is not expected to have an impact on our consolidated financial statements.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2018, the FASB issued an ASU that requires entities to record share-based payment transactions for acquiring goods and services from non-employees at fair value as of adoption date. The ASU is effective for fiscal years beginning after December 15, 2018, with early adoption permitted. We adopted the standard as of January 1, 2019 and there was no material impact to our consolidated financial statements upon adoption.</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did not elect to reclassify these stranded tax effects from U.S. tax reform when we adopted this ASU in the first quarter of 2019. As such, this ASU did not have a material impact on our consolidated financial statements. Our policy is to release stranded tax effects from accumulated other comprehensive income under the portfolio method rather than on an individual item by item basis.</w:t>
      </w:r>
    </w:p>
    <w:p>
      <w:pPr>
        <w:spacing w:after="0" w:line="2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July 2017, the FASB issued an ASU on financial instruments that allows for the exclusion of a down round feature when evaluating whether or not the instrument or embedded feature requires derivative classification. The ASU is effective for fiscal years beginning after December 15, 2018, with early adoption permitted. We adopted the standard as of January 1, 2019 and there was no material impact to our consolidated financial statements upon adoption.</w:t>
      </w:r>
    </w:p>
    <w:p>
      <w:pPr>
        <w:spacing w:after="0" w:line="20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expected losses rather than incurred losses. This ASU is effective for fiscal years beginning after December 15, 2019, with early adoption permitted for financial statement periods beginning after December 15, 2018. We will adopt this ASU as of January 1, 2020 and we do not expect this ASU to have a material impact on our consolidated financial statements.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February 2016, the FASB issued an ASU on lease accounting to increase transparency and comparability among organizations by requiring the recognition of Right of Use ("ROU") assets and lease liabilities on the balance sheet and disclosing key information about leasing arrangements. The ASU revises existing U.S. GAAP and outlines a new model for lessors and lessees to use in accounting for lease contracts. The guidance requires lessees to recognize a ROU asset and a lease liability on the balance sheet for all leases, with the exception of short-term leases. In the statement of earnings, lessees will classify leases as either operating or financing. In July 2018, the FASB issued an ASU which allows for an alternative transition approach, which will not require adjustments to comparative prior-period amounts. The ASU is effective for fiscal years beginning after December 15, 2018, with early adoption permitted. We adopted the new standard on January 1, 2019. We elected to apply the package of practical expedients that allowed us not to reassess the lease classification and initial direct costs for expired or existing leases or whether expired or existing contracts contain leases. We elected not to separate non-lease components from lease components and to account for both as a single lease component by class of the underlying asset. The impact of adopting the standard included the initial recognition as of January 1, 2019, of $710 million of lease related assets and $730 million of lease related liabilities on our consolidated balance sheet. The transition method we elected for adoption a cumulative effect adjustment to retained earnings as of January 1, 2019, which was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We are working to complete the valuation work and have recorded a preliminary purchase price allocation of $31 million to definite-lived intangible assets, $107 million to indefinite-lived intangible assets, $150 million to goodwill, $1 million to property, plant and equipment, $12 million to inventory, $8 million to accounts receivable, $13 million to current liabilities, $3 million to deferred tax liabilities and $9 million to other liabilities. The acquisition added incremental net revenues of $53 million and an immaterial amount of incremental operating income in 2019.</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In 2019, we received cash proceeds of $161 million and divested $19 million of current assets and $96 million of non-current assets. We also paid $2 million of transaction costs and recorded a net pre-tax gain of $44 million on the sale.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and extended our premium biscuit offering. During the second quarter of 2018, we paid $528 million, net of cash received, and during the second quarter of 2019, we finalized the purchase price at $527 million. The purchase price allocation included $45 million to definite-lived intangible assets, $205 million to indefinite-lived intangible assets, $297 million to goodwill, $ 16 million to property, plant and equipment, $ 5 million to inventory, $9 million to accounts receivable, $7 million to current liabilities and $43 million to deferred tax liabilities. Through the one-year anniversary of the acquisition, Tate's added incremental net revenues of $35 million and an immaterial amount of incremental operating income.</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December 28, 2017, we completed the sale of a confectionery business in Japan. We received cash proceeds of ¥2.8 billion ($24 million as of December 28, 2017) and recorded an immaterial pre-tax loss on the divestiture within our AMEA segment.</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2012 spin-off of Kraft Foods Group, Inc. (now a part of The Kraft Heinz Company (“KHC”)), Kraft Foods Group and we each granted the other various licenses to use certain trademarks in connection with 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€9 million ($11 million as of August 17, 2017) and on October 23, 2017, the second transaction closed and we received cash proceeds of €2 million ($3 million as of October 23, 2017). The gain on both transactions combined was immaterial.</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40"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We divested $ 27 million of current assets, $135 million of non-current assets and $4 million of current liabilities based on the July 4, 2017 exchange rate. We recorded a pre-tax gain of $247 million Australian dollars ($187 million as of July 4, 2017) on the sale. We also recorded divestiture-related costs of $2 million and a foreign currency hedge loss of $3 million during 2017. In the fourth quarter of 2017, we recorded a $3 million inventory-related working capital adjustment, increasing the pre-tax gain to $190 million in 2017.</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cash of approximately €157 million ($169 million as of April 28, 2017), net of cash divested with the businesses. On April 28, 2017, we divested $44 million of current assets, $155 million of non-current assets, $8 million of current liabilities and $22 million of non-current liabilities based on the April 28, 2017 exchange rate. We recorded a $3 million loss on the sale and divestiture-related costs of $27 million in 2017 and $84 million in 2016. These divestiture-related costs were recorded within cost of sales and selling, general and administrative expenses primarily within our Europe segment. In prior periods, we recorded a $5 million impairment charge in May 2016 for a candy trademark to reduce the overall net assets to the estimated net sales proceeds after transaction costs. On March 31, 2016, we recorded a $14 million impairment charge for another gum &amp; candy trademark as a portion of its carrying value would not be recoverable based on future cash flows expected under a planned license agreement with the buyer.</w:t>
      </w:r>
    </w:p>
    <w:p>
      <w:pPr>
        <w:sectPr>
          <w:pgSz w:w="11900" w:h="16838" w:orient="portrait"/>
          <w:cols w:equalWidth="0" w:num="1">
            <w:col w:w="11420"/>
          </w:cols>
          <w:pgMar w:left="240" w:top="140"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400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31"/>
        </w:trPr>
        <w:tc>
          <w:tcPr>
            <w:tcW w:w="440" w:type="dxa"/>
            <w:vAlign w:val="bottom"/>
          </w:tcPr>
          <w:p>
            <w:pPr>
              <w:spacing w:after="0"/>
              <w:rPr>
                <w:sz w:val="20"/>
                <w:szCs w:val="20"/>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r>
      <w:tr>
        <w:trPr>
          <w:trHeight w:val="269"/>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3"/>
                <w:szCs w:val="23"/>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726</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1,987</w:t>
            </w:r>
          </w:p>
        </w:tc>
      </w:tr>
      <w:tr>
        <w:trPr>
          <w:trHeight w:val="243"/>
        </w:trPr>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2,713</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400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p>
      <w:pPr>
        <w:ind w:left="760"/>
        <w:spacing w:after="0"/>
        <w:tabs>
          <w:tab w:leader="none" w:pos="2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400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81" w:lineRule="exact"/>
        <w:rPr>
          <w:sz w:val="20"/>
          <w:szCs w:val="20"/>
          <w:color w:val="auto"/>
        </w:rPr>
      </w:pPr>
    </w:p>
    <w:p>
      <w:pPr>
        <w:ind w:left="20"/>
        <w:spacing w:after="0"/>
        <w:tabs>
          <w:tab w:leader="none" w:pos="1400" w:val="left"/>
          <w:tab w:leader="none" w:pos="1960" w:val="left"/>
          <w:tab w:leader="none" w:pos="3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422</w:t>
        <w:tab/>
        <w:t>$</w:t>
      </w:r>
      <w:r>
        <w:rPr>
          <w:sz w:val="20"/>
          <w:szCs w:val="20"/>
          <w:color w:val="auto"/>
        </w:rPr>
        <w:tab/>
      </w:r>
      <w:r>
        <w:rPr>
          <w:rFonts w:ascii="Arial" w:cs="Arial" w:eastAsia="Arial" w:hAnsi="Arial"/>
          <w:sz w:val="17"/>
          <w:szCs w:val="17"/>
          <w:color w:val="auto"/>
        </w:rPr>
        <w:t>424</w:t>
      </w:r>
    </w:p>
    <w:p>
      <w:pPr>
        <w:spacing w:after="0" w:line="63" w:lineRule="exact"/>
        <w:rPr>
          <w:sz w:val="20"/>
          <w:szCs w:val="20"/>
          <w:color w:val="auto"/>
        </w:rPr>
      </w:pPr>
    </w:p>
    <w:p>
      <w:pPr>
        <w:ind w:left="1280"/>
        <w:spacing w:after="0"/>
        <w:tabs>
          <w:tab w:leader="none" w:pos="3200" w:val="left"/>
        </w:tabs>
        <w:rPr>
          <w:sz w:val="20"/>
          <w:szCs w:val="20"/>
          <w:color w:val="auto"/>
        </w:rPr>
      </w:pPr>
      <w:r>
        <w:rPr>
          <w:rFonts w:ascii="Arial" w:cs="Arial" w:eastAsia="Arial" w:hAnsi="Arial"/>
          <w:sz w:val="18"/>
          <w:szCs w:val="18"/>
          <w:color w:val="auto"/>
        </w:rPr>
        <w:t>3,140</w:t>
      </w:r>
      <w:r>
        <w:rPr>
          <w:sz w:val="20"/>
          <w:szCs w:val="20"/>
          <w:color w:val="auto"/>
        </w:rPr>
        <w:tab/>
      </w:r>
      <w:r>
        <w:rPr>
          <w:rFonts w:ascii="Arial" w:cs="Arial" w:eastAsia="Arial" w:hAnsi="Arial"/>
          <w:sz w:val="18"/>
          <w:szCs w:val="18"/>
          <w:color w:val="auto"/>
        </w:rPr>
        <w:t>2,984</w:t>
      </w:r>
    </w:p>
    <w:p>
      <w:pPr>
        <w:spacing w:after="0" w:line="63" w:lineRule="exact"/>
        <w:rPr>
          <w:sz w:val="20"/>
          <w:szCs w:val="20"/>
          <w:color w:val="auto"/>
        </w:rPr>
      </w:pPr>
    </w:p>
    <w:p>
      <w:pPr>
        <w:ind w:left="1180"/>
        <w:spacing w:after="0"/>
        <w:tabs>
          <w:tab w:leader="none" w:pos="3100" w:val="left"/>
        </w:tabs>
        <w:rPr>
          <w:sz w:val="20"/>
          <w:szCs w:val="20"/>
          <w:color w:val="auto"/>
        </w:rPr>
      </w:pPr>
      <w:r>
        <w:rPr>
          <w:rFonts w:ascii="Arial" w:cs="Arial" w:eastAsia="Arial" w:hAnsi="Arial"/>
          <w:sz w:val="18"/>
          <w:szCs w:val="18"/>
          <w:color w:val="auto"/>
        </w:rPr>
        <w:t>11,295</w:t>
      </w:r>
      <w:r>
        <w:rPr>
          <w:sz w:val="20"/>
          <w:szCs w:val="20"/>
          <w:color w:val="auto"/>
        </w:rPr>
        <w:tab/>
      </w:r>
      <w:r>
        <w:rPr>
          <w:rFonts w:ascii="Arial" w:cs="Arial" w:eastAsia="Arial" w:hAnsi="Arial"/>
          <w:sz w:val="18"/>
          <w:szCs w:val="18"/>
          <w:color w:val="auto"/>
        </w:rPr>
        <w:t>10,943</w:t>
      </w:r>
    </w:p>
    <w:p>
      <w:pPr>
        <w:spacing w:after="0" w:line="63" w:lineRule="exact"/>
        <w:rPr>
          <w:sz w:val="20"/>
          <w:szCs w:val="20"/>
          <w:color w:val="auto"/>
        </w:rPr>
      </w:pPr>
    </w:p>
    <w:p>
      <w:pPr>
        <w:ind w:left="1420"/>
        <w:spacing w:after="0"/>
        <w:tabs>
          <w:tab w:leader="none" w:pos="3360" w:val="left"/>
        </w:tabs>
        <w:rPr>
          <w:sz w:val="20"/>
          <w:szCs w:val="20"/>
          <w:color w:val="auto"/>
        </w:rPr>
      </w:pPr>
      <w:r>
        <w:rPr>
          <w:rFonts w:ascii="Arial" w:cs="Arial" w:eastAsia="Arial" w:hAnsi="Arial"/>
          <w:sz w:val="18"/>
          <w:szCs w:val="18"/>
          <w:color w:val="auto"/>
        </w:rPr>
        <w:t>680</w:t>
      </w:r>
      <w:r>
        <w:rPr>
          <w:sz w:val="20"/>
          <w:szCs w:val="20"/>
          <w:color w:val="auto"/>
        </w:rPr>
        <w:tab/>
      </w:r>
      <w:r>
        <w:rPr>
          <w:rFonts w:ascii="Arial" w:cs="Arial" w:eastAsia="Arial" w:hAnsi="Arial"/>
          <w:sz w:val="18"/>
          <w:szCs w:val="18"/>
          <w:color w:val="auto"/>
        </w:rPr>
        <w:t>894</w:t>
      </w:r>
    </w:p>
    <w:p>
      <w:pPr>
        <w:spacing w:after="0" w:line="63" w:lineRule="exact"/>
        <w:rPr>
          <w:sz w:val="20"/>
          <w:szCs w:val="20"/>
          <w:color w:val="auto"/>
        </w:rPr>
      </w:pPr>
    </w:p>
    <w:p>
      <w:pPr>
        <w:ind w:left="1180"/>
        <w:spacing w:after="0"/>
        <w:tabs>
          <w:tab w:leader="none" w:pos="3100" w:val="left"/>
        </w:tabs>
        <w:rPr>
          <w:sz w:val="20"/>
          <w:szCs w:val="20"/>
          <w:color w:val="auto"/>
        </w:rPr>
      </w:pPr>
      <w:r>
        <w:rPr>
          <w:rFonts w:ascii="Arial" w:cs="Arial" w:eastAsia="Arial" w:hAnsi="Arial"/>
          <w:sz w:val="18"/>
          <w:szCs w:val="18"/>
          <w:color w:val="auto"/>
        </w:rPr>
        <w:t>15,537</w:t>
      </w:r>
      <w:r>
        <w:rPr>
          <w:sz w:val="20"/>
          <w:szCs w:val="20"/>
          <w:color w:val="auto"/>
        </w:rPr>
        <w:tab/>
      </w:r>
      <w:r>
        <w:rPr>
          <w:rFonts w:ascii="Arial" w:cs="Arial" w:eastAsia="Arial" w:hAnsi="Arial"/>
          <w:sz w:val="18"/>
          <w:szCs w:val="18"/>
          <w:color w:val="auto"/>
        </w:rPr>
        <w:t>15,245</w:t>
      </w:r>
    </w:p>
    <w:p>
      <w:pPr>
        <w:spacing w:after="0" w:line="63" w:lineRule="exact"/>
        <w:rPr>
          <w:sz w:val="20"/>
          <w:szCs w:val="20"/>
          <w:color w:val="auto"/>
        </w:rPr>
      </w:pPr>
    </w:p>
    <w:p>
      <w:pPr>
        <w:ind w:left="1220"/>
        <w:spacing w:after="0"/>
        <w:tabs>
          <w:tab w:leader="none" w:pos="3140" w:val="left"/>
        </w:tabs>
        <w:rPr>
          <w:sz w:val="20"/>
          <w:szCs w:val="20"/>
          <w:color w:val="auto"/>
        </w:rPr>
      </w:pPr>
      <w:r>
        <w:rPr>
          <w:rFonts w:ascii="Arial" w:cs="Arial" w:eastAsia="Arial" w:hAnsi="Arial"/>
          <w:sz w:val="18"/>
          <w:szCs w:val="18"/>
          <w:color w:val="auto"/>
        </w:rPr>
        <w:t>(6,804)</w:t>
      </w:r>
      <w:r>
        <w:rPr>
          <w:sz w:val="20"/>
          <w:szCs w:val="20"/>
          <w:color w:val="auto"/>
        </w:rPr>
        <w:tab/>
      </w:r>
      <w:r>
        <w:rPr>
          <w:rFonts w:ascii="Arial" w:cs="Arial" w:eastAsia="Arial" w:hAnsi="Arial"/>
          <w:sz w:val="18"/>
          <w:szCs w:val="18"/>
          <w:color w:val="auto"/>
        </w:rPr>
        <w:t>(6,763)</w:t>
      </w:r>
    </w:p>
    <w:p>
      <w:pPr>
        <w:spacing w:after="0" w:line="63" w:lineRule="exact"/>
        <w:rPr>
          <w:sz w:val="20"/>
          <w:szCs w:val="20"/>
          <w:color w:val="auto"/>
        </w:rPr>
      </w:pPr>
    </w:p>
    <w:p>
      <w:pPr>
        <w:ind w:left="20"/>
        <w:spacing w:after="0"/>
        <w:tabs>
          <w:tab w:leader="none" w:pos="1260" w:val="left"/>
          <w:tab w:leader="none" w:pos="1960" w:val="left"/>
          <w:tab w:leader="none" w:pos="3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8,733</w:t>
        <w:tab/>
        <w:t>$</w:t>
      </w:r>
      <w:r>
        <w:rPr>
          <w:sz w:val="20"/>
          <w:szCs w:val="20"/>
          <w:color w:val="auto"/>
        </w:rPr>
        <w:tab/>
      </w:r>
      <w:r>
        <w:rPr>
          <w:rFonts w:ascii="Arial" w:cs="Arial" w:eastAsia="Arial" w:hAnsi="Arial"/>
          <w:sz w:val="18"/>
          <w:szCs w:val="18"/>
          <w:color w:val="auto"/>
        </w:rPr>
        <w:t>8,482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400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140" w:right="239" w:bottom="1440" w:gutter="0" w:footer="0" w:header="0"/>
          <w:type w:val="continuous"/>
        </w:sectPr>
      </w:pPr>
    </w:p>
    <w:p>
      <w:pPr>
        <w:spacing w:after="0" w:line="29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Capital expenditures as presented on the statement of cash flow were $0.9 billion, $1.1 billion and $1.0 billion for the years ending December 31, 2019, 2018 and 2017 and excluded $334 million, $331 million and $357 million for accrued capital expenditures not yet paid.</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of $50 million in 2019, $59 million in 2018 and $206 million in 2017 (see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 These charges related to property, plant and equipment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40"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were recorded in the consolidated statements of earnings within asset impairment and exit costs and in the segment results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AMEA</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220" w:type="dxa"/>
            <w:vAlign w:val="bottom"/>
          </w:tcPr>
          <w:p>
            <w:pPr>
              <w:spacing w:after="0"/>
              <w:rPr>
                <w:sz w:val="22"/>
                <w:szCs w:val="22"/>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w:t>
            </w: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10 years, some of which include options to extend the leases for up to 6 years. We assume the majority of our termination options will not be exercised when determining the lease term of our leases. We do not include significant restrictions or covenants in our lease agreements, and residual value guarantees are generally not included within our operating leases, with the exception of some fleet leases. Some of our leasing arrangements require variable payments that are dependent on usage or output or may vary for other reasons, such as product costs, insurance and tax payments. These variable payment leases are not included in our recorded lease assets and liabilities and are expensed as incurred. Certain leases are tied to a variable index or rate and are included in our lease assets and liabilities based on the indices or rates as of lease commencement.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jc w:val="center"/>
              <w:ind w:right="155"/>
              <w:spacing w:after="0"/>
              <w:rPr>
                <w:sz w:val="20"/>
                <w:szCs w:val="20"/>
                <w:color w:val="auto"/>
              </w:rPr>
            </w:pPr>
            <w:r>
              <w:rPr>
                <w:rFonts w:ascii="Arial" w:cs="Arial" w:eastAsia="Arial" w:hAnsi="Arial"/>
                <w:sz w:val="14"/>
                <w:szCs w:val="14"/>
                <w:b w:val="1"/>
                <w:bCs w:val="1"/>
                <w:color w:val="auto"/>
              </w:rPr>
              <w:t>For the Year Ended</w:t>
            </w:r>
          </w:p>
        </w:tc>
      </w:tr>
      <w:tr>
        <w:trPr>
          <w:trHeight w:val="196"/>
        </w:trPr>
        <w:tc>
          <w:tcPr>
            <w:tcW w:w="9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9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millions)</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222</w:t>
            </w:r>
          </w:p>
        </w:tc>
      </w:tr>
      <w:tr>
        <w:trPr>
          <w:trHeight w:val="324"/>
        </w:trPr>
        <w:tc>
          <w:tcPr>
            <w:tcW w:w="9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50"/>
        </w:trPr>
        <w:tc>
          <w:tcPr>
            <w:tcW w:w="936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29</w:t>
            </w:r>
          </w:p>
        </w:tc>
      </w:tr>
      <w:tr>
        <w:trPr>
          <w:trHeight w:val="263"/>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r>
      <w:tr>
        <w:trPr>
          <w:trHeight w:val="324"/>
        </w:trPr>
        <w:tc>
          <w:tcPr>
            <w:tcW w:w="9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474</w:t>
            </w:r>
          </w:p>
        </w:tc>
      </w:tr>
      <w:tr>
        <w:trPr>
          <w:trHeight w:val="331"/>
        </w:trPr>
        <w:tc>
          <w:tcPr>
            <w:tcW w:w="9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93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762</w:t>
            </w:r>
          </w:p>
        </w:tc>
      </w:tr>
    </w:tbl>
    <w:p>
      <w:pPr>
        <w:spacing w:after="0" w:line="22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Rent expenses under prior lease accounting rules (ASC 840) recorded in continuing operations were $260 million in 2018 and $284 million in 2017.</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finance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 net of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operating lease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 net of amortization (within property, plant &amp;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portion of long-term debt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Remaining Lease Term</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Discount Rate</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left="154"/>
              <w:spacing w:after="0"/>
              <w:rPr>
                <w:sz w:val="20"/>
                <w:szCs w:val="20"/>
                <w:color w:val="auto"/>
              </w:rPr>
            </w:pPr>
            <w:r>
              <w:rPr>
                <w:rFonts w:ascii="Arial" w:cs="Arial" w:eastAsia="Arial" w:hAnsi="Arial"/>
                <w:sz w:val="14"/>
                <w:szCs w:val="14"/>
                <w:b w:val="1"/>
                <w:bCs w:val="1"/>
                <w:color w:val="auto"/>
              </w:rPr>
              <w:t>For the Year Ended</w:t>
            </w:r>
          </w:p>
        </w:tc>
        <w:tc>
          <w:tcPr>
            <w:tcW w:w="38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center"/>
              <w:ind w:left="15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525"/>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(234)</w:t>
            </w:r>
          </w:p>
        </w:tc>
      </w:tr>
      <w:tr>
        <w:trPr>
          <w:trHeight w:val="257"/>
        </w:trPr>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w:t>
            </w:r>
          </w:p>
        </w:tc>
      </w:tr>
      <w:tr>
        <w:trPr>
          <w:trHeight w:val="851"/>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57"/>
        </w:trPr>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1061"/>
        </w:trPr>
        <w:tc>
          <w:tcPr>
            <w:tcW w:w="26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As of December 31, 2019</w:t>
            </w:r>
          </w:p>
        </w:tc>
        <w:tc>
          <w:tcPr>
            <w:tcW w:w="380" w:type="dxa"/>
            <w:vAlign w:val="bottom"/>
            <w:tcBorders>
              <w:bottom w:val="single" w:sz="8" w:color="auto"/>
            </w:tcBorders>
          </w:tcPr>
          <w:p>
            <w:pPr>
              <w:spacing w:after="0"/>
              <w:rPr>
                <w:sz w:val="24"/>
                <w:szCs w:val="24"/>
                <w:color w:val="auto"/>
              </w:rPr>
            </w:pPr>
          </w:p>
        </w:tc>
      </w:tr>
      <w:tr>
        <w:trPr>
          <w:trHeight w:val="244"/>
        </w:trPr>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61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525"/>
        </w:trPr>
        <w:tc>
          <w:tcPr>
            <w:tcW w:w="9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24"/>
                <w:szCs w:val="24"/>
                <w:color w:val="auto"/>
              </w:rPr>
            </w:pPr>
          </w:p>
        </w:tc>
      </w:tr>
      <w:tr>
        <w:trPr>
          <w:trHeight w:val="581"/>
        </w:trPr>
        <w:tc>
          <w:tcPr>
            <w:tcW w:w="9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24"/>
                <w:szCs w:val="24"/>
                <w:color w:val="auto"/>
              </w:rPr>
            </w:pPr>
          </w:p>
        </w:tc>
      </w:tr>
      <w:tr>
        <w:trPr>
          <w:trHeight w:val="264"/>
        </w:trPr>
        <w:tc>
          <w:tcPr>
            <w:tcW w:w="9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403</w:t>
            </w:r>
          </w:p>
        </w:tc>
        <w:tc>
          <w:tcPr>
            <w:tcW w:w="380" w:type="dxa"/>
            <w:vAlign w:val="bottom"/>
            <w:tcBorders>
              <w:bottom w:val="single" w:sz="8" w:color="auto"/>
            </w:tcBorders>
          </w:tcPr>
          <w:p>
            <w:pPr>
              <w:spacing w:after="0"/>
              <w:rPr>
                <w:sz w:val="22"/>
                <w:szCs w:val="22"/>
                <w:color w:val="auto"/>
              </w:rPr>
            </w:pPr>
          </w:p>
        </w:tc>
      </w:tr>
      <w:tr>
        <w:trPr>
          <w:trHeight w:val="243"/>
        </w:trPr>
        <w:tc>
          <w:tcPr>
            <w:tcW w:w="9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581</w:t>
            </w:r>
          </w:p>
        </w:tc>
        <w:tc>
          <w:tcPr>
            <w:tcW w:w="380" w:type="dxa"/>
            <w:vAlign w:val="bottom"/>
          </w:tcPr>
          <w:p>
            <w:pPr>
              <w:spacing w:after="0"/>
              <w:rPr>
                <w:sz w:val="21"/>
                <w:szCs w:val="21"/>
                <w:color w:val="auto"/>
              </w:rPr>
            </w:pPr>
          </w:p>
        </w:tc>
      </w:tr>
      <w:tr>
        <w:trPr>
          <w:trHeight w:val="851"/>
        </w:trPr>
        <w:tc>
          <w:tcPr>
            <w:tcW w:w="9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4"/>
                <w:szCs w:val="24"/>
                <w:color w:val="auto"/>
              </w:rPr>
            </w:pPr>
          </w:p>
        </w:tc>
      </w:tr>
      <w:tr>
        <w:trPr>
          <w:trHeight w:val="581"/>
        </w:trPr>
        <w:tc>
          <w:tcPr>
            <w:tcW w:w="9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r>
      <w:tr>
        <w:trPr>
          <w:trHeight w:val="264"/>
        </w:trPr>
        <w:tc>
          <w:tcPr>
            <w:tcW w:w="9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91</w:t>
            </w:r>
          </w:p>
        </w:tc>
        <w:tc>
          <w:tcPr>
            <w:tcW w:w="380" w:type="dxa"/>
            <w:vAlign w:val="bottom"/>
            <w:tcBorders>
              <w:bottom w:val="single" w:sz="8" w:color="auto"/>
            </w:tcBorders>
          </w:tcPr>
          <w:p>
            <w:pPr>
              <w:spacing w:after="0"/>
              <w:rPr>
                <w:sz w:val="22"/>
                <w:szCs w:val="22"/>
                <w:color w:val="auto"/>
              </w:rPr>
            </w:pPr>
          </w:p>
        </w:tc>
      </w:tr>
      <w:tr>
        <w:trPr>
          <w:trHeight w:val="243"/>
        </w:trPr>
        <w:tc>
          <w:tcPr>
            <w:tcW w:w="9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21"/>
                <w:szCs w:val="21"/>
                <w:color w:val="auto"/>
              </w:rPr>
            </w:pPr>
          </w:p>
        </w:tc>
      </w:tr>
      <w:tr>
        <w:trPr>
          <w:trHeight w:val="851"/>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5.2 years</w:t>
            </w:r>
          </w:p>
        </w:tc>
        <w:tc>
          <w:tcPr>
            <w:tcW w:w="380" w:type="dxa"/>
            <w:vAlign w:val="bottom"/>
          </w:tcPr>
          <w:p>
            <w:pPr>
              <w:spacing w:after="0"/>
              <w:rPr>
                <w:sz w:val="24"/>
                <w:szCs w:val="24"/>
                <w:color w:val="auto"/>
              </w:rPr>
            </w:pPr>
          </w:p>
        </w:tc>
      </w:tr>
      <w:tr>
        <w:trPr>
          <w:trHeight w:val="257"/>
        </w:trPr>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4.6 years</w:t>
            </w:r>
          </w:p>
        </w:tc>
        <w:tc>
          <w:tcPr>
            <w:tcW w:w="380" w:type="dxa"/>
            <w:vAlign w:val="bottom"/>
          </w:tcPr>
          <w:p>
            <w:pPr>
              <w:spacing w:after="0"/>
              <w:rPr>
                <w:sz w:val="22"/>
                <w:szCs w:val="22"/>
                <w:color w:val="auto"/>
              </w:rPr>
            </w:pPr>
          </w:p>
        </w:tc>
      </w:tr>
      <w:tr>
        <w:trPr>
          <w:trHeight w:val="851"/>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3.5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right"/>
              <w:ind w:right="614"/>
              <w:spacing w:after="0"/>
              <w:rPr>
                <w:sz w:val="20"/>
                <w:szCs w:val="20"/>
                <w:color w:val="auto"/>
              </w:rPr>
            </w:pPr>
            <w:r>
              <w:rPr>
                <w:rFonts w:ascii="Arial" w:cs="Arial" w:eastAsia="Arial" w:hAnsi="Arial"/>
                <w:sz w:val="18"/>
                <w:szCs w:val="18"/>
                <w:color w:val="auto"/>
              </w:rPr>
              <w:t>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7720" w:space="720"/>
            <w:col w:w="2980"/>
          </w:cols>
          <w:pgMar w:left="240" w:top="140" w:right="23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2020, we expect to record a $45 million operating lease liability for a 15 year lease that has not yet commenced.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40"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Future lease payments under non-cancelable leases under the new lease accounting rules (ASC 842) that went into effect on January 1,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As of December 31, 2019</w:t>
            </w:r>
          </w:p>
        </w:tc>
      </w:tr>
      <w:tr>
        <w:trPr>
          <w:trHeight w:val="264"/>
        </w:trPr>
        <w:tc>
          <w:tcPr>
            <w:tcW w:w="7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60" w:type="dxa"/>
            <w:vAlign w:val="bottom"/>
            <w:gridSpan w:val="4"/>
          </w:tcPr>
          <w:p>
            <w:pPr>
              <w:jc w:val="right"/>
              <w:ind w:right="127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61"/>
        </w:trPr>
        <w:tc>
          <w:tcPr>
            <w:tcW w:w="7880" w:type="dxa"/>
            <w:vAlign w:val="bottom"/>
          </w:tcPr>
          <w:p>
            <w:pPr>
              <w:ind w:left="180"/>
              <w:spacing w:after="0"/>
              <w:rPr>
                <w:sz w:val="20"/>
                <w:szCs w:val="20"/>
                <w:color w:val="auto"/>
              </w:rPr>
            </w:pPr>
            <w:r>
              <w:rPr>
                <w:rFonts w:ascii="Arial" w:cs="Arial" w:eastAsia="Arial" w:hAnsi="Arial"/>
                <w:sz w:val="17"/>
                <w:szCs w:val="17"/>
                <w:color w:val="auto"/>
              </w:rPr>
              <w:t>2020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38</w:t>
            </w:r>
          </w:p>
        </w:tc>
      </w:tr>
      <w:tr>
        <w:trPr>
          <w:trHeight w:val="279"/>
        </w:trPr>
        <w:tc>
          <w:tcPr>
            <w:tcW w:w="7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w:t>
            </w:r>
          </w:p>
        </w:tc>
      </w:tr>
      <w:tr>
        <w:trPr>
          <w:trHeight w:val="261"/>
        </w:trPr>
        <w:tc>
          <w:tcPr>
            <w:tcW w:w="7880" w:type="dxa"/>
            <w:vAlign w:val="bottom"/>
          </w:tcPr>
          <w:p>
            <w:pPr>
              <w:ind w:left="18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22"/>
                <w:szCs w:val="22"/>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23</w:t>
            </w:r>
          </w:p>
        </w:tc>
      </w:tr>
      <w:tr>
        <w:trPr>
          <w:trHeight w:val="279"/>
        </w:trPr>
        <w:tc>
          <w:tcPr>
            <w:tcW w:w="7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w:t>
            </w:r>
          </w:p>
        </w:tc>
      </w:tr>
      <w:tr>
        <w:trPr>
          <w:trHeight w:val="261"/>
        </w:trPr>
        <w:tc>
          <w:tcPr>
            <w:tcW w:w="7880" w:type="dxa"/>
            <w:vAlign w:val="bottom"/>
          </w:tcPr>
          <w:p>
            <w:pPr>
              <w:ind w:left="18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22"/>
                <w:szCs w:val="22"/>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9</w:t>
            </w:r>
          </w:p>
        </w:tc>
      </w:tr>
      <w:tr>
        <w:trPr>
          <w:trHeight w:val="279"/>
        </w:trPr>
        <w:tc>
          <w:tcPr>
            <w:tcW w:w="7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w:t>
            </w:r>
          </w:p>
        </w:tc>
      </w:tr>
      <w:tr>
        <w:trPr>
          <w:trHeight w:val="241"/>
        </w:trPr>
        <w:tc>
          <w:tcPr>
            <w:tcW w:w="7880" w:type="dxa"/>
            <w:vAlign w:val="bottom"/>
          </w:tcPr>
          <w:p>
            <w:pPr>
              <w:ind w:left="180"/>
              <w:spacing w:after="0"/>
              <w:rPr>
                <w:sz w:val="20"/>
                <w:szCs w:val="20"/>
                <w:color w:val="auto"/>
              </w:rPr>
            </w:pPr>
            <w:r>
              <w:rPr>
                <w:rFonts w:ascii="Arial" w:cs="Arial" w:eastAsia="Arial" w:hAnsi="Arial"/>
                <w:sz w:val="17"/>
                <w:szCs w:val="17"/>
                <w:color w:val="auto"/>
              </w:rPr>
              <w:t>Total future undiscounted lease payments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134</w:t>
            </w:r>
          </w:p>
        </w:tc>
      </w:tr>
      <w:tr>
        <w:trPr>
          <w:trHeight w:val="279"/>
        </w:trPr>
        <w:tc>
          <w:tcPr>
            <w:tcW w:w="7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3"/>
        </w:trPr>
        <w:tc>
          <w:tcPr>
            <w:tcW w:w="7880" w:type="dxa"/>
            <w:vAlign w:val="bottom"/>
          </w:tcPr>
          <w:p>
            <w:pPr>
              <w:ind w:left="180"/>
              <w:spacing w:after="0"/>
              <w:rPr>
                <w:sz w:val="20"/>
                <w:szCs w:val="20"/>
                <w:color w:val="auto"/>
              </w:rPr>
            </w:pPr>
            <w:r>
              <w:rPr>
                <w:rFonts w:ascii="Arial" w:cs="Arial" w:eastAsia="Arial" w:hAnsi="Arial"/>
                <w:sz w:val="17"/>
                <w:szCs w:val="17"/>
                <w:color w:val="auto"/>
              </w:rPr>
              <w:t>Total reported lease liability</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123</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minimum rental commitments under non-cancelable operating leases under prior lease accounting rules (ASC 840)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208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648"/>
        </w:trPr>
        <w:tc>
          <w:tcPr>
            <w:tcW w:w="3540" w:type="dxa"/>
            <w:vAlign w:val="bottom"/>
            <w:gridSpan w:val="7"/>
          </w:tcPr>
          <w:p>
            <w:pPr>
              <w:spacing w:after="0"/>
              <w:rPr>
                <w:sz w:val="20"/>
                <w:szCs w:val="20"/>
                <w:color w:val="auto"/>
              </w:rPr>
            </w:pPr>
            <w:r>
              <w:rPr>
                <w:rFonts w:ascii="Arial" w:cs="Arial" w:eastAsia="Arial" w:hAnsi="Arial"/>
                <w:sz w:val="18"/>
                <w:szCs w:val="18"/>
                <w:b w:val="1"/>
                <w:bCs w:val="1"/>
                <w:color w:val="auto"/>
              </w:rPr>
              <w:t>Note 6. Goodwill and Intangible Assets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60" w:type="dxa"/>
            <w:vAlign w:val="bottom"/>
            <w:gridSpan w:val="6"/>
          </w:tcPr>
          <w:p>
            <w:pPr>
              <w:spacing w:after="0"/>
              <w:rPr>
                <w:sz w:val="20"/>
                <w:szCs w:val="20"/>
                <w:color w:val="auto"/>
              </w:rPr>
            </w:pPr>
            <w:r>
              <w:rPr>
                <w:rFonts w:ascii="Arial" w:cs="Arial" w:eastAsia="Arial" w:hAnsi="Arial"/>
                <w:sz w:val="18"/>
                <w:szCs w:val="18"/>
                <w:color w:val="auto"/>
              </w:rPr>
              <w:t>Goodwill by operating segment was: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left="417"/>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6"/>
          </w:tcPr>
          <w:p>
            <w:pPr>
              <w:jc w:val="center"/>
              <w:ind w:left="397"/>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63"/>
        </w:trPr>
        <w:tc>
          <w:tcPr>
            <w:tcW w:w="740" w:type="dxa"/>
            <w:vAlign w:val="bottom"/>
          </w:tcPr>
          <w:p>
            <w:pPr>
              <w:ind w:left="40"/>
              <w:spacing w:after="0"/>
              <w:rPr>
                <w:sz w:val="20"/>
                <w:szCs w:val="20"/>
                <w:color w:val="auto"/>
              </w:rPr>
            </w:pPr>
            <w:r>
              <w:rPr>
                <w:rFonts w:ascii="Arial" w:cs="Arial" w:eastAsia="Arial" w:hAnsi="Arial"/>
                <w:sz w:val="18"/>
                <w:szCs w:val="18"/>
                <w:color w:val="auto"/>
              </w:rPr>
              <w:t>AMEA</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7"/>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7,523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North America</w:t>
            </w:r>
          </w:p>
        </w:tc>
        <w:tc>
          <w:tcPr>
            <w:tcW w:w="5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50"/>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Goodwill</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20,848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540" w:type="dxa"/>
            <w:vAlign w:val="bottom"/>
            <w:gridSpan w:val="7"/>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left="417"/>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6"/>
          </w:tcPr>
          <w:p>
            <w:pPr>
              <w:jc w:val="center"/>
              <w:ind w:left="397"/>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9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Amortizable intangible assets</w:t>
            </w:r>
          </w:p>
        </w:tc>
        <w:tc>
          <w:tcPr>
            <w:tcW w:w="5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7"/>
        </w:trPr>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19,670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Accumulated amortization</w:t>
            </w:r>
          </w:p>
        </w:tc>
        <w:tc>
          <w:tcPr>
            <w:tcW w:w="5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0"/>
        </w:trPr>
        <w:tc>
          <w:tcPr>
            <w:tcW w:w="1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17,957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140"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Amortization expense for intangible assets was $174 million in 2019, $176 million in 2018 and $178 million in 2017. For the next five years, we estimate annual amortization expense of approximately $175 million next year, approximately $90 million in year two and approximately $85 million in years three to five, reflecting December 31, 2019 exchange rates.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2019</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0" w:type="dxa"/>
            <w:vAlign w:val="bottom"/>
            <w:tcBorders>
              <w:bottom w:val="single" w:sz="8" w:color="auto"/>
            </w:tcBorders>
          </w:tcPr>
          <w:p>
            <w:pPr>
              <w:spacing w:after="0"/>
              <w:rPr>
                <w:sz w:val="17"/>
                <w:szCs w:val="17"/>
                <w:color w:val="auto"/>
              </w:rPr>
            </w:pPr>
          </w:p>
        </w:tc>
      </w:tr>
      <w:tr>
        <w:trPr>
          <w:trHeight w:val="175"/>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Intangible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Goodwill</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Assets, at cost</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Goodwill</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Assets, at cost</w:t>
            </w:r>
          </w:p>
        </w:tc>
      </w:tr>
      <w:tr>
        <w:trPr>
          <w:trHeight w:val="223"/>
        </w:trPr>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19,529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21,085</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20,057</w:t>
            </w: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Changes due to:</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
        </w:trPr>
        <w:tc>
          <w:tcPr>
            <w:tcW w:w="4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63"/>
        </w:trPr>
        <w:tc>
          <w:tcPr>
            <w:tcW w:w="4660" w:type="dxa"/>
            <w:vAlign w:val="bottom"/>
          </w:tcPr>
          <w:p>
            <w:pPr>
              <w:ind w:left="180"/>
              <w:spacing w:after="0"/>
              <w:rPr>
                <w:sz w:val="20"/>
                <w:szCs w:val="20"/>
                <w:color w:val="auto"/>
              </w:rPr>
            </w:pPr>
            <w:r>
              <w:rPr>
                <w:rFonts w:ascii="Arial" w:cs="Arial" w:eastAsia="Arial" w:hAnsi="Arial"/>
                <w:sz w:val="16"/>
                <w:szCs w:val="16"/>
                <w:color w:val="auto"/>
              </w:rPr>
              <w:t>Divestitures</w:t>
            </w:r>
          </w:p>
        </w:tc>
        <w:tc>
          <w:tcPr>
            <w:tcW w:w="3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r>
      <w:tr>
        <w:trPr>
          <w:trHeight w:val="264"/>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Asset impairments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50"/>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19,670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19,529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40" w:right="20" w:hanging="321"/>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Divestitures – During the second quarter of 2019, we divested the net assets of most of our cheese business in the Middle East and Africa to Arla Foods of Denmark resulting in a goodwill decrease of $43 million.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Acquisitions – In connection with the acquisition of a majority interest in Perfect Snacks during the third quarter of 2019, we recorded a preliminary purchase price allocation of $150 million to goodwill and $138 million to intangible assets. In the second quarter of 2019, we also finalized the purchase price allocation for the 2018 acquisition of Tate's Bake Shop, resulting in a $1 million adjustment to goodwill. During 2018, we recorded a preliminary purchase price allocation of $298 million to goodwill and $250 million to intangible assets related to the acquisition of Tate's Bake Shop in the second quarter of 2018.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640" w:right="340" w:hanging="321"/>
        <w:spacing w:after="0" w:line="262"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impairments – As further discussed below, we recorded $57 million of intangible asset impairments in 2019 and $68 million in 2018.</w:t>
      </w:r>
    </w:p>
    <w:p>
      <w:pPr>
        <w:spacing w:after="0" w:line="19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2019, 2018 and 2017,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During our 2019 annual testing of non-amortizable intangible assets, we recorded $ 57 million of impairment charges in the third quarter related to nine brands. We recorded charges related to gum, chocolate, biscuits and candy brands of $39 million in Europe, $15 million in AMEA and $3 million in Latin America. We also identified fourteen brands, including the nine impaired trademarks, with $ 635 million of aggregate book value as of December 31, 2019 that each had a fair value in excess of book value of 10% or less.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 In 2018, we recorded $68 million of impairment charges for gum, chocolate, biscuits and candy brands of $45 million in Europe, $ 14 million in North America and $9 million in AMEA. In 2017, we recorded $109 million of impairment charges, of which $ 70 million related to annual testing impairment charges for candy and gum brands of $52 million in AMEA, $11 million in Europe, $5 million in Latin America and $ 2 million in North America. During 2017, we also recorded a $38 million intangible asset impairment charge resulting from a category decline and lower than expected product growth related to a gum brand in our North America segment and a $1 million intangible asset impairment charge related to a transaction.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16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$ 7,212 million as of December 31, 2019 and $7,123 million as of December 31, 2018. In both years, our largest equity method investments were in Jacobs Douwe Egberts (“JDE”) and Keurig Green Mountain, Inc. ("Keurig") prior to July 9, 2018 and Keurig Dr Pepper Inc. (NYSE: "KDP”) subsequent to July 9,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2019, we held a 26.5% voting interest, a 26.4% ownership interest and a 26.3% profit and dividend sharing interest in JDE. We recorded JDE equity earnings of $195 million in 2019, $230 million in 2018 (which includes a deferred tax benefit from a Dutch tax rate reduction) and $129 million in 2017. We also recorded $73 million of cash dividends received in both 2019 and 2018 and $49 million of cash dividends received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7, 2016, we exchanged a portion of our JDE equity interest for a new equity interest in Keurig. As a result of the exchange, we recorded the difference between the $2.0 billion fair value of Keurig and our basis in the exchanged JDE shares as a gain of $43 million. In the second quarter of 2019, we determined an adjustment to accumulated other comprehensive losses related to our JDE investment was required, which reduced our previously reported gain by $29 million. We recorded the adjustment as a loss on equity method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w:t>
      </w:r>
    </w:p>
    <w:p>
      <w:pPr>
        <w:spacing w:after="0" w:line="27"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KDP, a publicly traded company. Following the close of the transaction, our 24.2% investment in Keurig together with our shareholder loan receivable became a 13.8% investment in KDP. During 2018, we recorded a net pre-tax gain of $778 million (or $586 million after-tax).</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this transaction, we changed our accounting principle during the third quarter of 2018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The change was retrospectively applied to all prior periods presented.</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2019, we held a 13.6% ownership interest in KDP valued at approximately $5.5 billion (based on KDP's closing stock price), which exceeded the carrying value of our KDP investment. Our KDP ownership interest could change over time due to stock-based compensation arrangements or other KDP transactions. During the first quarter of 2019, due to the impact of a KDP acquisition that decreased our ownership interest from 13.8% to 13.6%, we recognized a $23 million pre-tax gain.</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Keurig and KDP equity earnings, as adjusted for the one-quarter lag basis, totaled $160 million in 2019, $213 million in 2018 (includes a deferred tax benefit Keurig recorded as a result of U.S. tax reform) and $92 million in 2017. Within equity method investment net earnings, we also recorded shareholder loan interest income of $12 million in 2018 and $ 24 million in 2017. We received shareholder loan interest payments of $12 million in 2018 and $30 million in 2017 and dividends of $115 million in 2019, $34 million in 2018 and $14 million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Method Investment transactions: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 We recorded a pre-tax gain of $40 million within the gain on equity method investment transactions and $15 million of tax expense. During the second quarter of 2019, we recorded an additional pre-tax gain of $4 million related to the sale and release of indemnity-related funds previously held in escrow that were released.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0"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related to our equity method investments is reflected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5,650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5,695</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w:t>
            </w:r>
          </w:p>
        </w:tc>
        <w:tc>
          <w:tcPr>
            <w:tcW w:w="4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69,232</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69,445</w:t>
            </w: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74,882</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75,140</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10,037</w:t>
            </w:r>
          </w:p>
        </w:tc>
        <w:tc>
          <w:tcPr>
            <w:tcW w:w="100" w:type="dxa"/>
            <w:vAlign w:val="bottom"/>
          </w:tcPr>
          <w:p>
            <w:pPr>
              <w:spacing w:after="0"/>
              <w:rPr>
                <w:sz w:val="22"/>
                <w:szCs w:val="22"/>
                <w:color w:val="auto"/>
              </w:rPr>
            </w:pP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9,434</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27,642</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29,296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37,679</w:t>
            </w:r>
          </w:p>
        </w:tc>
        <w:tc>
          <w:tcPr>
            <w:tcW w:w="100" w:type="dxa"/>
            <w:vAlign w:val="bottom"/>
          </w:tcPr>
          <w:p>
            <w:pPr>
              <w:spacing w:after="0"/>
              <w:rPr>
                <w:sz w:val="21"/>
                <w:szCs w:val="21"/>
                <w:color w:val="auto"/>
              </w:rPr>
            </w:pP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38,730</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shareowners of investees</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37,170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36,365</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4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equity of investees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37,203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36,411</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Mondelēz International ownership interests</w:t>
            </w:r>
          </w:p>
        </w:tc>
        <w:tc>
          <w:tcPr>
            <w:tcW w:w="4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13-50%</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1"/>
                <w:szCs w:val="21"/>
                <w:color w:val="auto"/>
                <w:vertAlign w:val="superscript"/>
              </w:rPr>
              <w:t>(1)</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7,212</w:t>
            </w: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7,123</w:t>
            </w:r>
          </w:p>
        </w:tc>
      </w:tr>
      <w:tr>
        <w:trPr>
          <w:trHeight w:val="20"/>
        </w:trPr>
        <w:tc>
          <w:tcPr>
            <w:tcW w:w="6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55"/>
        </w:trPr>
        <w:tc>
          <w:tcPr>
            <w:tcW w:w="6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14,185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4,913</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1,118</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investees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Mondelēz International ownership interests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24-50%</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Mondelēz International share of investee 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Keurig shareholder loan interest income</w:t>
            </w:r>
          </w:p>
        </w:tc>
        <w:tc>
          <w:tcPr>
            <w:tcW w:w="4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right="180" w:hanging="332"/>
        <w:spacing w:after="0" w:line="258"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 basis difference of approximately $330 million as of December 31, 2019 and $340 million as of December 31, 2018 between the U.S. GAAP accounting basis for our equity method investments and the U.S. GAAP accounting basis of our investees’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May 6, 2014, our Board of Directors approved a $3.5 billion 2014 -2018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costs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6"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$4.3 billion related to the Simplify to Grow Program. We expect to incur the program charges by year-end 2022.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years ended December 31, 2019 and 2018 was: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40" w:type="dxa"/>
            <w:vAlign w:val="bottom"/>
          </w:tcPr>
          <w:p>
            <w:pPr>
              <w:jc w:val="center"/>
              <w:ind w:left="399"/>
              <w:spacing w:after="0"/>
              <w:rPr>
                <w:sz w:val="20"/>
                <w:szCs w:val="20"/>
                <w:color w:val="auto"/>
              </w:rPr>
            </w:pPr>
            <w:r>
              <w:rPr>
                <w:rFonts w:ascii="Arial" w:cs="Arial" w:eastAsia="Arial" w:hAnsi="Arial"/>
                <w:sz w:val="14"/>
                <w:szCs w:val="14"/>
                <w:b w:val="1"/>
                <w:bCs w:val="1"/>
                <w:color w:val="auto"/>
              </w:rPr>
              <w:t>Severance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1240" w:type="dxa"/>
            <w:vAlign w:val="bottom"/>
          </w:tcPr>
          <w:p>
            <w:pPr>
              <w:jc w:val="center"/>
              <w:ind w:left="399"/>
              <w:spacing w:after="0"/>
              <w:rPr>
                <w:sz w:val="20"/>
                <w:szCs w:val="20"/>
                <w:color w:val="auto"/>
              </w:rPr>
            </w:pPr>
            <w:r>
              <w:rPr>
                <w:rFonts w:ascii="Arial" w:cs="Arial" w:eastAsia="Arial" w:hAnsi="Arial"/>
                <w:sz w:val="14"/>
                <w:szCs w:val="14"/>
                <w:b w:val="1"/>
                <w:bCs w:val="1"/>
                <w:color w:val="auto"/>
              </w:rPr>
              <w:t>and related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6060" w:type="dxa"/>
            <w:vAlign w:val="bottom"/>
          </w:tcPr>
          <w:p>
            <w:pPr>
              <w:spacing w:after="0"/>
              <w:rPr>
                <w:sz w:val="17"/>
                <w:szCs w:val="17"/>
                <w:color w:val="auto"/>
              </w:rPr>
            </w:pPr>
          </w:p>
        </w:tc>
        <w:tc>
          <w:tcPr>
            <w:tcW w:w="124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costs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Write-downs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Total</w:t>
            </w:r>
          </w:p>
        </w:tc>
      </w:tr>
      <w:tr>
        <w:trPr>
          <w:trHeight w:val="237"/>
        </w:trPr>
        <w:tc>
          <w:tcPr>
            <w:tcW w:w="6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2018</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70"/>
        </w:trPr>
        <w:tc>
          <w:tcPr>
            <w:tcW w:w="6060" w:type="dxa"/>
            <w:vAlign w:val="bottom"/>
          </w:tcPr>
          <w:p>
            <w:pPr>
              <w:ind w:left="180"/>
              <w:spacing w:after="0"/>
              <w:rPr>
                <w:sz w:val="20"/>
                <w:szCs w:val="20"/>
                <w:color w:val="auto"/>
              </w:rPr>
            </w:pPr>
            <w:r>
              <w:rPr>
                <w:rFonts w:ascii="Arial" w:cs="Arial" w:eastAsia="Arial" w:hAnsi="Arial"/>
                <w:sz w:val="18"/>
                <w:szCs w:val="18"/>
                <w:color w:val="auto"/>
              </w:rPr>
              <w:t xml:space="preserve">Charges </w:t>
            </w:r>
            <w:r>
              <w:rPr>
                <w:rFonts w:ascii="Arial" w:cs="Arial" w:eastAsia="Arial" w:hAnsi="Arial"/>
                <w:sz w:val="21"/>
                <w:szCs w:val="21"/>
                <w:color w:val="auto"/>
                <w:vertAlign w:val="superscript"/>
              </w:rPr>
              <w:t>(1)</w:t>
            </w:r>
          </w:p>
        </w:tc>
        <w:tc>
          <w:tcPr>
            <w:tcW w:w="12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2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84"/>
        </w:trPr>
        <w:tc>
          <w:tcPr>
            <w:tcW w:w="6060" w:type="dxa"/>
            <w:vAlign w:val="bottom"/>
          </w:tcPr>
          <w:p>
            <w:pPr>
              <w:ind w:left="40"/>
              <w:spacing w:after="0"/>
              <w:rPr>
                <w:sz w:val="20"/>
                <w:szCs w:val="20"/>
                <w:color w:val="auto"/>
              </w:rPr>
            </w:pPr>
            <w:r>
              <w:rPr>
                <w:rFonts w:ascii="Arial" w:cs="Arial" w:eastAsia="Arial" w:hAnsi="Arial"/>
                <w:sz w:val="18"/>
                <w:szCs w:val="18"/>
                <w:color w:val="auto"/>
              </w:rPr>
              <w:t>Liability Balance, December 31, 2018</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373</w:t>
            </w:r>
          </w:p>
        </w:tc>
      </w:tr>
      <w:tr>
        <w:trPr>
          <w:trHeight w:val="244"/>
        </w:trPr>
        <w:tc>
          <w:tcPr>
            <w:tcW w:w="6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Charges </w:t>
            </w:r>
            <w:r>
              <w:rPr>
                <w:rFonts w:ascii="Arial" w:cs="Arial" w:eastAsia="Arial" w:hAnsi="Arial"/>
                <w:sz w:val="21"/>
                <w:szCs w:val="21"/>
                <w:color w:val="auto"/>
                <w:vertAlign w:val="superscript"/>
              </w:rPr>
              <w:t>(1)</w:t>
            </w:r>
          </w:p>
        </w:tc>
        <w:tc>
          <w:tcPr>
            <w:tcW w:w="12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Cash spent</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1"/>
                <w:szCs w:val="21"/>
                <w:color w:val="auto"/>
                <w:vertAlign w:val="superscript"/>
              </w:rPr>
              <w:t>(2)</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December 31, 2019</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settlement losses of $5 million in 2019 and $5 million in 2018 recorded within benefit plan non-service income on our consolidated statements of earnings.</w:t>
      </w:r>
    </w:p>
    <w:p>
      <w:pPr>
        <w:spacing w:after="0" w:line="1" w:lineRule="exact"/>
        <w:rPr>
          <w:rFonts w:ascii="Arial" w:cs="Arial" w:eastAsia="Arial" w:hAnsi="Arial"/>
          <w:sz w:val="14"/>
          <w:szCs w:val="14"/>
          <w:color w:val="auto"/>
        </w:rPr>
      </w:pPr>
    </w:p>
    <w:p>
      <w:pPr>
        <w:ind w:left="340" w:right="140" w:hanging="332"/>
        <w:spacing w:after="0" w:line="250"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adopted the new lease accounting ASU as of January 1, 2019. The ASU requires recording onerous lease liabilities netted with right of use assets. Therefore, during the first quarter of 2019, we reclassified onerous lease liabilities that totaled $23 million as of March 31, 2019, from accrued liabilities and other accrued liabilities to operating lease right of use assets.</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recorded restructuring charges of $176 million in 2019, $316 million in 2018 and $535 million in 2017 within asset impairment and exit costs and benefit plan non-service income. We spent $162 million in 2019 and $310 million in 2018 in cash severance and related costs. We also recognized non-cash pension settlement losses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(including a transfer of onerous lease liabilities to operating lease ROU assets during the first quarter of 2019) totaling $82 million in 2019 and $67 million in 2018. At December 31, 2019, $275 million of our net restructuring liability was recorded within other current liabilities and $26 million was recorded within other long-term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$272 million in 2019, $315 million in 2018 and $257 million in 2017. We recorded these costs within cost of sales and general corporate expense within selling, general and administrative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0"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2019, 2018 and 2017, and since inception of the Simplify to Grow Program, we recorded the following restructuring and implementation costs within segment operating income and earnings before income taxes: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2"/>
        </w:trPr>
        <w:tc>
          <w:tcPr>
            <w:tcW w:w="3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448</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Year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631</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Year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535</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792</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2,726</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1,614</w:t>
            </w:r>
          </w:p>
        </w:tc>
      </w:tr>
      <w:tr>
        <w:trPr>
          <w:trHeight w:val="244"/>
        </w:trPr>
        <w:tc>
          <w:tcPr>
            <w:tcW w:w="32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4,340</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20" w:hanging="332"/>
        <w:spacing w:after="0" w:line="24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During 2017-2019,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right="540" w:hanging="332"/>
        <w:spacing w:after="0" w:line="24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Benefit plan non-service income amounts associated with restructuring program activities that are no longer recorded in segment operating income are included in the Corporate column in the table above for all periods presented. The Corporate column also includes minor adjustments for pension settlement losses and rounding.</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December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Borrowing Arrangements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64"/>
        </w:trPr>
        <w:tc>
          <w:tcPr>
            <w:tcW w:w="4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448"/>
              <w:spacing w:after="0"/>
              <w:rPr>
                <w:sz w:val="20"/>
                <w:szCs w:val="20"/>
                <w:color w:val="auto"/>
              </w:rPr>
            </w:pPr>
            <w:r>
              <w:rPr>
                <w:rFonts w:ascii="Arial" w:cs="Arial" w:eastAsia="Arial" w:hAnsi="Arial"/>
                <w:sz w:val="14"/>
                <w:szCs w:val="14"/>
                <w:b w:val="1"/>
                <w:bCs w:val="1"/>
                <w:color w:val="auto"/>
              </w:rPr>
              <w:t>2018</w:t>
            </w:r>
          </w:p>
        </w:tc>
      </w:tr>
      <w:tr>
        <w:trPr>
          <w:trHeight w:val="175"/>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4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4580" w:type="dxa"/>
            <w:vAlign w:val="bottom"/>
          </w:tcPr>
          <w:p>
            <w:pPr>
              <w:ind w:left="40"/>
              <w:spacing w:after="0"/>
              <w:rPr>
                <w:sz w:val="20"/>
                <w:szCs w:val="20"/>
                <w:color w:val="auto"/>
              </w:rPr>
            </w:pPr>
            <w:r>
              <w:rPr>
                <w:rFonts w:ascii="Arial" w:cs="Arial" w:eastAsia="Arial" w:hAnsi="Arial"/>
                <w:sz w:val="18"/>
                <w:szCs w:val="18"/>
                <w:color w:val="auto"/>
              </w:rPr>
              <w:t>Bank loans</w:t>
            </w:r>
          </w:p>
        </w:tc>
        <w:tc>
          <w:tcPr>
            <w:tcW w:w="2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December 31, 2019, commercial paper issued and outstanding had between 2 and 52 days remaining to maturity. Commercial paper borrowings decreased since the 2018 year-end primarily as a result of repayments from operating cash flow and proceeds from long-term debt issuances net of repayments, partially offset by increased borrowings for shareholder dividends and share repurchases.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$1.7 billion at December 31, 2019 and at December 31, 2018. Borrowings on these lines were $57 million at December 31, 2019 and $138 million at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September 13, 2019, Mondelez International Holdings Netherlands B.V. ("MIHN"), a wholly owned Dutch subsidiary of Mondelēz International, Inc., entered into a term loan agreement pursuant to which MIHN may incur up to $500 million of term loans with a three-year term and $ 500 million of term loans with a five-year term. Proceeds from the term loan may be used for general corporate purposes, including repayment of debt. On October 25, 2019, we fully drew on the term loans and received proceeds of $1.0 billion. We also entered into cross-currency swaps, serving as cash flow hedges, so that the U.S. dollar-denominated debt payments will effectively be paid in euros over the life of the debt.</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27, 2019, to supplement our commercial paper program, we entered into a $1.5 billion revolving credit agreement for a 364-day senior unsecured credit facility that is scheduled to expire on February 26, 2020. The agreement replaces our previous credit agreement that matured on February 27, 2019 and includes the same terms and conditions as our existing $4.5 billion multi-year credit facility discussed below. As of December 31, 2019, no amounts were drawn on the facility.</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February 27, 2019, we entered into a $4.5 billion multi-year senior unsecured revolving credit facility for general corporate purposes, including working capital needs, and to support our commercial paper program. This agreement replaced our $4.5 billion amended and restated five-year revolving credit agreement, dated as of October 14, 2016. The revolving credit agreement is scheduled to expire on February 27, 2024. The revolving credit agreement includes a covenant that we maintain a minimum shareholders' equity of at least $ 24.6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December 31, 2019, we complied with this covenant as our shareholders' equity, as defined by the covenant, was $37.5 billion. The revolving credit facility also contains customary representations, covenants and events of default. There are no credit rating triggers, provisions or other financial covenants that could require us to post collateral as security. As of December 31, 2019, no amounts were drawn on the facility.</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April 2, 2018, in connection with the tender offer described below, we entered into a $2.0 billion revolving credit agreement for a 364-day senior unsecured credit facility that was due to expire on April 1, 2019. The agreement included the same terms and conditions as our existing $4.5 billion multi-year credit facility discussed above. On April 17, 2018, we borrowed $714 million on this facility to fund the debt tender described below and availability under the facility was reduced to match the borrowed amount. On May 7, 2018, we repaid the $714 million from the net proceeds received from the May 2018 $2.5 billion long-term debt issuance and terminated this credit facility.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37"/>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 notes, 0.163% to 7.000% (weighted-average effective rate 3.107%),</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9,442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9,492</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Euro notes, 0.875% to 2.375% (weighted-average effective rate 1.696%),</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due through 2035</w:t>
            </w:r>
          </w:p>
        </w:tc>
        <w:tc>
          <w:tcPr>
            <w:tcW w:w="3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3,492</w:t>
            </w: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Pound sterling notes, 3.875% to 4.500% (weighted-average effective rate 4.151%),</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2045</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Swiss franc notes, 0.050% to 1.125% (weighted-average effective rate 0.703%),</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due through 2025</w:t>
            </w:r>
          </w:p>
        </w:tc>
        <w:tc>
          <w:tcPr>
            <w:tcW w:w="3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1,424</w:t>
            </w: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 notes, 3.250% (effective rate 3.320%),</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2025</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leases and other obligations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15,788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15,180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12,532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Deferred debt issuance costs of $33 million as of December 31, 2019 and $32 million as of December 31, 2018 are netted against the related debt in the table above. Deferred financing costs related to our revolving credit facility are classified in long-term other assets and were immaterial for all periods presented.</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2019, aggregate maturities of our debt and finance leases based on stated contractual maturities, excluding unamortized non-cash bond premiums, discounts, bank fees and mark-to-market adjustments of $(76) million and imputed interest on finance leases of $(11) million, were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43"/>
        </w:trPr>
        <w:tc>
          <w:tcPr>
            <w:tcW w:w="150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21"/>
                <w:szCs w:val="21"/>
                <w:color w:val="auto"/>
              </w:rPr>
            </w:pPr>
          </w:p>
        </w:tc>
        <w:tc>
          <w:tcPr>
            <w:tcW w:w="160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820" w:type="dxa"/>
            <w:vAlign w:val="bottom"/>
            <w:tcBorders>
              <w:top w:val="single" w:sz="8" w:color="auto"/>
            </w:tcBorders>
          </w:tcPr>
          <w:p>
            <w:pPr>
              <w:jc w:val="right"/>
              <w:ind w:right="539"/>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$15,875</w:t>
            </w:r>
          </w:p>
        </w:tc>
      </w:tr>
    </w:tbl>
    <w:p>
      <w:pPr>
        <w:spacing w:after="0" w:line="200" w:lineRule="exact"/>
        <w:rPr>
          <w:sz w:val="20"/>
          <w:szCs w:val="20"/>
          <w:color w:val="auto"/>
        </w:rPr>
      </w:pPr>
    </w:p>
    <w:p>
      <w:pPr>
        <w:spacing w:after="0" w:line="24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On October 28, 2019, $1.75 billion of our 1.625% MIHN notes and $ 500 million of floating rate MIHN notes matured. The notes and accrued interest to date were paid with the term loans drawn on October 25, 2019 and U.S. dollar-denominated notes issued by MIHN on September 19, 2019.</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October 2, 2019, MIHN issued € 500 million of 0.875% euro-denominated notes guaranteed by Mondelēz International, Inc. that mature on October 1, 2031. We received €491 million (or $538 million) of proceeds, net of discounts and associated financing costs of $11 million, which will be amortized into interest expense over the life of the loans. The proceeds were earmarked for general corporate purposes, including repayment of debt.</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September 19, 2019, MIHN issued $1.0 billion of U.S. dollar-denominated notes guaranteed by Mondelēz International, Inc. and consisting of $500 million 2.125% notes that mature on September 19, 2022 and $500 million 2.25% notes that mature on September 19, 2024. We received $ 997 million of proceeds, net of discounts and associated financing costs. The proceeds were earmarked for general corporate purposes, including repayment of debt. We recorded approximately $4 million of deferred financing costs and discounts, which will be amortized into interest expense over the life of the notes. In connection with this debt issuance, we entered into cross-currency swaps, serving as cash flow hedges, so that the U.S. dollar-denominated debt payments will effectively be paid in euros over the life of the debt.</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February 13, 2019, we issued $600 million of 3.625% U.S. dollar-denominated notes that are scheduled to mature February 13, 2026. We received $595 million of net proceeds that were used to repay outstanding commercial paper borrowings and other debt. We recorded approximately $5 million of discounts and deferred financing costs, which will be amortized into interest expense over the life of the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0"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On February 1, 2019, $400 million of our U.S. dollar variable rate notes matured. The notes and accrued interest to date were paid with the issuance of commercial paper and cash on hand.</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August 23, 2018, $280 million of our 6.125% U.S. dollar notes matured. The notes and accrued interest to date were paid with the issuance of commercial paper and cash on hand.</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18, 2018, £76 million (or $ 99 million) of our 7.25% pound sterling notes matured. The notes and accrued interest to date were paid with the issuance of commercial paper and cash on hand.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On May 3, 2018, we issued $2.5 billion of U.S. dollar-denominated, fixed-rate notes consisting of:</w:t>
      </w:r>
    </w:p>
    <w:p>
      <w:pPr>
        <w:spacing w:after="0" w:line="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 million of 3.000% notes that mature in May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 million of 3.625% notes that mature in May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$700 million of 4.125% notes that mature in May 2028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$300 million of 4.625% notes that mature in May 2048</w:t>
      </w:r>
    </w:p>
    <w:p>
      <w:pPr>
        <w:spacing w:after="0" w:line="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May 7, 2018, we received net proceeds of $2.48 billion that were used to repay amounts outstanding under our revolving credit agreement facility and for other general corporate purposes, including the repayment of outstanding commercial paper borrowings and other debt. We recorded approximately $22 million of discounts and deferred financing costs net of various fees associated for the bond transaction and underwriter fee reimbursement, which will be amortized into interest expense over the life of the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we completed a cash tender offer and retired $570 million of the long-term U.S. dollar debt consisting of:</w:t>
      </w:r>
    </w:p>
    <w:p>
      <w:pPr>
        <w:spacing w:after="0" w:line="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$241 million of our 6.500% notes due in February 2040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$97.6 million of our 5.375% notes due in February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$75.8 million of our 6.500% notes due in November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$72.1 million of our 6.875% notes due in February 2038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$42.6 million of our 6.125% notes due in August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$29.3 million of our 6.875% notes due in January 2039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$11.7 million of our 7.000% notes due in August 2037</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financed the repurchase of the notes, including the payment of accrued interest and other costs incurred, from the $2.0 billion revolving credit agreement entered into on April 2, 2018. We recorded a loss on debt extinguishment of $140 million within interest and other expense, net related to the amount we paid to retire the debt in excess of its carrying value and from recognizing unamortized discounts, deferred financing and other cash costs in earnings at the time of the debt extinguishment. Cash costs related to tendering the debt are included in long-term debt repayments in the consolidated statement of cash flows for 2018.</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 2018, we launched an offering of C$600 million of 3.250% Canadian-dollar denominated notes that mature on March 7, 2025. On March 7, 2018, we received C$595 million (or $461 million) of proceeds, net of discounts and underwriting fees, to be used for general corporate purposes. We recorded approximately $4 million of discounts and deferred financing costs, which will be amortized into interest expense over the life of the notes.</w:t>
      </w:r>
    </w:p>
    <w:p>
      <w:pPr>
        <w:spacing w:after="0" w:line="20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On February 1, 2018, $478 million of our 6.125% U.S. dollar notes matured. The notes and accrued interest to date were paid with the issuance of commercial paper and cash on hand.</w:t>
      </w:r>
    </w:p>
    <w:p>
      <w:pPr>
        <w:spacing w:after="0" w:line="17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On January 26, 2018, </w:t>
      </w:r>
      <w:r>
        <w:rPr>
          <w:rFonts w:ascii="Arial" w:cs="Arial" w:eastAsia="Arial" w:hAnsi="Arial"/>
          <w:sz w:val="18"/>
          <w:szCs w:val="18"/>
          <w:i w:val="1"/>
          <w:iCs w:val="1"/>
          <w:color w:val="auto"/>
        </w:rPr>
        <w:t>fr.</w:t>
      </w:r>
      <w:r>
        <w:rPr>
          <w:rFonts w:ascii="Arial" w:cs="Arial" w:eastAsia="Arial" w:hAnsi="Arial"/>
          <w:sz w:val="18"/>
          <w:szCs w:val="18"/>
          <w:color w:val="auto"/>
        </w:rPr>
        <w:t>250 million (or $260 million) of our 0.080% Swiss franc notes matured. The notes and accrued interest to date were paid with the issuance of commercial paper and cash on hand.</w:t>
      </w:r>
    </w:p>
    <w:p>
      <w:pPr>
        <w:spacing w:after="0" w:line="18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weighted-average interest rate on our total debt was 2.2% as of December 31, 2019, 2.3% as of December 31, 2018 and 2.1%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fair value of our short-term borrowings at December 31, 2019 and December 31, 2018 reflects current market interest rates and approximates the amounts we have recorded on our consolidated balance sheets. The fair value of our long-term debt was determined using quoted prices in active markets (Level 1 valuation data) for the publicly traded debt obligations. At December 31, 2019, the aggregate fair value of our total debt was $19,388 million and its carrying value was $18,426 million. At December 31, 2018, the aggregate fair value of our total debt was $18,650 million and its carrying value was $18,372 million.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40"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33"/>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37"/>
        </w:trPr>
        <w:tc>
          <w:tcPr>
            <w:tcW w:w="6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debt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Loss on debt extinguishment and related expenses</w:t>
            </w:r>
          </w:p>
        </w:tc>
        <w:tc>
          <w:tcPr>
            <w:tcW w:w="10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Loss/(gain) related to interest rate swaps</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(income)/expense, net</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r>
      <w:tr>
        <w:trPr>
          <w:trHeight w:val="20"/>
        </w:trPr>
        <w:tc>
          <w:tcPr>
            <w:tcW w:w="6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gain/loss related to U.S. dollar interest rate swaps no longer designated as accounting cash flow hedges during 2019 and 2018 and for information on amounts in other income related to our net investment hedge derivative contracts and the amounts excluded from hedge effectiveness of $133 million in 2019 and $120 million in 2018.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information on the $59 million of other income recorded in 2017 in connection with the resolution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Brazilian indirect tax matter and the reversal of related accrued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64"/>
        </w:trPr>
        <w:tc>
          <w:tcPr>
            <w:tcW w:w="4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6"/>
              </w:rPr>
              <w:t>2019</w:t>
            </w: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tcPr>
          <w:p>
            <w:pPr>
              <w:spacing w:after="0"/>
              <w:rPr>
                <w:sz w:val="22"/>
                <w:szCs w:val="22"/>
                <w:color w:val="auto"/>
              </w:rPr>
            </w:pPr>
          </w:p>
        </w:tc>
      </w:tr>
      <w:tr>
        <w:trPr>
          <w:trHeight w:val="175"/>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34"/>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23"/>
        </w:trPr>
        <w:tc>
          <w:tcPr>
            <w:tcW w:w="4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355</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4"/>
        </w:trPr>
        <w:tc>
          <w:tcPr>
            <w:tcW w:w="466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331</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383</w:t>
            </w:r>
          </w:p>
        </w:tc>
      </w:tr>
      <w:tr>
        <w:trPr>
          <w:trHeight w:val="193"/>
        </w:trPr>
        <w:tc>
          <w:tcPr>
            <w:tcW w:w="4660" w:type="dxa"/>
            <w:vAlign w:val="bottom"/>
            <w:tcBorders>
              <w:top w:val="single" w:sz="8" w:color="CCEEFF"/>
            </w:tcBorders>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2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r>
        <w:trPr>
          <w:trHeight w:val="250"/>
        </w:trPr>
        <w:tc>
          <w:tcPr>
            <w:tcW w:w="46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247</w:t>
            </w:r>
          </w:p>
        </w:tc>
      </w:tr>
      <w:tr>
        <w:trPr>
          <w:trHeight w:val="25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line="247"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 Arrangements</w:t>
      </w:r>
      <w:r>
        <w:rPr>
          <w:rFonts w:ascii="Arial" w:cs="Arial" w:eastAsia="Arial" w:hAnsi="Arial"/>
          <w:sz w:val="14"/>
          <w:szCs w:val="14"/>
          <w:color w:val="auto"/>
        </w:rPr>
        <w:t>. Both net investment hedge derivative contracts and non-U.S. dollar denominated debt acting as net investment hedges are also disclosed in the</w:t>
      </w:r>
      <w:r>
        <w:rPr>
          <w:rFonts w:ascii="Arial" w:cs="Arial" w:eastAsia="Arial" w:hAnsi="Arial"/>
          <w:sz w:val="14"/>
          <w:szCs w:val="14"/>
          <w:i w:val="1"/>
          <w:iCs w:val="1"/>
          <w:color w:val="auto"/>
        </w:rPr>
        <w:t xml:space="preserve"> Derivative Volume </w:t>
      </w:r>
      <w:r>
        <w:rPr>
          <w:rFonts w:ascii="Arial" w:cs="Arial" w:eastAsia="Arial" w:hAnsi="Arial"/>
          <w:sz w:val="14"/>
          <w:szCs w:val="14"/>
          <w:color w:val="auto"/>
        </w:rPr>
        <w:t>table and the</w:t>
      </w:r>
      <w:r>
        <w:rPr>
          <w:rFonts w:ascii="Arial" w:cs="Arial" w:eastAsia="Arial" w:hAnsi="Arial"/>
          <w:sz w:val="14"/>
          <w:szCs w:val="14"/>
          <w:i w:val="1"/>
          <w:iCs w:val="1"/>
          <w:color w:val="auto"/>
        </w:rPr>
        <w:t xml:space="preserve"> Hedges of Net Investments in International Operations </w:t>
      </w:r>
      <w:r>
        <w:rPr>
          <w:rFonts w:ascii="Arial" w:cs="Arial" w:eastAsia="Arial" w:hAnsi="Arial"/>
          <w:sz w:val="14"/>
          <w:szCs w:val="14"/>
          <w:color w:val="auto"/>
        </w:rPr>
        <w:t>section appearing later in this footnote.</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Derivatives designated as accounting hedges above include cash flow and net investment hedge derivative contracts. Our currency exchange and commodity derivative contracts are economic hedges that are not designated as accounting hedges. We record derivative assets and liabilities on a gross basis on our consolidated balance sheets. The fair value of our asset derivatives is recorded within other current assets and the fair value of our liability derivatives is recorded within other current liabilities.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investment hedge contracts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investment hedge contracts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42792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17"/>
        </w:trPr>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180" w:type="dxa"/>
            <w:vAlign w:val="bottom"/>
          </w:tcPr>
          <w:p>
            <w:pPr>
              <w:spacing w:after="0"/>
              <w:rPr>
                <w:sz w:val="24"/>
                <w:szCs w:val="24"/>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75"/>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17"/>
        </w:trPr>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180" w:type="dxa"/>
            <w:vAlign w:val="bottom"/>
          </w:tcPr>
          <w:p>
            <w:pPr>
              <w:spacing w:after="0"/>
              <w:rPr>
                <w:sz w:val="24"/>
                <w:szCs w:val="24"/>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-2854960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-2512060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-2169160</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-882650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-539750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-196850</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740"/>
          </w:cols>
          <w:pgMar w:left="240" w:top="140" w:right="239" w:bottom="1440" w:gutter="0" w:footer="0" w:header="0"/>
          <w:type w:val="continuous"/>
        </w:sectPr>
      </w:pPr>
    </w:p>
    <w:p>
      <w:pPr>
        <w:spacing w:after="0" w:line="23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40"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gross notional values of our derivative instruments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Intercompany loans and forecasted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Forecasted transactions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investment hedge derivative contracts</w:t>
      </w:r>
    </w:p>
    <w:p>
      <w:pPr>
        <w:spacing w:after="0" w:line="63" w:lineRule="exact"/>
        <w:rPr>
          <w:sz w:val="20"/>
          <w:szCs w:val="20"/>
          <w:color w:val="auto"/>
        </w:rPr>
      </w:pPr>
    </w:p>
    <w:p>
      <w:pPr>
        <w:ind w:left="460" w:right="2000" w:hanging="188"/>
        <w:spacing w:after="0" w:line="313" w:lineRule="auto"/>
        <w:rPr>
          <w:sz w:val="20"/>
          <w:szCs w:val="20"/>
          <w:color w:val="auto"/>
        </w:rPr>
      </w:pPr>
      <w:r>
        <w:rPr>
          <w:rFonts w:ascii="Arial" w:cs="Arial" w:eastAsia="Arial" w:hAnsi="Arial"/>
          <w:sz w:val="18"/>
          <w:szCs w:val="18"/>
          <w:color w:val="auto"/>
        </w:rPr>
        <w:t>Non-U.S. dollar debt designated as net investment hedges Euro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British pound sterling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Swiss franc notes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Canadian dollar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p>
      <w:pPr>
        <w:ind w:left="740"/>
        <w:spacing w:after="0"/>
        <w:tabs>
          <w:tab w:leader="none" w:pos="2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7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(in millions)</w:t>
      </w:r>
    </w:p>
    <w:p>
      <w:pPr>
        <w:spacing w:after="0" w:line="351" w:lineRule="exact"/>
        <w:rPr>
          <w:sz w:val="20"/>
          <w:szCs w:val="20"/>
          <w:color w:val="auto"/>
        </w:rPr>
      </w:pPr>
    </w:p>
    <w:p>
      <w:pPr>
        <w:spacing w:after="0"/>
        <w:tabs>
          <w:tab w:leader="none" w:pos="1240" w:val="left"/>
          <w:tab w:leader="none" w:pos="1940" w:val="left"/>
          <w:tab w:leader="none" w:pos="3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2,474</w:t>
        <w:tab/>
        <w:t>$</w:t>
      </w:r>
      <w:r>
        <w:rPr>
          <w:sz w:val="20"/>
          <w:szCs w:val="20"/>
          <w:color w:val="auto"/>
        </w:rPr>
        <w:tab/>
      </w:r>
      <w:r>
        <w:rPr>
          <w:rFonts w:ascii="Arial" w:cs="Arial" w:eastAsia="Arial" w:hAnsi="Arial"/>
          <w:sz w:val="18"/>
          <w:szCs w:val="18"/>
          <w:color w:val="auto"/>
        </w:rPr>
        <w:t>3,239</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3,993</w:t>
      </w:r>
      <w:r>
        <w:rPr>
          <w:sz w:val="20"/>
          <w:szCs w:val="20"/>
          <w:color w:val="auto"/>
        </w:rPr>
        <w:tab/>
      </w:r>
      <w:r>
        <w:rPr>
          <w:rFonts w:ascii="Arial" w:cs="Arial" w:eastAsia="Arial" w:hAnsi="Arial"/>
          <w:sz w:val="18"/>
          <w:szCs w:val="18"/>
          <w:color w:val="auto"/>
        </w:rPr>
        <w:t>2,396</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7,238</w:t>
      </w:r>
      <w:r>
        <w:rPr>
          <w:sz w:val="20"/>
          <w:szCs w:val="20"/>
          <w:color w:val="auto"/>
        </w:rPr>
        <w:tab/>
      </w:r>
      <w:r>
        <w:rPr>
          <w:rFonts w:ascii="Arial" w:cs="Arial" w:eastAsia="Arial" w:hAnsi="Arial"/>
          <w:sz w:val="18"/>
          <w:szCs w:val="18"/>
          <w:color w:val="auto"/>
        </w:rPr>
        <w:t>6,706</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5,250</w:t>
      </w:r>
      <w:r>
        <w:rPr>
          <w:sz w:val="20"/>
          <w:szCs w:val="20"/>
          <w:color w:val="auto"/>
        </w:rPr>
        <w:tab/>
      </w:r>
      <w:r>
        <w:rPr>
          <w:rFonts w:ascii="Arial" w:cs="Arial" w:eastAsia="Arial" w:hAnsi="Arial"/>
          <w:sz w:val="18"/>
          <w:szCs w:val="18"/>
          <w:color w:val="auto"/>
        </w:rPr>
        <w:t>8,679</w:t>
      </w:r>
    </w:p>
    <w:p>
      <w:pPr>
        <w:spacing w:after="0" w:line="33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6,864</w:t>
      </w:r>
      <w:r>
        <w:rPr>
          <w:sz w:val="20"/>
          <w:szCs w:val="20"/>
          <w:color w:val="auto"/>
        </w:rPr>
        <w:tab/>
      </w:r>
      <w:r>
        <w:rPr>
          <w:rFonts w:ascii="Arial" w:cs="Arial" w:eastAsia="Arial" w:hAnsi="Arial"/>
          <w:sz w:val="18"/>
          <w:szCs w:val="18"/>
          <w:color w:val="auto"/>
        </w:rPr>
        <w:t>6,678</w:t>
      </w:r>
    </w:p>
    <w:p>
      <w:pPr>
        <w:spacing w:after="0" w:line="33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3,436</w:t>
      </w:r>
      <w:r>
        <w:rPr>
          <w:sz w:val="20"/>
          <w:szCs w:val="20"/>
          <w:color w:val="auto"/>
        </w:rPr>
        <w:tab/>
      </w:r>
      <w:r>
        <w:rPr>
          <w:rFonts w:ascii="Arial" w:cs="Arial" w:eastAsia="Arial" w:hAnsi="Arial"/>
          <w:sz w:val="18"/>
          <w:szCs w:val="18"/>
          <w:color w:val="auto"/>
        </w:rPr>
        <w:t>3,514</w:t>
      </w:r>
    </w:p>
    <w:p>
      <w:pPr>
        <w:spacing w:after="0" w:line="63" w:lineRule="exact"/>
        <w:rPr>
          <w:sz w:val="20"/>
          <w:szCs w:val="20"/>
          <w:color w:val="auto"/>
        </w:rPr>
      </w:pPr>
    </w:p>
    <w:p>
      <w:pPr>
        <w:jc w:val="both"/>
        <w:ind w:left="1400"/>
        <w:spacing w:after="0"/>
        <w:tabs>
          <w:tab w:leader="none" w:pos="334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8"/>
          <w:szCs w:val="18"/>
          <w:color w:val="auto"/>
        </w:rPr>
        <w:t>336</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1,448</w:t>
      </w:r>
      <w:r>
        <w:rPr>
          <w:sz w:val="20"/>
          <w:szCs w:val="20"/>
          <w:color w:val="auto"/>
        </w:rPr>
        <w:tab/>
      </w:r>
      <w:r>
        <w:rPr>
          <w:rFonts w:ascii="Arial" w:cs="Arial" w:eastAsia="Arial" w:hAnsi="Arial"/>
          <w:sz w:val="18"/>
          <w:szCs w:val="18"/>
          <w:color w:val="auto"/>
        </w:rPr>
        <w:t>1,424</w:t>
      </w:r>
    </w:p>
    <w:p>
      <w:pPr>
        <w:spacing w:after="0" w:line="63" w:lineRule="exact"/>
        <w:rPr>
          <w:sz w:val="20"/>
          <w:szCs w:val="20"/>
          <w:color w:val="auto"/>
        </w:rPr>
      </w:pPr>
    </w:p>
    <w:p>
      <w:pPr>
        <w:jc w:val="both"/>
        <w:ind w:left="1400"/>
        <w:spacing w:after="0"/>
        <w:tabs>
          <w:tab w:leader="none" w:pos="33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8"/>
          <w:szCs w:val="18"/>
          <w:color w:val="auto"/>
        </w:rPr>
        <w:t>440</w:t>
      </w:r>
    </w:p>
    <w:p>
      <w:pPr>
        <w:spacing w:after="0" w:line="200" w:lineRule="exact"/>
        <w:rPr>
          <w:sz w:val="20"/>
          <w:szCs w:val="20"/>
          <w:color w:val="auto"/>
        </w:rPr>
      </w:pPr>
    </w:p>
    <w:p>
      <w:pPr>
        <w:sectPr>
          <w:pgSz w:w="11900" w:h="16838" w:orient="portrait"/>
          <w:cols w:equalWidth="0" w:num="2">
            <w:col w:w="6940" w:space="720"/>
            <w:col w:w="3760"/>
          </w:cols>
          <w:pgMar w:left="240" w:top="140" w:right="239" w:bottom="1440" w:gutter="0" w:footer="0" w:header="0"/>
        </w:sectPr>
      </w:pPr>
    </w:p>
    <w:p>
      <w:pPr>
        <w:spacing w:after="0" w:line="206" w:lineRule="exact"/>
        <w:rPr>
          <w:sz w:val="20"/>
          <w:szCs w:val="20"/>
          <w:color w:val="auto"/>
        </w:rPr>
      </w:pPr>
    </w:p>
    <w:p>
      <w:pPr>
        <w:ind w:left="340" w:right="660" w:hanging="332"/>
        <w:spacing w:after="0" w:line="258"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the fourth quarter of 2019, we changed how we report our commodity contract notional values from a net to a gross basis in line with how we report our other instruments. We have recast 2018 to be consistent with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Transfer of realized (gains)/losses in fair value to earnings</w:t>
            </w:r>
          </w:p>
        </w:tc>
        <w:tc>
          <w:tcPr>
            <w:tcW w:w="114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in fair value</w:t>
            </w:r>
          </w:p>
        </w:tc>
        <w:tc>
          <w:tcPr>
            <w:tcW w:w="1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 forecasted transactions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Within interest and other expense, net, we recognized a loss of $111 million in 2019 and a gain of $10 million in 2018 related to certain forward-starting interest rate swaps for which the planned timing and currency of the related forecasted debt was changed. During the second quarter of 2019, we also recognized a loss of $12 million related to the net loss on equity method investment transactions noted in Note 7,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Method Investments </w:t>
      </w:r>
      <w:r>
        <w:rPr>
          <w:rFonts w:ascii="Arial" w:cs="Arial" w:eastAsia="Arial" w:hAnsi="Arial"/>
          <w:sz w:val="18"/>
          <w:szCs w:val="18"/>
          <w:color w:val="auto"/>
        </w:rPr>
        <w:t>-</w:t>
      </w:r>
      <w:r>
        <w:rPr>
          <w:rFonts w:ascii="Arial" w:cs="Arial" w:eastAsia="Arial" w:hAnsi="Arial"/>
          <w:sz w:val="18"/>
          <w:szCs w:val="18"/>
          <w:i w:val="1"/>
          <w:iCs w:val="1"/>
          <w:color w:val="auto"/>
        </w:rPr>
        <w:t xml:space="preserve"> JDE / Keurig Exchange</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40"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 forecasted transactions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25"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2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Based on current market conditions, we would expect to transfer losses of $15 million (net of taxes) for interest rate cash flow hedges to earnings during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of December 31, 2019, our longest dated cash flow hedges were interest rate swaps that hedge forecasted interest rate payments over the next 4 years and 9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As of December 31, 2019, the aggregate notional value of these NIH derivative contracts was $6.9 billion and their impact on other comprehensive earnings and net earnings during the years presented below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r>
      <w:tr>
        <w:trPr>
          <w:trHeight w:val="210"/>
        </w:trPr>
        <w:tc>
          <w:tcPr>
            <w:tcW w:w="6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22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1"/>
                <w:szCs w:val="21"/>
                <w:color w:val="auto"/>
                <w:vertAlign w:val="superscript"/>
              </w:rPr>
              <w:t>(1)</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left="340" w:right="28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consolidated statement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r>
      <w:tr>
        <w:trPr>
          <w:trHeight w:val="210"/>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center"/>
              <w:ind w:right="22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2"/>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excluded from the assessment of</w:t>
            </w: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606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elected to record changes in the fair value of amounts excluded from the assessment of effectiveness in net earnings within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40"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gridSpan w:val="8"/>
          </w:tcPr>
          <w:p>
            <w:pPr>
              <w:jc w:val="center"/>
              <w:ind w:right="164"/>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2"/>
                <w:szCs w:val="22"/>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2"/>
                <w:szCs w:val="22"/>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2"/>
                <w:szCs w:val="22"/>
                <w:color w:val="auto"/>
              </w:rPr>
            </w:pPr>
          </w:p>
        </w:tc>
        <w:tc>
          <w:tcPr>
            <w:tcW w:w="15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434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gridSpan w:val="4"/>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52"/>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vMerge w:val="restart"/>
          </w:tcPr>
          <w:p>
            <w:pPr>
              <w:jc w:val="center"/>
              <w:ind w:right="284"/>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67"/>
        </w:trPr>
        <w:tc>
          <w:tcPr>
            <w:tcW w:w="4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1080" w:type="dxa"/>
            <w:vAlign w:val="bottom"/>
            <w:vMerge w:val="restart"/>
          </w:tcPr>
          <w:p>
            <w:pPr>
              <w:jc w:val="right"/>
              <w:ind w:right="856"/>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1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center"/>
              <w:ind w:right="284"/>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16"/>
        </w:trPr>
        <w:tc>
          <w:tcPr>
            <w:tcW w:w="4340" w:type="dxa"/>
            <w:vAlign w:val="bottom"/>
          </w:tcPr>
          <w:p>
            <w:pPr>
              <w:ind w:left="340"/>
              <w:spacing w:after="0"/>
              <w:rPr>
                <w:sz w:val="20"/>
                <w:szCs w:val="20"/>
                <w:color w:val="auto"/>
              </w:rPr>
            </w:pPr>
            <w:r>
              <w:rPr>
                <w:rFonts w:ascii="Arial" w:cs="Arial" w:eastAsia="Arial" w:hAnsi="Arial"/>
                <w:sz w:val="18"/>
                <w:szCs w:val="18"/>
                <w:color w:val="auto"/>
              </w:rPr>
              <w:t>forecasted interest payments</w:t>
            </w:r>
          </w:p>
        </w:tc>
        <w:tc>
          <w:tcPr>
            <w:tcW w:w="10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304"/>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94"/>
        </w:trPr>
        <w:tc>
          <w:tcPr>
            <w:tcW w:w="434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10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284"/>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8"/>
        </w:trPr>
        <w:tc>
          <w:tcPr>
            <w:tcW w:w="43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center"/>
              <w:ind w:right="304"/>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62"/>
        </w:trPr>
        <w:tc>
          <w:tcPr>
            <w:tcW w:w="43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84"/>
        </w:trPr>
        <w:tc>
          <w:tcPr>
            <w:tcW w:w="434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center"/>
              <w:ind w:right="304"/>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center"/>
              <w:ind w:right="284"/>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U.S. Plans</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 Plans</w:t>
            </w:r>
          </w:p>
        </w:tc>
        <w:tc>
          <w:tcPr>
            <w:tcW w:w="1040" w:type="dxa"/>
            <w:vAlign w:val="bottom"/>
            <w:tcBorders>
              <w:bottom w:val="single" w:sz="8" w:color="auto"/>
            </w:tcBorders>
          </w:tcPr>
          <w:p>
            <w:pPr>
              <w:spacing w:after="0"/>
              <w:rPr>
                <w:sz w:val="17"/>
                <w:szCs w:val="17"/>
                <w:color w:val="auto"/>
              </w:rPr>
            </w:pPr>
          </w:p>
        </w:tc>
      </w:tr>
      <w:tr>
        <w:trPr>
          <w:trHeight w:val="264"/>
        </w:trPr>
        <w:tc>
          <w:tcPr>
            <w:tcW w:w="46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37"/>
        </w:trPr>
        <w:tc>
          <w:tcPr>
            <w:tcW w:w="4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January 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9,578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10,852</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40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paid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Actuarial (gains)/losses</w:t>
            </w:r>
          </w:p>
        </w:tc>
        <w:tc>
          <w:tcPr>
            <w:tcW w:w="40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64"/>
        </w:trPr>
        <w:tc>
          <w:tcPr>
            <w:tcW w:w="466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57"/>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December 31</w:t>
            </w: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1,511</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10,458</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9,578</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Fair value of plan assets at January 1</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9,327</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Contributions</w:t>
            </w:r>
          </w:p>
        </w:tc>
        <w:tc>
          <w:tcPr>
            <w:tcW w:w="40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Settlements paid</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4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9,758</w:t>
            </w:r>
          </w:p>
        </w:tc>
        <w:tc>
          <w:tcPr>
            <w:tcW w:w="1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8,465</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(liabilities)/assets at December 31</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0"/>
        </w:trPr>
        <w:tc>
          <w:tcPr>
            <w:tcW w:w="4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accumulated benefit obligation, which represents benefits earned to the measurement date, for U.S. pension plans was $1,741 million at December 31, 2019 and $1,488 million at December 31, 2018. The accumulated benefit obligation for non-U.S. pension plans was $10,236 million at December 31, 2019 and $9,374 million at December 31, 2018.</w:t>
      </w:r>
    </w:p>
    <w:p>
      <w:pPr>
        <w:spacing w:after="0" w:line="20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Salaried and non-union hourly employees hired after January 1, 2009 in the U.S. and after January 1, 2011 in Canada (or earlier for certain legacy Cadbury employees) are no longer eligible to participate in the defined benefit pension plans. Benefit accruals for salaried and non-union hourly employee participants in the U.S. and Canada defined benefit pension plans ceased on December 31, 2019. These employees instead receive Company contributions to the employee defined contribution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combined U.S. and non-U.S. pension plans resulted in a net pension liability of $709 million at December 31, 2019 and $1,114 million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 recognized these amounts in our consolidated balance sheets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2"/>
                <w:szCs w:val="22"/>
                <w:color w:val="auto"/>
              </w:rPr>
            </w:pPr>
          </w:p>
        </w:tc>
        <w:tc>
          <w:tcPr>
            <w:tcW w:w="5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pension assets</w:t>
            </w:r>
          </w:p>
        </w:tc>
        <w:tc>
          <w:tcPr>
            <w:tcW w:w="50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3"/>
        </w:trPr>
        <w:tc>
          <w:tcPr>
            <w:tcW w:w="37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pension costs</w:t>
            </w:r>
          </w:p>
        </w:tc>
        <w:tc>
          <w:tcPr>
            <w:tcW w:w="388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5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80" w:type="dxa"/>
            <w:vAlign w:val="bottom"/>
            <w:vMerge w:val="restart"/>
          </w:tcPr>
          <w:p>
            <w:pPr>
              <w:jc w:val="right"/>
              <w:ind w:right="1734"/>
              <w:spacing w:after="0"/>
              <w:rPr>
                <w:sz w:val="20"/>
                <w:szCs w:val="20"/>
                <w:color w:val="auto"/>
              </w:rPr>
            </w:pPr>
            <w:r>
              <w:rPr>
                <w:rFonts w:ascii="Arial" w:cs="Arial" w:eastAsia="Arial" w:hAnsi="Arial"/>
                <w:sz w:val="18"/>
                <w:szCs w:val="18"/>
                <w:color w:val="auto"/>
              </w:rPr>
              <w:t>98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4"/>
                <w:szCs w:val="14"/>
                <w:b w:val="1"/>
                <w:bCs w:val="1"/>
                <w:color w:val="auto"/>
              </w:rPr>
              <w:t>U.S. Plans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Non-U.S. Plans</w:t>
            </w:r>
          </w:p>
        </w:tc>
        <w:tc>
          <w:tcPr>
            <w:tcW w:w="840" w:type="dxa"/>
            <w:vAlign w:val="bottom"/>
            <w:tcBorders>
              <w:bottom w:val="single" w:sz="8" w:color="auto"/>
            </w:tcBorders>
          </w:tcPr>
          <w:p>
            <w:pPr>
              <w:spacing w:after="0"/>
              <w:rPr>
                <w:sz w:val="17"/>
                <w:szCs w:val="17"/>
                <w:color w:val="auto"/>
              </w:rPr>
            </w:pPr>
          </w:p>
        </w:tc>
      </w:tr>
      <w:tr>
        <w:trPr>
          <w:trHeight w:val="250"/>
        </w:trPr>
        <w:tc>
          <w:tcPr>
            <w:tcW w:w="5800" w:type="dxa"/>
            <w:vAlign w:val="bottom"/>
          </w:tcPr>
          <w:p>
            <w:pPr>
              <w:spacing w:after="0"/>
              <w:rPr>
                <w:sz w:val="21"/>
                <w:szCs w:val="21"/>
                <w:color w:val="auto"/>
              </w:rPr>
            </w:pPr>
          </w:p>
        </w:tc>
        <w:tc>
          <w:tcPr>
            <w:tcW w:w="232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800" w:type="dxa"/>
            <w:vAlign w:val="bottom"/>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2018</w:t>
            </w:r>
          </w:p>
        </w:tc>
      </w:tr>
      <w:tr>
        <w:trPr>
          <w:trHeight w:val="237"/>
        </w:trPr>
        <w:tc>
          <w:tcPr>
            <w:tcW w:w="5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6"/>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3,613</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3,343</w:t>
            </w:r>
          </w:p>
        </w:tc>
      </w:tr>
      <w:tr>
        <w:trPr>
          <w:trHeight w:val="263"/>
        </w:trPr>
        <w:tc>
          <w:tcPr>
            <w:tcW w:w="58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88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40" w:type="dxa"/>
            <w:vAlign w:val="bottom"/>
          </w:tcPr>
          <w:p>
            <w:pPr>
              <w:spacing w:after="0"/>
              <w:rPr>
                <w:sz w:val="22"/>
                <w:szCs w:val="22"/>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3,447</w:t>
            </w:r>
          </w:p>
        </w:tc>
        <w:tc>
          <w:tcPr>
            <w:tcW w:w="640" w:type="dxa"/>
            <w:vAlign w:val="bottom"/>
          </w:tcPr>
          <w:p>
            <w:pPr>
              <w:spacing w:after="0"/>
              <w:rPr>
                <w:sz w:val="22"/>
                <w:szCs w:val="22"/>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3,194</w:t>
            </w:r>
          </w:p>
        </w:tc>
      </w:tr>
      <w:tr>
        <w:trPr>
          <w:trHeight w:val="277"/>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2,443</w:t>
            </w:r>
          </w:p>
        </w:tc>
        <w:tc>
          <w:tcPr>
            <w:tcW w:w="6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2,169</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7"/>
                <w:szCs w:val="17"/>
                <w:color w:val="auto"/>
              </w:rPr>
            </w:pPr>
          </w:p>
        </w:tc>
      </w:tr>
      <w:tr>
        <w:trPr>
          <w:trHeight w:val="250"/>
        </w:trPr>
        <w:tc>
          <w:tcPr>
            <w:tcW w:w="5660" w:type="dxa"/>
            <w:vAlign w:val="bottom"/>
          </w:tcPr>
          <w:p>
            <w:pPr>
              <w:spacing w:after="0"/>
              <w:rPr>
                <w:sz w:val="21"/>
                <w:szCs w:val="21"/>
                <w:color w:val="auto"/>
              </w:rPr>
            </w:pPr>
          </w:p>
        </w:tc>
        <w:tc>
          <w:tcPr>
            <w:tcW w:w="22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66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6"/>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63"/>
        </w:trPr>
        <w:tc>
          <w:tcPr>
            <w:tcW w:w="5660" w:type="dxa"/>
            <w:vAlign w:val="bottom"/>
          </w:tcPr>
          <w:p>
            <w:pPr>
              <w:ind w:left="40"/>
              <w:spacing w:after="0"/>
              <w:rPr>
                <w:sz w:val="20"/>
                <w:szCs w:val="20"/>
                <w:color w:val="auto"/>
              </w:rPr>
            </w:pPr>
            <w:r>
              <w:rPr>
                <w:rFonts w:ascii="Arial" w:cs="Arial" w:eastAsia="Arial" w:hAnsi="Arial"/>
                <w:sz w:val="18"/>
                <w:szCs w:val="18"/>
                <w:color w:val="auto"/>
              </w:rPr>
              <w:t>Expected rate of return on plan assets</w:t>
            </w:r>
          </w:p>
        </w:tc>
        <w:tc>
          <w:tcPr>
            <w:tcW w:w="1300" w:type="dxa"/>
            <w:vAlign w:val="bottom"/>
          </w:tcPr>
          <w:p>
            <w:pPr>
              <w:ind w:left="7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5.75%</w:t>
            </w:r>
          </w:p>
        </w:tc>
        <w:tc>
          <w:tcPr>
            <w:tcW w:w="100" w:type="dxa"/>
            <w:vAlign w:val="bottom"/>
          </w:tcPr>
          <w:p>
            <w:pPr>
              <w:spacing w:after="0"/>
              <w:rPr>
                <w:sz w:val="22"/>
                <w:szCs w:val="22"/>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bl>
    <w:p>
      <w:pPr>
        <w:spacing w:after="0" w:line="200" w:lineRule="exact"/>
        <w:rPr>
          <w:sz w:val="20"/>
          <w:szCs w:val="20"/>
          <w:color w:val="auto"/>
        </w:rPr>
      </w:pP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ectPr>
          <w:pgSz w:w="11900" w:h="16838" w:orient="portrait"/>
          <w:cols w:equalWidth="0" w:num="1">
            <w:col w:w="11420"/>
          </w:cols>
          <w:pgMar w:left="240" w:top="140" w:right="239" w:bottom="1440" w:gutter="0" w:footer="0" w:header="0"/>
        </w:sectPr>
      </w:pPr>
    </w:p>
    <w:p>
      <w:pPr>
        <w:spacing w:after="0" w:line="213"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26035</wp:posOffset>
            </wp:positionV>
            <wp:extent cx="23241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26035</wp:posOffset>
            </wp:positionV>
            <wp:extent cx="23241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26035</wp:posOffset>
            </wp:positionV>
            <wp:extent cx="23241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26035</wp:posOffset>
            </wp:positionV>
            <wp:extent cx="23241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700" w:space="720"/>
            <w:col w:w="300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37"/>
        </w:trPr>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from experience differences</w:t>
            </w: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r>
      <w:tr>
        <w:trPr>
          <w:trHeight w:val="263"/>
        </w:trPr>
        <w:tc>
          <w:tcPr>
            <w:tcW w:w="4000" w:type="dxa"/>
            <w:vAlign w:val="bottom"/>
          </w:tcPr>
          <w:p>
            <w:pPr>
              <w:ind w:left="380"/>
              <w:spacing w:after="0"/>
              <w:rPr>
                <w:sz w:val="20"/>
                <w:szCs w:val="20"/>
                <w:color w:val="auto"/>
              </w:rPr>
            </w:pPr>
            <w:r>
              <w:rPr>
                <w:rFonts w:ascii="Arial" w:cs="Arial" w:eastAsia="Arial" w:hAnsi="Arial"/>
                <w:sz w:val="18"/>
                <w:szCs w:val="18"/>
                <w:color w:val="auto"/>
              </w:rPr>
              <w:t>Prior service cost/(benefit)</w:t>
            </w:r>
          </w:p>
        </w:tc>
        <w:tc>
          <w:tcPr>
            <w:tcW w:w="7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4"/>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74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60" w:right="40" w:hanging="325"/>
        <w:spacing w:after="0" w:line="251"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Settlement losses of $5 million in 2019, $5 million in 2018 and $11 million in 2017 were incurred in connection with our Simplify to Grow Program. See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for more information. Net settlement losses of $12 million for our U.S. plans and settlement gains of $4 million for our non-U.S. plans in 2019, and settlement losses of $31 million for our U.S. plans and $4 million for our non-U.S. plans in 2018 and $21 million for our U.S. plans and $6 million for our non-U.S. plans in 2017 related to lump-sum payment elections made by retired employees.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40"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 year period. For our non-U.S. plans, we utilize a similar approach with varying cost recognition periods for some plans, and with others, we determine the expected return on plan assets based on asset fair values as of the measurement date.</w:t>
      </w:r>
    </w:p>
    <w:p>
      <w:pPr>
        <w:spacing w:after="0" w:line="204" w:lineRule="exact"/>
        <w:rPr>
          <w:sz w:val="20"/>
          <w:szCs w:val="20"/>
          <w:color w:val="auto"/>
        </w:rPr>
      </w:pPr>
    </w:p>
    <w:p>
      <w:pPr>
        <w:ind w:right="1260"/>
        <w:spacing w:after="0" w:line="250" w:lineRule="auto"/>
        <w:rPr>
          <w:sz w:val="20"/>
          <w:szCs w:val="20"/>
          <w:color w:val="auto"/>
        </w:rPr>
      </w:pPr>
      <w:r>
        <w:rPr>
          <w:rFonts w:ascii="Arial" w:cs="Arial" w:eastAsia="Arial" w:hAnsi="Arial"/>
          <w:sz w:val="18"/>
          <w:szCs w:val="18"/>
          <w:color w:val="auto"/>
        </w:rPr>
        <w:t>As of December 31, 2019, for the combined U.S. and non-U.S. pension plans, we expected to amortize from accumulated other comprehensive earnings/(losses) into net periodic pension cost during 2020:</w:t>
      </w:r>
    </w:p>
    <w:p>
      <w:pPr>
        <w:spacing w:after="0" w:line="1" w:lineRule="exact"/>
        <w:rPr>
          <w:sz w:val="20"/>
          <w:szCs w:val="20"/>
          <w:color w:val="auto"/>
        </w:rPr>
      </w:pPr>
    </w:p>
    <w:p>
      <w:pPr>
        <w:ind w:left="640" w:hanging="321"/>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estimated $133 million of net loss from experience differences;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estimated $6 million of prior service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ectPr>
          <w:pgSz w:w="11900" w:h="16838" w:orient="portrait"/>
          <w:cols w:equalWidth="0" w:num="1">
            <w:col w:w="11420"/>
          </w:cols>
          <w:pgMar w:left="240" w:top="140" w:right="239" w:bottom="1440" w:gutter="0" w:footer="0" w:header="0"/>
        </w:sectPr>
      </w:pPr>
    </w:p>
    <w:p>
      <w:pPr>
        <w:spacing w:after="0" w:line="213"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26035</wp:posOffset>
            </wp:positionV>
            <wp:extent cx="2349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89"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26035</wp:posOffset>
            </wp:positionV>
            <wp:extent cx="2349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26035</wp:posOffset>
            </wp:positionV>
            <wp:extent cx="23755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89"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26035</wp:posOffset>
            </wp:positionV>
            <wp:extent cx="23755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660" w:space="720"/>
            <w:col w:w="30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6"/>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3880" w:type="dxa"/>
            <w:vAlign w:val="bottom"/>
          </w:tcPr>
          <w:p>
            <w:pPr>
              <w:ind w:left="40"/>
              <w:spacing w:after="0"/>
              <w:rPr>
                <w:sz w:val="20"/>
                <w:szCs w:val="20"/>
                <w:color w:val="auto"/>
              </w:rPr>
            </w:pPr>
            <w:r>
              <w:rPr>
                <w:rFonts w:ascii="Arial" w:cs="Arial" w:eastAsia="Arial" w:hAnsi="Arial"/>
                <w:sz w:val="18"/>
                <w:szCs w:val="18"/>
                <w:color w:val="auto"/>
              </w:rPr>
              <w:t>Expected rate of return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3880" w:type="dxa"/>
            <w:vAlign w:val="bottom"/>
          </w:tcPr>
          <w:p>
            <w:pPr>
              <w:ind w:left="200"/>
              <w:spacing w:after="0"/>
              <w:rPr>
                <w:sz w:val="20"/>
                <w:szCs w:val="20"/>
                <w:color w:val="auto"/>
              </w:rPr>
            </w:pPr>
            <w:r>
              <w:rPr>
                <w:rFonts w:ascii="Arial" w:cs="Arial" w:eastAsia="Arial" w:hAnsi="Arial"/>
                <w:sz w:val="18"/>
                <w:szCs w:val="18"/>
                <w:color w:val="auto"/>
              </w:rPr>
              <w:t>on plan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Inputs</w:t>
            </w:r>
          </w:p>
        </w:tc>
      </w:tr>
      <w:tr>
        <w:trPr>
          <w:trHeight w:val="162"/>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U.S. equity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Non-U.S. equity securities</w:t>
            </w: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Pooled funds - equity securities</w:t>
            </w: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equity securities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Pooled funds - fixed-income securities</w:t>
            </w: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35"/>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 and other</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1,836</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fixed-income securities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1,836</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Private equity</w:t>
            </w: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 in the fair value hierarchy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9,133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1,902</w:t>
            </w:r>
          </w:p>
        </w:tc>
      </w:tr>
      <w:tr>
        <w:trPr>
          <w:trHeight w:val="257"/>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Investments measured at net asset value</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6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Inputs</w:t>
            </w:r>
          </w:p>
        </w:tc>
      </w:tr>
      <w:tr>
        <w:trPr>
          <w:trHeight w:val="162"/>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60" w:type="dxa"/>
            <w:vAlign w:val="bottom"/>
          </w:tcPr>
          <w:p>
            <w:pPr>
              <w:spacing w:after="0"/>
              <w:rPr>
                <w:sz w:val="14"/>
                <w:szCs w:val="14"/>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U.S. equity securities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Non-U.S. equity securities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Pooled funds - equity securities</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equity securities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Pooled funds - fixed-income securities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35"/>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 and other</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1,032</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fixed-income securities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1,032</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Private equity</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 in the fair value hierarchy</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r>
      <w:tr>
        <w:trPr>
          <w:trHeight w:val="257"/>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Investments measured at net asset value</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excluded plan assets of $67 million at December 31, 2019 and December 31, 2018 from the above tables related to certain insurance contracts as they are reported at contract value, in accordance with authoritative guidance.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ind w:left="640" w:hanging="321"/>
        <w:spacing w:after="0" w:line="250"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ind w:left="640" w:right="40" w:hanging="321"/>
        <w:spacing w:after="0" w:line="250"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ind w:left="640" w:right="100" w:hanging="321"/>
        <w:spacing w:after="0" w:line="250"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ind w:left="640" w:right="320" w:hanging="321"/>
        <w:spacing w:after="0" w:line="250"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ind w:left="640" w:right="80" w:hanging="321"/>
        <w:spacing w:after="0" w:line="250"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Fair value estimates for fixed-income securities that are buy-in annuity policies are calculated on a replacement policy value basis by discounting the projected cash flows of the plan members using a discount rate based on risk-free rates and adjustments for estimated levels of insurer pricing.</w:t>
      </w:r>
    </w:p>
    <w:p>
      <w:pPr>
        <w:spacing w:after="0" w:line="1" w:lineRule="exact"/>
        <w:rPr>
          <w:rFonts w:ascii="Arial" w:cs="Arial" w:eastAsia="Arial" w:hAnsi="Arial"/>
          <w:sz w:val="18"/>
          <w:szCs w:val="18"/>
          <w:color w:val="auto"/>
        </w:rPr>
      </w:pPr>
    </w:p>
    <w:p>
      <w:pPr>
        <w:ind w:left="340" w:right="380" w:hanging="332"/>
        <w:spacing w:after="0" w:line="262"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40"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Realized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Unrealized</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Purchases,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Transfers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Issuances and</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Into/(Out of)</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2019</w:t>
            </w: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Arial" w:cs="Arial" w:eastAsia="Arial" w:hAnsi="Arial"/>
                <w:sz w:val="14"/>
                <w:szCs w:val="14"/>
                <w:b w:val="1"/>
                <w:bCs w:val="1"/>
                <w:color w:val="auto"/>
              </w:rPr>
              <w:t>Balance</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5"/>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 and other</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1,836</w:t>
            </w:r>
          </w:p>
        </w:tc>
      </w:tr>
      <w:tr>
        <w:trPr>
          <w:trHeight w:val="26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2"/>
                <w:szCs w:val="22"/>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62</w:t>
            </w:r>
          </w:p>
        </w:tc>
      </w:tr>
      <w:tr>
        <w:trPr>
          <w:trHeight w:val="277"/>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Private equity and other</w:t>
            </w: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44"/>
        </w:trPr>
        <w:tc>
          <w:tcPr>
            <w:tcW w:w="4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Total Level 3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1,902</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Realized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Unrealized</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Purchases,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Transfers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Issuances and</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Into/(Out of)</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2018</w:t>
            </w: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Arial" w:cs="Arial" w:eastAsia="Arial" w:hAnsi="Arial"/>
                <w:sz w:val="14"/>
                <w:szCs w:val="14"/>
                <w:b w:val="1"/>
                <w:bCs w:val="1"/>
                <w:color w:val="auto"/>
              </w:rPr>
              <w:t>Balance</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5"/>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 and other</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1,032</w:t>
            </w:r>
          </w:p>
        </w:tc>
      </w:tr>
      <w:tr>
        <w:trPr>
          <w:trHeight w:val="26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2"/>
                <w:szCs w:val="22"/>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22</w:t>
            </w:r>
          </w:p>
        </w:tc>
      </w:tr>
      <w:tr>
        <w:trPr>
          <w:trHeight w:val="277"/>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Private equity and other</w:t>
            </w: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r>
      <w:tr>
        <w:trPr>
          <w:trHeight w:val="244"/>
        </w:trPr>
        <w:tc>
          <w:tcPr>
            <w:tcW w:w="4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Total Level 3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1,057</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The increase in Level 3 pension plan investments during 2019 was primarily due to additional purchases of a buy-in annuity and other fixed income securities, and the increase in 2018 was primarily due to additional purchases of corporate bond and other fixed income securities, which includes private debt placements.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3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3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auto"/>
            </w:tcBorders>
            <w:gridSpan w:val="3"/>
          </w:tcPr>
          <w:p>
            <w:pPr>
              <w:jc w:val="center"/>
              <w:ind w:left="955"/>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1"/>
                <w:szCs w:val="21"/>
                <w:color w:val="auto"/>
              </w:rPr>
            </w:pPr>
          </w:p>
        </w:tc>
      </w:tr>
      <w:tr>
        <w:trPr>
          <w:trHeight w:val="229"/>
        </w:trPr>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64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64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Fixed-income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7"/>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3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Hedge funds</w:t>
            </w:r>
          </w:p>
        </w:tc>
        <w:tc>
          <w:tcPr>
            <w:tcW w:w="238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Buy-in annuity policies</w:t>
            </w:r>
          </w:p>
        </w:tc>
        <w:tc>
          <w:tcPr>
            <w:tcW w:w="23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Cash</w:t>
            </w:r>
          </w:p>
        </w:tc>
        <w:tc>
          <w:tcPr>
            <w:tcW w:w="238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5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For our U.S. plans, our investment strategy is to reduce the risk of underfunded plans in part through appropriate asset allocation within our plan assets. We attempt to maintain our target asset allocation by rebalancing between asset classes as we make contributions and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20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25% equity securities, 57% fixed-income securities, 12% buy-in annuity policies and 6% real estate.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2019, we contributed $8 million to our U.S. pension plans and $248 million to our non-U.S. pension plans. In addition, employees contributed $13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sectPr>
          <w:pgSz w:w="11900" w:h="16838" w:orient="portrait"/>
          <w:cols w:equalWidth="0" w:num="1">
            <w:col w:w="11420"/>
          </w:cols>
          <w:pgMar w:left="240" w:top="140"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140"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2020, we estimate that our pension contributions will be $16 million to our U.S. plans and $230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2019 were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2025-2029</w:t>
            </w: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Plans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513</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Non-U.S. Plans</w:t>
            </w: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2,126</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of $5 million in 2019, $17 million in 2018 and $ 26 million in 2017. In 2017, the only individually significant multiemployer plan we contributed to was the Bakery and Confectionery Union and Industry International Pension Fund (the “Fund;” Employer Identification Number 52-6118572).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December 2018. Our contributions to the Fund were $12 million in 2018 and $22 million in 2017. Our contributions to other multiemployer pension plans that were not individually significant were $5 million in 2019, $5 million in 2018 and $4 million in 2017. Our contributions are based on our contribution rates under our collective bargaining agreements, the number of our eligible employees and Fund surcharges.</w:t>
      </w:r>
    </w:p>
    <w:p>
      <w:pPr>
        <w:spacing w:after="0" w:line="21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2018, we executed a complete withdrawal from the Fund and recorded a $429 million estimated withdrawal liability. On July 11, 2019, we received an undiscounted withdrawal liability assessment from the Fund totaling $526 million requiring pro-rata monthly payments over 20 years and we recorded a $35 million final adjustment to reduce our withdrawal liability as of June 30, 2019. We began making monthly payments during the third quarter of 2019. As of December 31, 2019, the remaining discounted withdrawal liability was $391 million, with $14 million recorded in other current liabilities and $377 million recorded in long-term other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$72 million in 2019, $57 million in 2018 and $43 million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37"/>
        </w:trPr>
        <w:tc>
          <w:tcPr>
            <w:tcW w:w="7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benefit obligation at January 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160" w:type="dxa"/>
            <w:vAlign w:val="bottom"/>
          </w:tcPr>
          <w:p>
            <w:pPr>
              <w:spacing w:after="0"/>
              <w:rPr>
                <w:sz w:val="22"/>
                <w:szCs w:val="22"/>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Assumption changes</w:t>
            </w:r>
          </w:p>
        </w:tc>
        <w:tc>
          <w:tcPr>
            <w:tcW w:w="1160" w:type="dxa"/>
            <w:vAlign w:val="bottom"/>
          </w:tcPr>
          <w:p>
            <w:pPr>
              <w:spacing w:after="0"/>
              <w:rPr>
                <w:sz w:val="22"/>
                <w:szCs w:val="22"/>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losses/(gains)</w:t>
            </w:r>
          </w:p>
        </w:tc>
        <w:tc>
          <w:tcPr>
            <w:tcW w:w="1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Accrued benefit obligation at December 31</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r>
      <w:tr>
        <w:trPr>
          <w:trHeight w:val="20"/>
        </w:trPr>
        <w:tc>
          <w:tcPr>
            <w:tcW w:w="7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current portion of our accrued postretirement benefit obligation of $16 million at December 31, 2019 and $15 million at December 31, 2018 was included in other current liabilities.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40"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rPr>
              <w:t>U.S. Plans</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7"/>
                <w:szCs w:val="17"/>
                <w:color w:val="auto"/>
              </w:rPr>
            </w:pPr>
          </w:p>
        </w:tc>
      </w:tr>
      <w:tr>
        <w:trPr>
          <w:trHeight w:val="250"/>
        </w:trPr>
        <w:tc>
          <w:tcPr>
            <w:tcW w:w="5860" w:type="dxa"/>
            <w:vAlign w:val="bottom"/>
          </w:tcPr>
          <w:p>
            <w:pPr>
              <w:spacing w:after="0"/>
              <w:rPr>
                <w:sz w:val="21"/>
                <w:szCs w:val="21"/>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27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86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r>
      <w:tr>
        <w:trPr>
          <w:trHeight w:val="256"/>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63"/>
        </w:trPr>
        <w:tc>
          <w:tcPr>
            <w:tcW w:w="5860" w:type="dxa"/>
            <w:vAlign w:val="bottom"/>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7"/>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Ultimate trend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2"/>
                <w:szCs w:val="22"/>
                <w:color w:val="auto"/>
              </w:rPr>
            </w:pP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2018</w:t>
            </w: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0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0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Assumed health care cost trend rates have a significant impact on the amounts reported for the health care plans. A one-percentage-point change in assumed health care cost trend rates would have the following effects: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center"/>
              <w:ind w:right="374"/>
              <w:spacing w:after="0"/>
              <w:rPr>
                <w:sz w:val="20"/>
                <w:szCs w:val="20"/>
                <w:color w:val="auto"/>
              </w:rPr>
            </w:pPr>
            <w:r>
              <w:rPr>
                <w:rFonts w:ascii="Arial" w:cs="Arial" w:eastAsia="Arial" w:hAnsi="Arial"/>
                <w:sz w:val="14"/>
                <w:szCs w:val="14"/>
                <w:b w:val="1"/>
                <w:bCs w:val="1"/>
                <w:color w:val="auto"/>
              </w:rPr>
              <w:t>As of December 31, 2019</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center"/>
              <w:ind w:right="394"/>
              <w:spacing w:after="0"/>
              <w:rPr>
                <w:sz w:val="20"/>
                <w:szCs w:val="20"/>
                <w:color w:val="auto"/>
              </w:rPr>
            </w:pPr>
            <w:r>
              <w:rPr>
                <w:rFonts w:ascii="Arial" w:cs="Arial" w:eastAsia="Arial" w:hAnsi="Arial"/>
                <w:sz w:val="14"/>
                <w:szCs w:val="14"/>
                <w:b w:val="1"/>
                <w:bCs w:val="1"/>
                <w:color w:val="auto"/>
              </w:rPr>
              <w:t>One-Percentage-Point</w:t>
            </w:r>
          </w:p>
        </w:tc>
      </w:tr>
      <w:tr>
        <w:trPr>
          <w:trHeight w:val="264"/>
        </w:trPr>
        <w:tc>
          <w:tcPr>
            <w:tcW w:w="6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Decrease</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1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39</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Effect on annual service and interest cost</w:t>
            </w: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5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61"/>
        </w:trPr>
        <w:tc>
          <w:tcPr>
            <w:tcW w:w="6060" w:type="dxa"/>
            <w:vAlign w:val="bottom"/>
          </w:tcPr>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Net periodic postretirement health care costs consisted of the following:</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86"/>
        </w:trPr>
        <w:tc>
          <w:tcPr>
            <w:tcW w:w="60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left="113"/>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63"/>
        </w:trPr>
        <w:tc>
          <w:tcPr>
            <w:tcW w:w="6060" w:type="dxa"/>
            <w:vAlign w:val="bottom"/>
          </w:tcPr>
          <w:p>
            <w:pPr>
              <w:ind w:left="380"/>
              <w:spacing w:after="0"/>
              <w:rPr>
                <w:sz w:val="20"/>
                <w:szCs w:val="20"/>
                <w:color w:val="auto"/>
              </w:rPr>
            </w:pPr>
            <w:r>
              <w:rPr>
                <w:rFonts w:ascii="Arial" w:cs="Arial" w:eastAsia="Arial" w:hAnsi="Arial"/>
                <w:sz w:val="18"/>
                <w:szCs w:val="18"/>
                <w:color w:val="auto"/>
              </w:rPr>
              <w:t>Net loss from experience differences</w:t>
            </w:r>
          </w:p>
        </w:tc>
        <w:tc>
          <w:tcPr>
            <w:tcW w:w="11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Prior service credit</w:t>
            </w:r>
          </w:p>
        </w:tc>
        <w:tc>
          <w:tcPr>
            <w:tcW w:w="1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costs/(benefit)</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As of December 31, 2019, we expected to amortize from accumulated other comprehensive earnings/(losses) into pre-tax net periodic postretirement health care costs during 2020:</w:t>
      </w:r>
    </w:p>
    <w:p>
      <w:pPr>
        <w:spacing w:after="0" w:line="1" w:lineRule="exact"/>
        <w:rPr>
          <w:sz w:val="20"/>
          <w:szCs w:val="20"/>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estimated $10 million of net loss from experience differences,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estimated $30 million of prior service credit.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40"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213" w:lineRule="exact"/>
        <w:rPr>
          <w:sz w:val="20"/>
          <w:szCs w:val="20"/>
          <w:color w:val="auto"/>
        </w:rPr>
      </w:pPr>
    </w:p>
    <w:p>
      <w:pPr>
        <w:jc w:val="right"/>
        <w:ind w:right="1640"/>
        <w:spacing w:after="0"/>
        <w:tabs>
          <w:tab w:leader="none" w:pos="100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5574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109" w:lineRule="exact"/>
        <w:rPr>
          <w:sz w:val="20"/>
          <w:szCs w:val="20"/>
          <w:color w:val="auto"/>
        </w:rPr>
      </w:pPr>
    </w:p>
    <w:p>
      <w:pPr>
        <w:jc w:val="center"/>
        <w:ind w:left="27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2769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03" w:lineRule="exact"/>
        <w:rPr>
          <w:sz w:val="20"/>
          <w:szCs w:val="20"/>
          <w:color w:val="auto"/>
        </w:rPr>
      </w:pPr>
    </w:p>
    <w:p>
      <w:pPr>
        <w:ind w:left="3180"/>
        <w:spacing w:after="0"/>
        <w:tabs>
          <w:tab w:leader="none" w:pos="4640" w:val="left"/>
          <w:tab w:leader="none" w:pos="61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26035</wp:posOffset>
            </wp:positionV>
            <wp:extent cx="2735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 w:leader="none" w:pos="29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9" w:lineRule="exact"/>
        <w:rPr>
          <w:sz w:val="20"/>
          <w:szCs w:val="20"/>
          <w:color w:val="auto"/>
        </w:rPr>
      </w:pPr>
    </w:p>
    <w:p>
      <w:pPr>
        <w:sectPr>
          <w:pgSz w:w="11900" w:h="16838" w:orient="portrait"/>
          <w:cols w:equalWidth="0" w:num="2">
            <w:col w:w="6920" w:space="720"/>
            <w:col w:w="378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2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000" w:type="dxa"/>
            <w:vAlign w:val="bottom"/>
            <w:tcBorders>
              <w:top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7"/>
              </w:rPr>
              <w:t>4.37%</w:t>
            </w: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3.66%</w:t>
            </w: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4.14%</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gridSpan w:val="2"/>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gridSpan w:val="2"/>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7"/>
              </w:rPr>
              <w:t>4.24%</w:t>
            </w:r>
          </w:p>
        </w:tc>
        <w:tc>
          <w:tcPr>
            <w:tcW w:w="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center"/>
              <w:ind w:right="134"/>
              <w:spacing w:after="0"/>
              <w:rPr>
                <w:sz w:val="20"/>
                <w:szCs w:val="20"/>
                <w:color w:val="auto"/>
              </w:rPr>
            </w:pPr>
            <w:r>
              <w:rPr>
                <w:rFonts w:ascii="Arial" w:cs="Arial" w:eastAsia="Arial" w:hAnsi="Arial"/>
                <w:sz w:val="18"/>
                <w:szCs w:val="18"/>
                <w:color w:val="auto"/>
              </w:rPr>
              <w:t>4.55%</w:t>
            </w:r>
          </w:p>
        </w:tc>
      </w:tr>
      <w:tr>
        <w:trPr>
          <w:trHeight w:val="25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Health care cost trend rate</w:t>
            </w:r>
          </w:p>
        </w:tc>
        <w:tc>
          <w:tcPr>
            <w:tcW w:w="1000" w:type="dxa"/>
            <w:vAlign w:val="bottom"/>
          </w:tcPr>
          <w:p>
            <w:pPr>
              <w:jc w:val="center"/>
              <w:ind w:left="294"/>
              <w:spacing w:after="0"/>
              <w:rPr>
                <w:sz w:val="20"/>
                <w:szCs w:val="20"/>
                <w:color w:val="auto"/>
              </w:rPr>
            </w:pPr>
            <w:r>
              <w:rPr>
                <w:rFonts w:ascii="Arial" w:cs="Arial" w:eastAsia="Arial" w:hAnsi="Arial"/>
                <w:sz w:val="18"/>
                <w:szCs w:val="18"/>
                <w:color w:val="auto"/>
                <w:w w:val="97"/>
              </w:rPr>
              <w:t>6.25%</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tcPr>
          <w:p>
            <w:pPr>
              <w:jc w:val="center"/>
              <w:ind w:left="390"/>
              <w:spacing w:after="0"/>
              <w:rPr>
                <w:sz w:val="20"/>
                <w:szCs w:val="20"/>
                <w:color w:val="auto"/>
              </w:rPr>
            </w:pPr>
            <w:r>
              <w:rPr>
                <w:rFonts w:ascii="Arial" w:cs="Arial" w:eastAsia="Arial" w:hAnsi="Arial"/>
                <w:sz w:val="18"/>
                <w:szCs w:val="18"/>
                <w:color w:val="auto"/>
                <w:w w:val="97"/>
              </w:rPr>
              <w:t>5.56%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center"/>
              <w:ind w:right="134"/>
              <w:spacing w:after="0"/>
              <w:rPr>
                <w:sz w:val="20"/>
                <w:szCs w:val="20"/>
                <w:color w:val="auto"/>
              </w:rPr>
            </w:pPr>
            <w:r>
              <w:rPr>
                <w:rFonts w:ascii="Arial" w:cs="Arial" w:eastAsia="Arial" w:hAnsi="Arial"/>
                <w:sz w:val="18"/>
                <w:szCs w:val="18"/>
                <w:color w:val="auto"/>
              </w:rPr>
              <w:t>5.50%</w:t>
            </w:r>
          </w:p>
        </w:tc>
      </w:tr>
      <w:tr>
        <w:trPr>
          <w:trHeight w:val="661"/>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Future Benefit Payments: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9580" w:type="dxa"/>
            <w:vAlign w:val="bottom"/>
            <w:gridSpan w:val="23"/>
          </w:tcPr>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2019 were (in millions):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9"/>
        </w:trPr>
        <w:tc>
          <w:tcPr>
            <w:tcW w:w="26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23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2025-2029</w:t>
            </w: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Plans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5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Non-U.S. Plans</w:t>
            </w:r>
          </w:p>
        </w:tc>
        <w:tc>
          <w:tcPr>
            <w:tcW w:w="1000" w:type="dxa"/>
            <w:vAlign w:val="bottom"/>
          </w:tcPr>
          <w:p>
            <w:pPr>
              <w:spacing w:after="0"/>
              <w:rPr>
                <w:sz w:val="22"/>
                <w:szCs w:val="22"/>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made contributions to multiemployer medical plans totaling $ 20 million in 2019, $19 million in 2018 and $18 million in 2017. These plans provide medical benefits to active employees and retirees under certain collective bargaining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postemployment plans are not funded. The changes in and the amount of the accrued benefit obligation at December 31, 2019 and 2018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37"/>
        </w:trPr>
        <w:tc>
          <w:tcPr>
            <w:tcW w:w="7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benefit obligation at January 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160" w:type="dxa"/>
            <w:vAlign w:val="bottom"/>
          </w:tcPr>
          <w:p>
            <w:pPr>
              <w:spacing w:after="0"/>
              <w:rPr>
                <w:sz w:val="22"/>
                <w:szCs w:val="22"/>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Assumption changes</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Actuarial losses/(gains)</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benefit obligation at December 31</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r>
      <w:tr>
        <w:trPr>
          <w:trHeight w:val="20"/>
        </w:trPr>
        <w:tc>
          <w:tcPr>
            <w:tcW w:w="7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accrued benefit obligation was determined using a weighted-average discount rate of 5.3% in 2019 and 6.7% in 2018, an assumed weighted-average ultimate annual turnover rate of 0.3% in 2019 and 2018, assumed compensation cost increases of 4.0% in 2019 and 2018 and assumed benefits as defined in the respective plans.</w:t>
      </w:r>
    </w:p>
    <w:p>
      <w:pPr>
        <w:spacing w:after="0" w:line="20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40"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37"/>
        </w:trPr>
        <w:tc>
          <w:tcPr>
            <w:tcW w:w="6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4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net gains</w:t>
            </w:r>
          </w:p>
        </w:tc>
        <w:tc>
          <w:tcPr>
            <w:tcW w:w="12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Net periodic postemployment costs</w:t>
            </w: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r>
      <w:tr>
        <w:trPr>
          <w:trHeight w:val="20"/>
        </w:trPr>
        <w:tc>
          <w:tcPr>
            <w:tcW w:w="6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As of December 31, 2019, the estimated net gain for the postemployment benefit plans that we expect to amortize from accumulated other comprehensive earnings/(losses) into net periodic postemployment costs during 2020 is approximately $4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our Amended and Restated 2005 Performance Incentive Plan (the “Plan”), we are authorized through May 21, 2024 to issue a maximum of 243.7 million shares of our Common Stock to employees and non-employee directors. As of December 31, 2019, there were 56.2 million shares available to be granted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 options (including stock appreciation rights) are granted at an exercise price equal to the market value of the underlying stock on the grant date, generally become exercisable in three annual installments beginning on the first anniversary of the grant date and have a maximum term of ten years.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or a Lattice Model to measure stock option expense at the date of grant. The fair value of the stock options at the date of grant is amortized to expense over the vesting period. We recorded compensation expense related to stock options held by our employees of $38 million in 2019, $43 million in 2018 and $50 million in 2017 in our results from continuing operations. The deferred tax benefit recorded related to this compensation expense was $8 million in 2019, $7 million in 2018 and $12 million in 2017. The unamortized compensation expense related to our employee stock options was $35 million at December 31, 2019 and is expected to be recognized over a weighted-average period of 1.2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and Lattice Model fair value assumptions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60" w:type="dxa"/>
            <w:vAlign w:val="bottom"/>
            <w:gridSpan w:val="2"/>
          </w:tcPr>
          <w:p>
            <w:pPr>
              <w:ind w:left="560"/>
              <w:spacing w:after="0"/>
              <w:rPr>
                <w:sz w:val="20"/>
                <w:szCs w:val="20"/>
                <w:color w:val="auto"/>
              </w:rPr>
            </w:pPr>
            <w:r>
              <w:rPr>
                <w:rFonts w:ascii="Arial" w:cs="Arial" w:eastAsia="Arial" w:hAnsi="Arial"/>
                <w:sz w:val="14"/>
                <w:szCs w:val="14"/>
                <w:b w:val="1"/>
                <w:bCs w:val="1"/>
                <w:color w:val="auto"/>
              </w:rPr>
              <w:t>Risk-Free</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Expected</w:t>
            </w:r>
          </w:p>
        </w:tc>
        <w:tc>
          <w:tcPr>
            <w:tcW w:w="1980" w:type="dxa"/>
            <w:vAlign w:val="bottom"/>
            <w:gridSpan w:val="2"/>
          </w:tcPr>
          <w:p>
            <w:pPr>
              <w:ind w:left="620"/>
              <w:spacing w:after="0"/>
              <w:rPr>
                <w:sz w:val="20"/>
                <w:szCs w:val="20"/>
                <w:color w:val="auto"/>
              </w:rPr>
            </w:pPr>
            <w:r>
              <w:rPr>
                <w:rFonts w:ascii="Arial" w:cs="Arial" w:eastAsia="Arial" w:hAnsi="Arial"/>
                <w:sz w:val="14"/>
                <w:szCs w:val="14"/>
                <w:b w:val="1"/>
                <w:bCs w:val="1"/>
                <w:color w:val="auto"/>
              </w:rPr>
              <w:t>Expected</w:t>
            </w:r>
          </w:p>
        </w:tc>
        <w:tc>
          <w:tcPr>
            <w:tcW w:w="240" w:type="dxa"/>
            <w:vAlign w:val="bottom"/>
          </w:tcPr>
          <w:p>
            <w:pPr>
              <w:spacing w:after="0"/>
              <w:rPr>
                <w:sz w:val="14"/>
                <w:szCs w:val="14"/>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276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Expected Life</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Volatility</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Dividend Yield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at Grant Date</w:t>
            </w:r>
          </w:p>
        </w:tc>
      </w:tr>
      <w:tr>
        <w:trPr>
          <w:trHeight w:val="256"/>
        </w:trPr>
        <w:tc>
          <w:tcPr>
            <w:tcW w:w="276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rPr>
              <w:t>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5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7.83</w:t>
            </w:r>
          </w:p>
        </w:tc>
      </w:tr>
      <w:tr>
        <w:trPr>
          <w:trHeight w:val="263"/>
        </w:trPr>
        <w:tc>
          <w:tcPr>
            <w:tcW w:w="2760" w:type="dxa"/>
            <w:vAlign w:val="bottom"/>
          </w:tcPr>
          <w:p>
            <w:pPr>
              <w:jc w:val="right"/>
              <w:ind w:right="2230"/>
              <w:spacing w:after="0"/>
              <w:rPr>
                <w:sz w:val="20"/>
                <w:szCs w:val="20"/>
                <w:color w:val="auto"/>
              </w:rPr>
            </w:pPr>
            <w:r>
              <w:rPr>
                <w:rFonts w:ascii="Arial" w:cs="Arial" w:eastAsia="Arial" w:hAnsi="Arial"/>
                <w:sz w:val="18"/>
                <w:szCs w:val="18"/>
                <w:color w:val="auto"/>
              </w:rPr>
              <w:t>2018</w:t>
            </w:r>
          </w:p>
        </w:tc>
        <w:tc>
          <w:tcPr>
            <w:tcW w:w="17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rPr>
              <w:t>5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8.30</w:t>
            </w:r>
          </w:p>
        </w:tc>
      </w:tr>
      <w:tr>
        <w:trPr>
          <w:trHeight w:val="277"/>
        </w:trPr>
        <w:tc>
          <w:tcPr>
            <w:tcW w:w="276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rPr>
              <w:t>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6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8.57</w:t>
            </w:r>
          </w:p>
        </w:tc>
      </w:tr>
    </w:tbl>
    <w:p>
      <w:pPr>
        <w:spacing w:after="0" w:line="200" w:lineRule="exact"/>
        <w:rPr>
          <w:sz w:val="20"/>
          <w:szCs w:val="20"/>
          <w:color w:val="auto"/>
        </w:rPr>
      </w:pP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40"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 or</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4"/>
                <w:szCs w:val="14"/>
                <w:color w:val="auto"/>
              </w:rPr>
            </w:pPr>
          </w:p>
        </w:tc>
        <w:tc>
          <w:tcPr>
            <w:tcW w:w="1640" w:type="dxa"/>
            <w:vAlign w:val="bottom"/>
          </w:tcPr>
          <w:p>
            <w:pPr>
              <w:jc w:val="center"/>
              <w:ind w:right="29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760" w:type="dxa"/>
            <w:vAlign w:val="bottom"/>
          </w:tcPr>
          <w:p>
            <w:pPr>
              <w:jc w:val="right"/>
              <w:ind w:right="272"/>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Price</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4"/>
                <w:szCs w:val="14"/>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53,601,612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874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6,012,140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162,880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42.54</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 options granted</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6,175,020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(9,431,009)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170 million</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(1,910,968)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48,434,655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5,666,530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168,306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 options granted</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5,834,836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(9,333,271)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170 million</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43,818,830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4,793,570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68,420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 options granted</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4,861,990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(13,668,354)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306 million</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33,855,948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640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2019</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1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25,121,711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4 years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Pr>
          <w:p>
            <w:pPr>
              <w:ind w:left="740"/>
              <w:spacing w:after="0"/>
              <w:rPr>
                <w:sz w:val="20"/>
                <w:szCs w:val="20"/>
                <w:color w:val="auto"/>
              </w:rPr>
            </w:pPr>
            <w:r>
              <w:rPr>
                <w:rFonts w:ascii="Arial" w:cs="Arial" w:eastAsia="Arial" w:hAnsi="Arial"/>
                <w:sz w:val="18"/>
                <w:szCs w:val="18"/>
                <w:color w:val="auto"/>
              </w:rPr>
              <w:t>557 million</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right="120" w:hanging="332"/>
        <w:spacing w:after="0" w:line="253"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received from options exercised was $369 million in 2019, $231 million in 2018 and $257 million in 2017. The actual tax benefit realized and recorded in the provision for income taxes for the tax deductions from the option exercises totaled $40 million in 2019, $21 million in 2018 and $31 million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only grant deferred stock units and performance share units and no longer grant restricted stock. Deferred stock units granted to eligible employees have most shareholder rights, except that they may not sell, assign, pledge or otherwise encumber the shares and our deferred stock units do not have voting rights until vested. Shares of deferred stock units are subject to forfeiture if certain employment conditions are not met. Deferred stock units generally vest on the third anniversary of the grant date. Performance share units granted under our 2005 Plan vest based on varying performance, market and service conditions. The unvested performance share units have no voting rights and do not pay dividends. Dividend equivalents accumulated over the vesting period are paid only after the performance share units vest.</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fair value of the deferred stock units, performance share units and restricted stock at the date of grant is amortized to earnings over the vesting period. The fair value of our deferred stock units and restricted stock is measured at the market price of our Common Stock on the grant date. Performance share unit awards generally have targets tied to both performance and market-based conditions. For market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 condition components, we estimate the probability that the performance conditions will be achieved each quarter and adjust compensation expenses accordingly. The grant date fair value of performance share units is determined based on the Monte Carlo simulation model for the market-based total shareholder return component and the market price of our Common Stock on the grant date for performance-based components. The number of performance share units that ultimately vest ranges from 0-200 percent of the number granted, based on the achievement of the performance and market-based components.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40"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recorded compensation expense related to deferred stock units, performance share units and restricted stock of $97 million in 2019, $85 million in 2018 and $87 million in 2017 in our results from continuing operations. The deferred tax benefit recorded related to this compensation expense was $16 million in 2019, $12 million in 2018 and $23 million in 2017. The unamortized compensation expense related to our deferred stock units, performance share units and restricted stock was $106 million at December 31, 2019 and is expected to be recognized over a weighted-average period of 1.5 years.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restricted stock activity is reflected below:</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2017</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 (3)</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2017</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 (3)</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(3)</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540" w:type="dxa"/>
            <w:vAlign w:val="bottom"/>
          </w:tcPr>
          <w:p>
            <w:pPr>
              <w:jc w:val="right"/>
              <w:ind w:right="41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96"/>
        </w:trPr>
        <w:tc>
          <w:tcPr>
            <w:tcW w:w="1540" w:type="dxa"/>
            <w:vAlign w:val="bottom"/>
          </w:tcPr>
          <w:p>
            <w:pPr>
              <w:jc w:val="right"/>
              <w:ind w:right="351"/>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 (4)</w:t>
            </w:r>
          </w:p>
        </w:tc>
        <w:tc>
          <w:tcPr>
            <w:tcW w:w="260" w:type="dxa"/>
            <w:vAlign w:val="bottom"/>
          </w:tcPr>
          <w:p>
            <w:pPr>
              <w:spacing w:after="0"/>
              <w:rPr>
                <w:sz w:val="17"/>
                <w:szCs w:val="17"/>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rPr>
              <w:t>Fair Value (3)</w:t>
            </w:r>
          </w:p>
        </w:tc>
        <w:tc>
          <w:tcPr>
            <w:tcW w:w="0" w:type="dxa"/>
            <w:vAlign w:val="bottom"/>
          </w:tcPr>
          <w:p>
            <w:pPr>
              <w:spacing w:after="0"/>
              <w:rPr>
                <w:sz w:val="1"/>
                <w:szCs w:val="1"/>
                <w:color w:val="auto"/>
              </w:rPr>
            </w:pPr>
          </w:p>
        </w:tc>
      </w:tr>
      <w:tr>
        <w:trPr>
          <w:trHeight w:val="256"/>
        </w:trPr>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7,593,627</w:t>
            </w:r>
          </w:p>
        </w:tc>
        <w:tc>
          <w:tcPr>
            <w:tcW w:w="10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Feb. 16, 2017</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1,087,010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845,550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1,537,763</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Various</w:t>
            </w: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3,470,323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148 million</w:t>
            </w:r>
          </w:p>
        </w:tc>
        <w:tc>
          <w:tcPr>
            <w:tcW w:w="0" w:type="dxa"/>
            <w:vAlign w:val="bottom"/>
          </w:tcPr>
          <w:p>
            <w:pPr>
              <w:spacing w:after="0"/>
              <w:rPr>
                <w:sz w:val="1"/>
                <w:szCs w:val="1"/>
                <w:color w:val="auto"/>
              </w:rPr>
            </w:pP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(2,622,807)</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94 million</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(771,438)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7,669,705</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Feb. 22, 2018</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1,048,770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788,310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446,752</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Various</w:t>
            </w: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2,283,832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107 million</w:t>
            </w:r>
          </w:p>
        </w:tc>
        <w:tc>
          <w:tcPr>
            <w:tcW w:w="0" w:type="dxa"/>
            <w:vAlign w:val="bottom"/>
          </w:tcPr>
          <w:p>
            <w:pPr>
              <w:spacing w:after="0"/>
              <w:rPr>
                <w:sz w:val="1"/>
                <w:szCs w:val="1"/>
                <w:color w:val="auto"/>
              </w:rPr>
            </w:pP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(2,511,992)</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98 million</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(882,535)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6,559,010</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Feb. 22, 2019</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891,210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666,880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205,073</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Various</w:t>
            </w: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1,763,163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95 million</w:t>
            </w:r>
          </w:p>
        </w:tc>
        <w:tc>
          <w:tcPr>
            <w:tcW w:w="0" w:type="dxa"/>
            <w:vAlign w:val="bottom"/>
          </w:tcPr>
          <w:p>
            <w:pPr>
              <w:spacing w:after="0"/>
              <w:rPr>
                <w:sz w:val="1"/>
                <w:szCs w:val="1"/>
                <w:color w:val="auto"/>
              </w:rPr>
            </w:pP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(2,007,848)</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37.81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 million</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(652,380)</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5,661,945</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-4390390</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-4021455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-3678555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-3335655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-2992120</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-2623820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-2280285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-1937385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-1594485</wp:posOffset>
            </wp:positionV>
            <wp:extent cx="724662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-1225550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-882650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-539750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-196850</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720"/>
            <w:col w:w="6980"/>
          </w:cols>
          <w:pgMar w:left="240" w:top="140" w:right="239" w:bottom="1440" w:gutter="0" w:footer="0" w:header="0"/>
          <w:type w:val="continuous"/>
        </w:sectPr>
      </w:pPr>
    </w:p>
    <w:p>
      <w:pPr>
        <w:spacing w:after="0" w:line="20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performance share units and deferred stock units.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performance share units, deferred stock units and historically granted restricted stock.</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actual tax benefit/(expense) realized and recorded in the provision for income taxes for the tax deductions from the shares vested totaled $2 million in 2019, $3 million in 2018 and $7 million in 2017.</w:t>
      </w:r>
    </w:p>
    <w:p>
      <w:pPr>
        <w:ind w:left="340" w:right="60" w:hanging="332"/>
        <w:spacing w:after="0" w:line="251"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40"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amended and restated articles of incorporation authorize 5.0 billion shares of Class A common stock (“Common Stock”) and 500 million shares of preferred stock. There were no preferred shares issued and outstanding at December 31, 2019, 2018 and 2017. Shares of Common Stock issued, in treasury and outstanding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tcPr>
          <w:p>
            <w:pPr>
              <w:ind w:left="400"/>
              <w:spacing w:after="0"/>
              <w:rPr>
                <w:sz w:val="20"/>
                <w:szCs w:val="20"/>
                <w:color w:val="auto"/>
              </w:rPr>
            </w:pPr>
            <w:r>
              <w:rPr>
                <w:rFonts w:ascii="Arial" w:cs="Arial" w:eastAsia="Arial" w:hAnsi="Arial"/>
                <w:sz w:val="14"/>
                <w:szCs w:val="14"/>
                <w:b w:val="1"/>
                <w:bCs w:val="1"/>
                <w:color w:val="auto"/>
              </w:rPr>
              <w:t>Treasury Shares</w:t>
            </w:r>
          </w:p>
        </w:tc>
        <w:tc>
          <w:tcPr>
            <w:tcW w:w="1800" w:type="dxa"/>
            <w:vAlign w:val="bottom"/>
          </w:tcPr>
          <w:p>
            <w:pPr>
              <w:jc w:val="right"/>
              <w:ind w:right="39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(468,172,237)</w:t>
            </w: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1,528,365,541</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(50,598,902)</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(50,598,902)</w:t>
            </w: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 issuance of</w:t>
            </w: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10,369,445</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10,369,445</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2017</w:t>
            </w: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(508,401,694)</w:t>
            </w:r>
          </w:p>
        </w:tc>
        <w:tc>
          <w:tcPr>
            <w:tcW w:w="12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1,488,136,084</w:t>
            </w: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Shares repurchased</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(47,258,884)</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(47,258,884)</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Exercise of stock options and issuance of</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180"/>
              <w:spacing w:after="0"/>
              <w:rPr>
                <w:sz w:val="20"/>
                <w:szCs w:val="20"/>
                <w:color w:val="auto"/>
              </w:rPr>
            </w:pPr>
            <w:r>
              <w:rPr>
                <w:rFonts w:ascii="Arial" w:cs="Arial" w:eastAsia="Arial" w:hAnsi="Arial"/>
                <w:sz w:val="18"/>
                <w:szCs w:val="18"/>
                <w:color w:val="auto"/>
              </w:rPr>
              <w:t>other stock awards</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10,122,655</w:t>
            </w:r>
          </w:p>
        </w:tc>
        <w:tc>
          <w:tcPr>
            <w:tcW w:w="120" w:type="dxa"/>
            <w:vAlign w:val="bottom"/>
          </w:tcPr>
          <w:p>
            <w:pPr>
              <w:spacing w:after="0"/>
              <w:rPr>
                <w:sz w:val="19"/>
                <w:szCs w:val="19"/>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10,122,655</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(545,537,923)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1,450,999,855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Shares repurchased</w:t>
            </w: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(30,902,465)</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(30,902,465)</w:t>
            </w: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 issuance of</w:t>
            </w: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14,908,864</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14,908,864</w:t>
            </w:r>
          </w:p>
        </w:tc>
        <w:tc>
          <w:tcPr>
            <w:tcW w:w="0" w:type="dxa"/>
            <w:vAlign w:val="bottom"/>
          </w:tcPr>
          <w:p>
            <w:pPr>
              <w:spacing w:after="0"/>
              <w:rPr>
                <w:sz w:val="1"/>
                <w:szCs w:val="1"/>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Pr>
          <w:p>
            <w:pPr>
              <w:spacing w:after="0"/>
              <w:rPr>
                <w:sz w:val="21"/>
                <w:szCs w:val="21"/>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(561,531,524)</w:t>
            </w: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1,435,006,254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2019, 96 million shares of Common Stock held in treasury were reserved for stock options and other stock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2019, we had repurchased approximately $15.0 billion of Common Stock pursuant to this authorization. During 2019, we repurchased approximately 30.9 million shares of Common Stock at an average cost of $48.51 per share, or an aggregate cost of approximately $1.5 billion, all of which was paid during the period except for approximately $19 million settled in January 2020. All share repurchases were funded through available cash and commercial paper issuances. As of December 31, 2019, we have approximately $3.2 billion in remaining share repurchase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($52 million as of December 31, 2019) ("Period 1") of unpaid excise tax and an equivalent amount of penalties, as well as interest, related to production at the same Indian facility. We contested these demands and on March 27, 2015, the Commissioner of the Excise Authority (the "Commissioner") issued an order denying the excise exemption that we claimed for Period 1. We appealed this order in June 2015. The Excise Authority issued additional show cause notices in February 2015, December 2015 and October 2017 on the same issue covering additional periods through June 2017 ("Period 2"). These three notices added a total of 4.9 billion Indian rupees ($ 68 million as of December 31, 2019) of allegedly unpaid excise taxes subject to penalties up to an equivalent amount plus accrued interest. We contested these demands, and on May 25, 2019, the Commissioner issued an order denying the excise exemption that we claimed for Period 2. We appealed this order in August 2019. With the implementation of the Goods and Services Tax ("GST") in India in July 2017, we stopped receiving show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cause notices for additional amounts on this issue. Beginning in the fall of 2019, the government of India made available an amnesty to resolve legacy tax issues following the GST implementation. Under the amnesty, upon payment of 50% of the principal demand for cases pending adjudication or appeal as of June 30, 2019 and 60% of the principal demand for cases where the appeal was filed after June 30, 2019, the government would waive the remainder of the principal demand as well as any penalties imposed and interest, and it would also grant immunity from prosecution. Although we continue to believe that our decision to claim the excise tax benefit was valid, in December 2019, we filed for the amnesty and accrued a total of 4.6 billion Indian rupees ($65 million as of December 31, 2019) in selling, general and administrative expenses for this matter. In January 2020, we made the related payments under the amnesty. This matter is now resolved, and the resolution was not material to our business or financial condition.</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District Court. On January 3, 2020, the District Court granted plaintiffs' request to certify a class. On January 17, 2020, we filed a petition for an interlocutory appeal of the District Court's class certification decision to the Seventh Circuit.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We are cooperating with the investigation. The fact that an investigation has been initiated does not mean that the European Commission has concluded that there is an infringement. It is not possible to predict how long the investigation will take or the ultimate outcome of this matter.</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August 21, 2018, the Virginia Department of Environmental Quality (“VDEQ”) issued a Notice of Violation (“NOV”) to Mondelēz Global. In the NOV, the VDEQ alleges that in our Richmond bakery, one operating line did not have the proper minimum temperature on its pollution control equipment and that the bakery failed to provide certain observation and training records. The VDEQ indicated that the alleged violations may lead to a fine and/or injunctive relief. We are working with the VDEQ to reach a resolution of this matter, and we do not expect this matter to have a material effect on our financial results.</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a party to various legal proceedings, including disputes, litigation and regulatory matters, incidental to our business, including those noted above in this section. We record provisions in the consolidated financial statements for pending litigation when we determine that an unfavorable outcome is probable and the amount of the loss can be reasonably estimated. For matters that are reasonably possible to result in an unfavorable outcome,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40"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December 31, 2019, we had no material third-party guarantees recorded on our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fourth quarter of 2019, we resolved several indirect tax matters and recorded $85 million of net indirect tax expenses within selling, general and administrative expenses. These amounts primarily include the matter resolved under the tax amnesty described above under “Legal Proceedings.”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tax indemnification matter related to our 2007 acquisition of the LU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first quarter of 2017, the Brazilian Supreme Court (the “Court”) ruled against the Brazilian tax authorities in a leading case related to the computation of certain indirect taxes. The Court ruled that the indirect tax base should not include a value-added tax known as “ICMS”. By removing the ICMS from the tax base, the Court effectively eliminated a “tax on a tax.” In lower courts, our Brazilian subsidiaries filed lawsuits to recover amounts paid and to discontinue subsequent payments related to the “tax on a tax.” Our Brazilian subsidiaries received injunctions against making payments for the “tax on a tax” in 2008 and since that time until December 2016, had accrued this portion of the tax each quarter in the event that the tax was reaffirmed by the Brazilian courts. On September 30, 2017, based on legal advice and the publication of the Court’s decision related to this case, we determined that the likelihood that the increased tax base would be reinstated and assessed against us was remote. Accordingly, we reversed our accrual of 667 million Brazilian reais, or $212 million as of September 30, 2017, of which $153 million was recorded within selling, general and administrative expenses and $59 million was recorded within interest and other expense, net. In connection with the Court's 2017 decision, the Brazilian tax authority filed a motion seeking clarification and adjustment of the terms of enforcement and that motion is still to be decided. We continue to monitor developments in this matter and currently do not expect a material future impact on our financial statements. During the fourth quarter of 2018, in one of our lower court cases, the Brazilian Federal Court of Appeals ruled in our favor against the Brazilian tax authority, allowing one of our Brazil subsidiaries to recover amounts previously paid. As a result, we recorded a net benefit in selling, general and administrative expenses of $26 million.</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 We recorded a total of $4 million of income over the third and fourth quarters of 2017 in connection with the related bank guarantee releases.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140"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Reclassifications from Accumulated Other Comprehensive Income</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$279 million in 2019, $169 million in 2018 and $174 million in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1"/>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Currency Translation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(7,740)</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(8,910)</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Reclassification to earnings related to:</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method investment transactions</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 (expense)/benefit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Pension and Other Benefit Plans: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Net actuarial gain/(loss) arising during period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(expense)/benefit on net actuarial gain/(loss)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Losses/(gains) reclassified into net earnings: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impact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derivative gains/(losses)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Tax (expense)/benefit on net derivative gain/(loss)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Losses/(gains) reclassified into net earnings: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Currency exchange contracts - forecasted transactions </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1"/>
                <w:szCs w:val="21"/>
                <w:color w:val="auto"/>
                <w:vertAlign w:val="superscript"/>
              </w:rPr>
              <w:t>(4)</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impact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193"/>
        </w:trPr>
        <w:tc>
          <w:tcPr>
            <w:tcW w:w="67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52"/>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Mondelēz International:</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(11,118)</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earnings/(losses)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attributable to Mondelēz 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r>
      <w:tr>
        <w:trPr>
          <w:trHeight w:val="244"/>
        </w:trPr>
        <w:tc>
          <w:tcPr>
            <w:tcW w:w="67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140"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7" w:lineRule="exact"/>
        <w:rPr>
          <w:sz w:val="20"/>
          <w:szCs w:val="20"/>
          <w:color w:val="auto"/>
        </w:rPr>
      </w:pPr>
    </w:p>
    <w:p>
      <w:pPr>
        <w:ind w:left="340" w:right="720" w:hanging="332"/>
        <w:spacing w:after="0" w:line="24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reclassified losses are included in net periodic benefit costs disclosed in Note 11, Benefit Plans, and net loss on equity method investment transactions.</w:t>
      </w: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Taxes reclassified to earnings are recorded within the provision for income taxes.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reclassified gains or losses are recorded within cost of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reclassified losses are recorded within interest and other expense, net and net loss on equity method investment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Federal/Cantonal events, our position is the enactment of Swiss tax reform for U.S. GAAP purposes was met as of September 30, 2019, and we recorded the impacts in the third quarter 2019. The net impact was a benefit of $767 million, which consisted of a $769 million reduction in deferred tax expense from an allowed step-up of intangible assets for tax purposes (recorded net of valuation allowance) and remeasurement of our deferred tax balances, partially offset by a $2 million indirect tax impact in selling, general and administrative expenses. The future rate impacts of these Swiss tax reform law changes are effective starting January 1, 2020. We will continue to monitor Swiss tax reform for any additional interpretative guidance that could result in changes to the amounts we have recorded.</w:t>
      </w:r>
    </w:p>
    <w:p>
      <w:pPr>
        <w:spacing w:after="0" w:line="11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December 22, 2017, new U.S. tax reform legislation ("U.S. tax reform") was enacted that included a broad range of complex provisions impacting the taxation of businesses. Certain impacts of the new legislation would have generally required accounting to be completed and incorporated into our 2017 year-end financial statements, however in response to the complexities of this new legislation, the SEC issued guidance to provide companies with relief. The SEC provided up to a one-year window for companies to finalize the accounting for the impacts of this new legislation. We finalized our accounting for the new provisions during the fourth quarter of 2018. U.S. tax reform resulted in a total transition tax liability of $1,284 million ($1,279 million as of December 31, 2018 and $5 million of 2019 related updates) based on the deemed repatriation of our accumulated foreign earnings and profits, which will be paid in installments through 2026, and a related change in our indefinite reinvestment assertion for most companies owned directly by our U.S. subsidiaries. In addition, the legislation reduced the U.S. federal tax rate from 35% to 21% and established various new provisions, including a new provision that taxes U.S. allocated expenses (e.g. interest and general administrative expenses) as well as currently taxes certain income from foreign operations (Global Intangible Low-Tax Income, or “GILTI”).</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Earnings/(losses) from continuing operations before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2,770</w:t>
            </w:r>
          </w:p>
        </w:tc>
      </w:tr>
      <w:tr>
        <w:trPr>
          <w:trHeight w:val="290"/>
        </w:trPr>
        <w:tc>
          <w:tcPr>
            <w:tcW w:w="67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3,124</w:t>
            </w:r>
          </w:p>
        </w:tc>
      </w:tr>
      <w:tr>
        <w:trPr>
          <w:trHeight w:val="237"/>
        </w:trPr>
        <w:tc>
          <w:tcPr>
            <w:tcW w:w="6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 federal:</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United States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230"/>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Outside United States: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50"/>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outside United States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r>
      <w:tr>
        <w:trPr>
          <w:trHeight w:val="230"/>
        </w:trPr>
        <w:tc>
          <w:tcPr>
            <w:tcW w:w="6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84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46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6"/>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Increase/(decrease) resulting from:</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 income taxes, net of federal tax benefit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63"/>
        </w:trPr>
        <w:tc>
          <w:tcPr>
            <w:tcW w:w="6460" w:type="dxa"/>
            <w:vAlign w:val="bottom"/>
          </w:tcPr>
          <w:p>
            <w:pPr>
              <w:ind w:left="180"/>
              <w:spacing w:after="0"/>
              <w:rPr>
                <w:sz w:val="20"/>
                <w:szCs w:val="20"/>
                <w:color w:val="auto"/>
              </w:rPr>
            </w:pPr>
            <w:r>
              <w:rPr>
                <w:rFonts w:ascii="Arial" w:cs="Arial" w:eastAsia="Arial" w:hAnsi="Arial"/>
                <w:sz w:val="18"/>
                <w:szCs w:val="18"/>
                <w:color w:val="auto"/>
              </w:rPr>
              <w:t>Foreign rate differences</w:t>
            </w:r>
          </w:p>
        </w:tc>
        <w:tc>
          <w:tcPr>
            <w:tcW w:w="15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judgment on realizability of deferred tax assets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63"/>
        </w:trPr>
        <w:tc>
          <w:tcPr>
            <w:tcW w:w="6460" w:type="dxa"/>
            <w:vAlign w:val="bottom"/>
          </w:tcPr>
          <w:p>
            <w:pPr>
              <w:ind w:left="180"/>
              <w:spacing w:after="0"/>
              <w:rPr>
                <w:sz w:val="20"/>
                <w:szCs w:val="20"/>
                <w:color w:val="auto"/>
              </w:rPr>
            </w:pPr>
            <w:r>
              <w:rPr>
                <w:rFonts w:ascii="Arial" w:cs="Arial" w:eastAsia="Arial" w:hAnsi="Arial"/>
                <w:sz w:val="18"/>
                <w:szCs w:val="18"/>
                <w:color w:val="auto"/>
              </w:rPr>
              <w:t>Reversal of other tax accruals no longer required</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5"/>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accrual on investment in Keurig (including tax impact of the</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from the KDP transaction)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63"/>
        </w:trPr>
        <w:tc>
          <w:tcPr>
            <w:tcW w:w="6460" w:type="dxa"/>
            <w:vAlign w:val="bottom"/>
          </w:tcPr>
          <w:p>
            <w:pPr>
              <w:ind w:left="180"/>
              <w:spacing w:after="0"/>
              <w:rPr>
                <w:sz w:val="20"/>
                <w:szCs w:val="20"/>
                <w:color w:val="auto"/>
              </w:rPr>
            </w:pPr>
            <w:r>
              <w:rPr>
                <w:rFonts w:ascii="Arial" w:cs="Arial" w:eastAsia="Arial" w:hAnsi="Arial"/>
                <w:sz w:val="18"/>
                <w:szCs w:val="18"/>
                <w:color w:val="auto"/>
              </w:rPr>
              <w:t>Excess tax benefits from equity compensation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legislation (non-U.S. and non-Swiss tax reform)</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6460" w:type="dxa"/>
            <w:vAlign w:val="bottom"/>
          </w:tcPr>
          <w:p>
            <w:pPr>
              <w:ind w:left="180"/>
              <w:spacing w:after="0"/>
              <w:rPr>
                <w:sz w:val="20"/>
                <w:szCs w:val="20"/>
                <w:color w:val="auto"/>
              </w:rPr>
            </w:pPr>
            <w:r>
              <w:rPr>
                <w:rFonts w:ascii="Arial" w:cs="Arial" w:eastAsia="Arial" w:hAnsi="Arial"/>
                <w:sz w:val="18"/>
                <w:szCs w:val="18"/>
                <w:color w:val="auto"/>
              </w:rPr>
              <w:t>Swiss tax reform</w:t>
            </w:r>
          </w:p>
        </w:tc>
        <w:tc>
          <w:tcPr>
            <w:tcW w:w="15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214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tax reform - deferred benefit from tax rate change</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63"/>
        </w:trPr>
        <w:tc>
          <w:tcPr>
            <w:tcW w:w="6460" w:type="dxa"/>
            <w:vAlign w:val="bottom"/>
          </w:tcPr>
          <w:p>
            <w:pPr>
              <w:ind w:left="180"/>
              <w:spacing w:after="0"/>
              <w:rPr>
                <w:sz w:val="20"/>
                <w:szCs w:val="20"/>
                <w:color w:val="auto"/>
              </w:rPr>
            </w:pPr>
            <w:r>
              <w:rPr>
                <w:rFonts w:ascii="Arial" w:cs="Arial" w:eastAsia="Arial" w:hAnsi="Arial"/>
                <w:sz w:val="18"/>
                <w:szCs w:val="18"/>
                <w:color w:val="auto"/>
              </w:rPr>
              <w:t>U.S. tax reform - transition tax</w:t>
            </w: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42.2 %</w:t>
            </w:r>
          </w:p>
        </w:tc>
      </w:tr>
      <w:tr>
        <w:trPr>
          <w:trHeight w:val="27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tax reform - changes in indefinite reinvestment assertion</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460" w:type="dxa"/>
            <w:vAlign w:val="bottom"/>
          </w:tcPr>
          <w:p>
            <w:pPr>
              <w:ind w:left="180"/>
              <w:spacing w:after="0"/>
              <w:rPr>
                <w:sz w:val="20"/>
                <w:szCs w:val="20"/>
                <w:color w:val="auto"/>
              </w:rPr>
            </w:pPr>
            <w:r>
              <w:rPr>
                <w:rFonts w:ascii="Arial" w:cs="Arial" w:eastAsia="Arial" w:hAnsi="Arial"/>
                <w:sz w:val="18"/>
                <w:szCs w:val="18"/>
                <w:color w:val="auto"/>
              </w:rPr>
              <w:t>Foreign tax provisions under TCJA (GILTI, FDII and BEAT)</w:t>
            </w:r>
            <w:r>
              <w:rPr>
                <w:rFonts w:ascii="Arial" w:cs="Arial" w:eastAsia="Arial" w:hAnsi="Arial"/>
                <w:sz w:val="21"/>
                <w:szCs w:val="21"/>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4"/>
        </w:trPr>
        <w:tc>
          <w:tcPr>
            <w:tcW w:w="64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r>
      <w:tr>
        <w:trPr>
          <w:trHeight w:val="20"/>
        </w:trPr>
        <w:tc>
          <w:tcPr>
            <w:tcW w:w="6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340" w:right="180" w:hanging="332"/>
        <w:spacing w:after="0" w:line="260"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Tax Cuts and Jobs Act of 2017 ("TCJA") established the Global Intangible Low-Tax Income ("GILTI") provision, which taxes U.S. allocated expenses and certain income from foreign operations; the Foreign-Derived Intangible Income ("FDII")</w:t>
      </w:r>
    </w:p>
    <w:p>
      <w:pPr>
        <w:sectPr>
          <w:pgSz w:w="11900" w:h="16838" w:orient="portrait"/>
          <w:cols w:equalWidth="0" w:num="1">
            <w:col w:w="11420"/>
          </w:cols>
          <w:pgMar w:left="240" w:top="140"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140"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1" w:lineRule="exact"/>
        <w:rPr>
          <w:sz w:val="20"/>
          <w:szCs w:val="20"/>
          <w:color w:val="auto"/>
        </w:rPr>
      </w:pPr>
    </w:p>
    <w:p>
      <w:pPr>
        <w:ind w:left="340" w:right="220"/>
        <w:spacing w:after="0" w:line="295" w:lineRule="auto"/>
        <w:rPr>
          <w:sz w:val="20"/>
          <w:szCs w:val="20"/>
          <w:color w:val="auto"/>
        </w:rPr>
      </w:pPr>
      <w:r>
        <w:rPr>
          <w:rFonts w:ascii="Arial" w:cs="Arial" w:eastAsia="Arial" w:hAnsi="Arial"/>
          <w:sz w:val="16"/>
          <w:szCs w:val="16"/>
          <w:color w:val="auto"/>
        </w:rPr>
        <w:t>provision, which allows a deduction against certain types of US taxable income resulting in a lower effective US tax rate on such income; and the Base Erosion Anti-abuse Tax ("BEAT"), which is a new minimum tax based on cross-border service payments by U.S. entities.</w:t>
      </w:r>
    </w:p>
    <w:p>
      <w:pPr>
        <w:spacing w:after="0" w:line="12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2019 effective tax rate of 0.1% was significantly impacted by the $ 769 million net deferred tax benefit related to Swiss tax reform in the third quarter of 2019. Excluding this impact, our 2019 effective tax rate was 22.4%, which reflects unfavorable provisions from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and discrete net tax benefits of $176 million. The discrete net tax benefits were primarily driven by a $128 million net benefit from the release of liabilities for uncertain tax positions due to expirations of statutes of limitations and audit settlements in several jurisdictions.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2018 effective tax rate of 27.2% was unfavorably impacted by net tax expenses from $128 million of discrete one-time events as well as unfavorable provisions within the new U.S. tax reform legislation and taxes on earnings from equity method investments (these earnings are reported separately on our consolidated statements of earnings and not within earnings before income taxes), partially offset by the favorable mix of pre-tax income in various non-U.S. tax jurisdictions as well as the reduction in the U.S. federal tax rate. The discrete net tax expenses included a $192 million deferred tax expense related to a $778 million gain on the KDP transaction reported as a gain on equity method investment as well as $19 million expense from the final updates to the provisional impacts from U.S. tax reform reported as of 2017 year-end, partially offset by an $81 million benefit from favorable audit settlements and statutes of limitations in various jurisdictions.</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2017 effective tax rate of 21.3% was favorably impacted by the mix of pre-tax income in various non-U.S. tax jurisdictions and net tax benefits from $97 million of discrete one-time events, partially offset by domestic earnings taxed at the higher pre-U.S. tax reform rate of 35% as well as taxes on earnings from equity method investments (these earnings are reported separately on our consolidated statements of earnings and not within earnings before income taxes). The discrete net tax benefits included the provisional net impact from U.S. tax reform discussed previously, favorable audit settlements and statutes of limitations in various jurisdictions, and the net reduction of our French and Belgian deferred tax liabilities resulting from tax legislation enacted during 2017 that reduced the corporate income tax rates in each country, partially offset by the addition of a valuation allowance in one of our Chinese entities.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140"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37"/>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Accrued postretirement and postemployment benefits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pension costs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Other employee benefits</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Loss carryforwards</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707</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2,682</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income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including impact from Swiss tax reform</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income tax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significant valuation allowances are in the U.S., Switzerland and China. The U.S. valuation allowance relates to excess foreign tax credits generated by the deemed repatriation under U.S. tax reform while the Swiss valuation allowance brings the allowed step-up of intangible assets recorded under Swiss tax reform to the amount more likely than not to be realized. The valuation allowance in China relates to character-specific deferred tax assets of one of our Chinese entities.</w:t>
      </w:r>
    </w:p>
    <w:p>
      <w:pPr>
        <w:spacing w:after="0" w:line="204"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At December 31, 2019, the Company has pre-tax loss carryforwards of $ 3,491 million, of which $691 million will expire at various dates between 2020 and 2039 and the remaining $2,800 million can be carried forward indefinitely.</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unremitted earnings as of December 31, 2019 in those subsidiaries where we continue to be indefinitely reinvested is approximately $1.6 billion. We currently have not recognized approximately $75 million of deferred tax liabilities related to those unremitted earnings. Future tax law changes or changes in the needs of our non-U.S. subsidiaries could require us to recognize deferred tax liabilities on a portion, or all, of our accumulated earnings that are currently indefinitely reinvested.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40"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Increases from positions taken during prior periods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Decreases from positions taken during prior periods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Increases from positions taken during the current period</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Decreases relating to settlements with taxing authorities</w:t>
      </w:r>
    </w:p>
    <w:p>
      <w:pPr>
        <w:spacing w:after="0" w:line="75" w:lineRule="exact"/>
        <w:rPr>
          <w:sz w:val="20"/>
          <w:szCs w:val="20"/>
          <w:color w:val="auto"/>
        </w:rPr>
      </w:pPr>
    </w:p>
    <w:p>
      <w:pPr>
        <w:ind w:left="360" w:right="1620" w:hanging="149"/>
        <w:spacing w:after="0" w:line="246" w:lineRule="auto"/>
        <w:rPr>
          <w:sz w:val="20"/>
          <w:szCs w:val="20"/>
          <w:color w:val="auto"/>
        </w:rPr>
      </w:pPr>
      <w:r>
        <w:rPr>
          <w:rFonts w:ascii="Arial" w:cs="Arial" w:eastAsia="Arial" w:hAnsi="Arial"/>
          <w:sz w:val="18"/>
          <w:szCs w:val="18"/>
          <w:color w:val="auto"/>
        </w:rPr>
        <w:t>Reductions resulting from the lapse of the applicable statute of limitations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Currency/other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31"/>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9"/>
        </w:trPr>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59"/>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7"/>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50"/>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-1517015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-1174115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-831215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40" w:right="239" w:bottom="1440" w:gutter="0" w:footer="0" w:header="0"/>
        </w:sectPr>
      </w:pP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of January 1, 2019, our unrecognized tax benefits were $516 million. If we had recognized all of these benefits, the net impact on our income tax provision would have been $463 million. Our unrecognized tax benefits were $426 million at December 31, 2019, and if we had recognized all of these benefits, the net impact on our income tax provision would have been $364 million. Within the next 12 months, our unrecognized tax benefits could increase by approximately $30 million due to unfavorable audit developments or decrease by approximately $140 million due to audit settlements and the expiration of statutes of limitations in various jurisdictions. We include accrued interest and penalties related to uncertain tax positions in our tax provision. We had accrued interest and penalties of $180 million as of January 1, 2019 and $170 million as of December 31, 2019. Our 2019 provision for income taxes included $5 million benefit for interest and penalties.</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years still open to examination by non-U.S. tax authorities in major jurisdictions include (earliest open tax year in parentheses): Brazil (2014), China (2009), France (2015), India (2005), Russia (2013) and Switzerland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40" w:type="dxa"/>
            <w:vAlign w:val="bottom"/>
            <w:gridSpan w:val="6"/>
          </w:tcPr>
          <w:p>
            <w:pPr>
              <w:jc w:val="center"/>
              <w:ind w:left="54"/>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3,885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92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for basic EPS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3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1,458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92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920" w:type="dxa"/>
            <w:vAlign w:val="bottom"/>
            <w:vMerge w:val="restart"/>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5"/>
                <w:szCs w:val="15"/>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2"/>
        </w:trPr>
        <w:tc>
          <w:tcPr>
            <w:tcW w:w="674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long-term incentive plan shares of 5.2 million for the year ended December 31, 2019, 11.6 million for the year ended December 31, 2018 and 8.5 million for the year ended December 31, 2017.</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140"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19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220"/>
              <w:spacing w:after="0"/>
              <w:rPr>
                <w:sz w:val="20"/>
                <w:szCs w:val="20"/>
                <w:color w:val="auto"/>
              </w:rPr>
            </w:pPr>
            <w:r>
              <w:rPr>
                <w:rFonts w:ascii="Arial" w:cs="Arial" w:eastAsia="Arial" w:hAnsi="Arial"/>
                <w:sz w:val="18"/>
                <w:szCs w:val="18"/>
                <w:color w:val="auto"/>
              </w:rPr>
              <w:t>Latin America</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AMEA</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5,729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63"/>
        </w:trPr>
        <w:tc>
          <w:tcPr>
            <w:tcW w:w="6740" w:type="dxa"/>
            <w:vAlign w:val="bottom"/>
          </w:tcPr>
          <w:p>
            <w:pPr>
              <w:ind w:left="2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6,885</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25,938</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AMEA</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8"/>
                <w:szCs w:val="18"/>
                <w:color w:val="auto"/>
              </w:rPr>
              <w:t>(mark-to-market impacts)</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corporate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gains on divestitures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Acquisition-related costs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140"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340" w:right="40" w:hanging="332"/>
        <w:spacing w:after="0" w:line="25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consolidated statements of earnings. As such, we have recast our historical operating income and segment operating income to reflect this reclassification, which had no impact to earnings before income taxes or net earnings.</w:t>
      </w:r>
    </w:p>
    <w:p>
      <w:pPr>
        <w:spacing w:after="0" w:line="1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 single customer accounted for 10% or more of our net revenues from continuing operations in 2019. Our five largest customers accounted for 17.0% and our ten largest customers accounted for 23.2% of net revenues from continuing operations in 2019.</w:t>
      </w:r>
    </w:p>
    <w:p>
      <w:pPr>
        <w:spacing w:after="0" w:line="17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interest and other expense, net for each period.</w:t>
      </w:r>
    </w:p>
    <w:p>
      <w:pPr>
        <w:spacing w:after="0" w:line="19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4"/>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4,948</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AMEA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9,571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19,426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21,611</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21,637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21,015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20,709</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7,123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6,193</w:t>
            </w:r>
          </w:p>
        </w:tc>
      </w:tr>
      <w:tr>
        <w:trPr>
          <w:trHeight w:val="27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64,549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62,729</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62,957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Segment assets do not reflect outstanding intercompany asset balances as intercompany accounts have been eliminated at a segment level.</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107</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Europe</w:t>
            </w:r>
          </w:p>
        </w:tc>
        <w:tc>
          <w:tcPr>
            <w:tcW w:w="1000" w:type="dxa"/>
            <w:vAlign w:val="bottom"/>
          </w:tcPr>
          <w:p>
            <w:pPr>
              <w:spacing w:after="0"/>
              <w:rPr>
                <w:sz w:val="22"/>
                <w:szCs w:val="22"/>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239</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0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depreciation expense</w:t>
            </w:r>
          </w:p>
        </w:tc>
        <w:tc>
          <w:tcPr>
            <w:tcW w:w="10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638</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right="8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 of cash flows for 2019 for total depreciation and amortization expenses.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40"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Europe</w:t>
            </w:r>
          </w:p>
        </w:tc>
        <w:tc>
          <w:tcPr>
            <w:tcW w:w="1000" w:type="dxa"/>
            <w:vAlign w:val="bottom"/>
          </w:tcPr>
          <w:p>
            <w:pPr>
              <w:spacing w:after="0"/>
              <w:rPr>
                <w:sz w:val="22"/>
                <w:szCs w:val="22"/>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0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capital expenditures</w:t>
            </w:r>
          </w:p>
        </w:tc>
        <w:tc>
          <w:tcPr>
            <w:tcW w:w="10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1,014</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Geographic data for net revenues (recognized in the countries where products are sold) and long-lived assets, excluding deferred tax, goodwill, intangible assets and equity method investments,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2"/>
                <w:szCs w:val="22"/>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6,401</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6,275</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19,243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19,537</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19,621</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25,938</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05"/>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1,468</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7,539</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7,733</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10,176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9,201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country within Other exceeded 10% of our net revenues or long-lived assets for all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40"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11,438</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8,158</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3,355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1,095</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1,822</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25,868</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3"/>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For the Year Ended December 31, 2018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8,177</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1,184</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1,901</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6,885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25,938</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3"/>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For the Year Ended December 31, 2017</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10,839</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8,032</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3,638</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1,355</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2,032</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25,896</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24"/>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9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operating results by quarter are detailed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rPr>
              <w:t>2019 Quarters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6,062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(Provision)/benefit for income taxes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Gain/(loss) on equity method investment transactions</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Weighted-average shares for basic EPS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Plus incremental shares from assumed conversions of</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options and long-term incentive plan shares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 attributable to Mondelēz International:</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EPS attributable to Mondelēz International:</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386"/>
        </w:trPr>
        <w:tc>
          <w:tcPr>
            <w:tcW w:w="5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rPr>
              <w:t>2018 Quarters</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6,112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Gain on equity method investment transactions</w:t>
            </w:r>
          </w:p>
        </w:tc>
        <w:tc>
          <w:tcPr>
            <w:tcW w:w="3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Weighted-average shares for basic EPS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Plus incremental shares from assumed conversions of</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options and long-term incentive plan shares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 attributable to Mondelēz International:</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EPS attributable to Mondelēz International:</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620" w:hanging="332"/>
        <w:spacing w:after="0" w:line="279"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The third quarter of 2019 was significantly impacted by the $769 million net deferred tax benefit related to Swiss tax reform.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for more information.</w:t>
      </w:r>
    </w:p>
    <w:p>
      <w:pPr>
        <w:spacing w:after="0" w:line="1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Basic and diluted EPS are computed independently for each of the periods presented. Accordingly, the sum of the quarterly EPS amounts may not equal the total for the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40"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2019 and 2018, we recorded the following pre-tax (charges)/benefits in earnings from continuing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rPr>
              <w:t>2019 Quarters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55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Fourth</w:t>
            </w:r>
          </w:p>
        </w:tc>
      </w:tr>
      <w:tr>
        <w:trPr>
          <w:trHeight w:val="237"/>
        </w:trPr>
        <w:tc>
          <w:tcPr>
            <w:tcW w:w="5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4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Divestiture-related costs</w:t>
            </w:r>
          </w:p>
        </w:tc>
        <w:tc>
          <w:tcPr>
            <w:tcW w:w="9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divestiture</w:t>
            </w: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Impact from pension participation changes</w:t>
            </w:r>
          </w:p>
        </w:tc>
        <w:tc>
          <w:tcPr>
            <w:tcW w:w="94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from the resolution of tax matters</w:t>
            </w: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Loss related to interest rate swaps</w:t>
            </w:r>
          </w:p>
        </w:tc>
        <w:tc>
          <w:tcPr>
            <w:tcW w:w="94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gain/(loss) on equity method investment</w:t>
            </w: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9"/>
        </w:trPr>
        <w:tc>
          <w:tcPr>
            <w:tcW w:w="5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rPr>
              <w:t>2018 Quarters</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Fourth</w:t>
            </w:r>
          </w:p>
        </w:tc>
      </w:tr>
      <w:tr>
        <w:trPr>
          <w:trHeight w:val="237"/>
        </w:trPr>
        <w:tc>
          <w:tcPr>
            <w:tcW w:w="5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4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Divestiture-related costs</w:t>
            </w:r>
          </w:p>
        </w:tc>
        <w:tc>
          <w:tcPr>
            <w:tcW w:w="9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from pension participation changes</w:t>
            </w: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Impact from the resolution of tax matters</w:t>
            </w:r>
          </w:p>
        </w:tc>
        <w:tc>
          <w:tcPr>
            <w:tcW w:w="94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Gain/(loss) related to interest rate swaps</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Loss on early extinguishment of</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debt and related expenses</w:t>
            </w:r>
          </w:p>
        </w:tc>
        <w:tc>
          <w:tcPr>
            <w:tcW w:w="9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equity method investment transaction</w:t>
            </w:r>
          </w:p>
        </w:tc>
        <w:tc>
          <w:tcPr>
            <w:tcW w:w="94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50"/>
        </w:trPr>
        <w:tc>
          <w:tcPr>
            <w:tcW w:w="558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 xml:space="preserve">Items impacting our operating results are discussed in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2, </w:t>
      </w:r>
      <w:r>
        <w:rPr>
          <w:rFonts w:ascii="Arial" w:cs="Arial" w:eastAsia="Arial" w:hAnsi="Arial"/>
          <w:sz w:val="17"/>
          <w:szCs w:val="17"/>
          <w:i w:val="1"/>
          <w:iCs w:val="1"/>
          <w:color w:val="auto"/>
        </w:rPr>
        <w:t>Divestitures and</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Acquisitions</w:t>
      </w:r>
      <w:r>
        <w:rPr>
          <w:rFonts w:ascii="Arial" w:cs="Arial" w:eastAsia="Arial" w:hAnsi="Arial"/>
          <w:sz w:val="17"/>
          <w:szCs w:val="17"/>
          <w:color w:val="auto"/>
        </w:rPr>
        <w:t>, Note 6,</w:t>
      </w:r>
      <w:r>
        <w:rPr>
          <w:rFonts w:ascii="Arial" w:cs="Arial" w:eastAsia="Arial" w:hAnsi="Arial"/>
          <w:sz w:val="17"/>
          <w:szCs w:val="17"/>
          <w:i w:val="1"/>
          <w:iCs w:val="1"/>
          <w:color w:val="auto"/>
        </w:rPr>
        <w:t xml:space="preserve"> Goodwill and Intangible Assets</w:t>
      </w:r>
      <w:r>
        <w:rPr>
          <w:rFonts w:ascii="Arial" w:cs="Arial" w:eastAsia="Arial" w:hAnsi="Arial"/>
          <w:sz w:val="17"/>
          <w:szCs w:val="17"/>
          <w:color w:val="auto"/>
        </w:rPr>
        <w:t>, Note 7,</w:t>
      </w:r>
      <w:r>
        <w:rPr>
          <w:rFonts w:ascii="Arial" w:cs="Arial" w:eastAsia="Arial" w:hAnsi="Arial"/>
          <w:sz w:val="17"/>
          <w:szCs w:val="17"/>
          <w:i w:val="1"/>
          <w:iCs w:val="1"/>
          <w:color w:val="auto"/>
        </w:rPr>
        <w:t xml:space="preserve"> Equity Method Investments</w:t>
      </w:r>
      <w:r>
        <w:rPr>
          <w:rFonts w:ascii="Arial" w:cs="Arial" w:eastAsia="Arial" w:hAnsi="Arial"/>
          <w:sz w:val="17"/>
          <w:szCs w:val="17"/>
          <w:color w:val="auto"/>
        </w:rPr>
        <w:t>, Note 8,</w:t>
      </w:r>
      <w:r>
        <w:rPr>
          <w:rFonts w:ascii="Arial" w:cs="Arial" w:eastAsia="Arial" w:hAnsi="Arial"/>
          <w:sz w:val="17"/>
          <w:szCs w:val="17"/>
          <w:i w:val="1"/>
          <w:iCs w:val="1"/>
          <w:color w:val="auto"/>
        </w:rPr>
        <w:t xml:space="preserve"> Restructuring Program, </w:t>
      </w:r>
      <w:r>
        <w:rPr>
          <w:rFonts w:ascii="Arial" w:cs="Arial" w:eastAsia="Arial" w:hAnsi="Arial"/>
          <w:sz w:val="17"/>
          <w:szCs w:val="17"/>
          <w:color w:val="auto"/>
        </w:rPr>
        <w:t>Note 9,</w:t>
      </w:r>
      <w:r>
        <w:rPr>
          <w:rFonts w:ascii="Arial" w:cs="Arial" w:eastAsia="Arial" w:hAnsi="Arial"/>
          <w:sz w:val="17"/>
          <w:szCs w:val="17"/>
          <w:i w:val="1"/>
          <w:iCs w:val="1"/>
          <w:color w:val="auto"/>
        </w:rPr>
        <w:t xml:space="preserve"> Debt and Borrowing Arrangements</w:t>
      </w:r>
      <w:r>
        <w:rPr>
          <w:rFonts w:ascii="Arial" w:cs="Arial" w:eastAsia="Arial" w:hAnsi="Arial"/>
          <w:sz w:val="17"/>
          <w:szCs w:val="17"/>
          <w:color w:val="auto"/>
        </w:rPr>
        <w:t>, Note 10,</w:t>
      </w:r>
      <w:r>
        <w:rPr>
          <w:rFonts w:ascii="Arial" w:cs="Arial" w:eastAsia="Arial" w:hAnsi="Arial"/>
          <w:sz w:val="17"/>
          <w:szCs w:val="17"/>
          <w:i w:val="1"/>
          <w:iCs w:val="1"/>
          <w:color w:val="auto"/>
        </w:rPr>
        <w:t xml:space="preserve"> Financial Instruments, </w:t>
      </w:r>
      <w:r>
        <w:rPr>
          <w:rFonts w:ascii="Arial" w:cs="Arial" w:eastAsia="Arial" w:hAnsi="Arial"/>
          <w:sz w:val="17"/>
          <w:szCs w:val="17"/>
          <w:color w:val="auto"/>
        </w:rPr>
        <w:t>Note 11,</w:t>
      </w:r>
      <w:r>
        <w:rPr>
          <w:rFonts w:ascii="Arial" w:cs="Arial" w:eastAsia="Arial" w:hAnsi="Arial"/>
          <w:sz w:val="17"/>
          <w:szCs w:val="17"/>
          <w:i w:val="1"/>
          <w:iCs w:val="1"/>
          <w:color w:val="auto"/>
        </w:rPr>
        <w:t xml:space="preserve"> Benefit Plans </w:t>
      </w:r>
      <w:r>
        <w:rPr>
          <w:rFonts w:ascii="Arial" w:cs="Arial" w:eastAsia="Arial" w:hAnsi="Arial"/>
          <w:sz w:val="17"/>
          <w:szCs w:val="17"/>
          <w:color w:val="auto"/>
        </w:rPr>
        <w:t>and Note 14,</w:t>
      </w:r>
      <w:r>
        <w:rPr>
          <w:rFonts w:ascii="Arial" w:cs="Arial" w:eastAsia="Arial" w:hAnsi="Arial"/>
          <w:sz w:val="17"/>
          <w:szCs w:val="17"/>
          <w:i w:val="1"/>
          <w:iCs w:val="1"/>
          <w:color w:val="auto"/>
        </w:rPr>
        <w:t xml:space="preserve"> Commitments and Contingencies – Tax Matters</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40"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2019. Based on this evaluation, the CEO and CFO concluded that our disclosure controls and procedures were effective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49" w:lineRule="exact"/>
        <w:rPr>
          <w:sz w:val="20"/>
          <w:szCs w:val="20"/>
          <w:color w:val="auto"/>
        </w:rPr>
      </w:pPr>
    </w:p>
    <w:p>
      <w:pPr>
        <w:ind w:left="640" w:hanging="321"/>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9" w:lineRule="exact"/>
        <w:rPr>
          <w:rFonts w:ascii="Arial" w:cs="Arial" w:eastAsia="Arial" w:hAnsi="Arial"/>
          <w:sz w:val="18"/>
          <w:szCs w:val="18"/>
          <w:color w:val="auto"/>
        </w:rPr>
      </w:pPr>
    </w:p>
    <w:p>
      <w:pPr>
        <w:ind w:left="640" w:right="80" w:hanging="321"/>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40" w:right="560" w:hanging="321"/>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40" w:right="320" w:hanging="321"/>
        <w:spacing w:after="0" w:line="262"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2019.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2019,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2019, as stated in their report that appears under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February 7,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140"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2019. We continued to refine information technology security measures and business process controls. There were no changes in our internal control over financial reporting during the quarter ended December 31, 2019,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140"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Information required by this Item 10 is included under the heading “Information about our Executive Officers” in Part I, Item 1 of this Form 10-K, as well as under the headings “Election of Directors,” “Corporate Governance – Governance Guidelines,” “Corporate Governance – Codes of Conduct,” “Board Committees and Membership – Audit Committee” and if applicable, "Delinquent Section 16(a) Reports" in our definitive Proxy Statement for our Annual Meeting of Shareholders scheduled to be held on May 13, 2020 (“2020 Proxy Statement”). All of this information from the 2020 Proxy Statement is incorporated by reference into this Annual Report.</w:t>
      </w:r>
    </w:p>
    <w:p>
      <w:pPr>
        <w:spacing w:after="0" w:line="11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information on our web site is not, and shall not be deemed to be, a part of this Annual Report or incorporated into any other filings we make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Human Resources and Compensation Committee,” “Compensation of Non-Employee Directors,” “Compensation Discussion and Analysis,” “Executive Compensation Tables,” “Human Resources and Compensation Committee Report for the Year Ended December 31, 2019” and "CEO Pay Ratio" in our 2020 Proxy Statement. All of this information is incorporated by reference into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2019 were: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80" w:type="dxa"/>
            <w:vAlign w:val="bottom"/>
          </w:tcPr>
          <w:p>
            <w:pPr>
              <w:spacing w:after="0"/>
              <w:rPr>
                <w:sz w:val="20"/>
                <w:szCs w:val="20"/>
                <w:color w:val="auto"/>
              </w:rPr>
            </w:pPr>
          </w:p>
        </w:tc>
        <w:tc>
          <w:tcPr>
            <w:tcW w:w="5840" w:type="dxa"/>
            <w:vAlign w:val="bottom"/>
            <w:gridSpan w:val="5"/>
          </w:tcPr>
          <w:p>
            <w:pPr>
              <w:ind w:left="1080"/>
              <w:spacing w:after="0"/>
              <w:rPr>
                <w:sz w:val="20"/>
                <w:szCs w:val="20"/>
                <w:color w:val="auto"/>
              </w:rPr>
            </w:pPr>
            <w:r>
              <w:rPr>
                <w:rFonts w:ascii="Arial" w:cs="Arial" w:eastAsia="Arial" w:hAnsi="Arial"/>
                <w:sz w:val="18"/>
                <w:szCs w:val="18"/>
                <w:b w:val="1"/>
                <w:bCs w:val="1"/>
                <w:color w:val="auto"/>
              </w:rPr>
              <w:t>Equity Compensation Plan Information</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Number of Securities to</w:t>
            </w: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be Issued Upon Exercise</w:t>
            </w:r>
          </w:p>
        </w:tc>
        <w:tc>
          <w:tcPr>
            <w:tcW w:w="280" w:type="dxa"/>
            <w:vAlign w:val="bottom"/>
          </w:tcPr>
          <w:p>
            <w:pPr>
              <w:spacing w:after="0"/>
              <w:rPr>
                <w:sz w:val="17"/>
                <w:szCs w:val="17"/>
                <w:color w:val="auto"/>
              </w:rPr>
            </w:pPr>
          </w:p>
        </w:tc>
        <w:tc>
          <w:tcPr>
            <w:tcW w:w="25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of Outstanding</w:t>
            </w:r>
          </w:p>
        </w:tc>
        <w:tc>
          <w:tcPr>
            <w:tcW w:w="280" w:type="dxa"/>
            <w:vAlign w:val="bottom"/>
          </w:tcPr>
          <w:p>
            <w:pPr>
              <w:spacing w:after="0"/>
              <w:rPr>
                <w:sz w:val="17"/>
                <w:szCs w:val="17"/>
                <w:color w:val="auto"/>
              </w:rPr>
            </w:pPr>
          </w:p>
        </w:tc>
        <w:tc>
          <w:tcPr>
            <w:tcW w:w="258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Exercise Price of</w:t>
            </w: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Options, Warrants</w:t>
            </w:r>
          </w:p>
        </w:tc>
        <w:tc>
          <w:tcPr>
            <w:tcW w:w="280" w:type="dxa"/>
            <w:vAlign w:val="bottom"/>
          </w:tcPr>
          <w:p>
            <w:pPr>
              <w:spacing w:after="0"/>
              <w:rPr>
                <w:sz w:val="17"/>
                <w:szCs w:val="17"/>
                <w:color w:val="auto"/>
              </w:rPr>
            </w:pPr>
          </w:p>
        </w:tc>
        <w:tc>
          <w:tcPr>
            <w:tcW w:w="25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1"/>
                <w:szCs w:val="21"/>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xml:space="preserve">and Rights </w:t>
            </w:r>
            <w:r>
              <w:rPr>
                <w:rFonts w:ascii="Arial" w:cs="Arial" w:eastAsia="Arial" w:hAnsi="Arial"/>
                <w:sz w:val="21"/>
                <w:szCs w:val="21"/>
                <w:b w:val="1"/>
                <w:bCs w:val="1"/>
                <w:color w:val="auto"/>
                <w:w w:val="95"/>
                <w:vertAlign w:val="superscript"/>
              </w:rPr>
              <w:t>(1)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1"/>
                <w:szCs w:val="21"/>
                <w:b w:val="1"/>
                <w:bCs w:val="1"/>
                <w:color w:val="auto"/>
                <w:w w:val="96"/>
                <w:vertAlign w:val="superscript"/>
              </w:rPr>
              <w:t>(2)</w:t>
            </w:r>
          </w:p>
        </w:tc>
        <w:tc>
          <w:tcPr>
            <w:tcW w:w="120" w:type="dxa"/>
            <w:vAlign w:val="bottom"/>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xml:space="preserve">in column (a)) </w:t>
            </w:r>
            <w:r>
              <w:rPr>
                <w:rFonts w:ascii="Arial" w:cs="Arial" w:eastAsia="Arial" w:hAnsi="Arial"/>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w:t>
            </w:r>
          </w:p>
        </w:tc>
        <w:tc>
          <w:tcPr>
            <w:tcW w:w="280" w:type="dxa"/>
            <w:vAlign w:val="bottom"/>
          </w:tcPr>
          <w:p>
            <w:pPr>
              <w:spacing w:after="0"/>
              <w:rPr>
                <w:sz w:val="21"/>
                <w:szCs w:val="21"/>
                <w:color w:val="auto"/>
              </w:rPr>
            </w:pPr>
          </w:p>
        </w:tc>
        <w:tc>
          <w:tcPr>
            <w:tcW w:w="2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23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w:t>
            </w:r>
          </w:p>
        </w:tc>
        <w:tc>
          <w:tcPr>
            <w:tcW w:w="2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39,498,687</w:t>
            </w:r>
          </w:p>
        </w:tc>
        <w:tc>
          <w:tcPr>
            <w:tcW w:w="12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20"/>
                <w:szCs w:val="20"/>
                <w:color w:val="auto"/>
              </w:rPr>
            </w:pPr>
          </w:p>
        </w:tc>
        <w:tc>
          <w:tcPr>
            <w:tcW w:w="2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56,200,802</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approved by security holders</w:t>
            </w:r>
          </w:p>
        </w:tc>
        <w:tc>
          <w:tcPr>
            <w:tcW w:w="2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24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outstanding options, deferred stock units and performance share units and excludes restricted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Weighted average exercise price of outstanding options only.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available for grant under our Amended and Restated 2005 Performance Incentive Plan.</w:t>
      </w:r>
    </w:p>
    <w:p>
      <w:pPr>
        <w:spacing w:after="0" w:line="1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2020 Proxy Statement under the heading “Ownership of Equity Securities” and is incorporated by reference into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2020 Proxy Statement. All of this information is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2020 Proxy Statement. All of this information is incorporated by reference into this Annual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40"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60" w:type="dxa"/>
            <w:vAlign w:val="bottom"/>
            <w:gridSpan w:val="2"/>
          </w:tcPr>
          <w:p>
            <w:pPr>
              <w:spacing w:after="0"/>
              <w:rPr>
                <w:sz w:val="20"/>
                <w:szCs w:val="20"/>
                <w:color w:val="auto"/>
              </w:rPr>
            </w:pPr>
            <w:r>
              <w:rPr>
                <w:rFonts w:ascii="Arial" w:cs="Arial" w:eastAsia="Arial" w:hAnsi="Arial"/>
                <w:sz w:val="18"/>
                <w:szCs w:val="18"/>
                <w:i w:val="1"/>
                <w:iCs w:val="1"/>
                <w:color w:val="auto"/>
              </w:rPr>
              <w:t>(a)</w:t>
            </w:r>
          </w:p>
        </w:tc>
        <w:tc>
          <w:tcPr>
            <w:tcW w:w="9220" w:type="dxa"/>
            <w:vAlign w:val="bottom"/>
            <w:gridSpan w:val="8"/>
          </w:tcPr>
          <w:p>
            <w:pPr>
              <w:ind w:left="34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148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4460" w:type="dxa"/>
            <w:vAlign w:val="bottom"/>
            <w:tcBorders>
              <w:bottom w:val="single" w:sz="8" w:color="0000EE"/>
            </w:tcBorders>
            <w:gridSpan w:val="3"/>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Report of Independent Registered Public Accounting Firm</w:t>
              </w:r>
            </w:hyperlink>
          </w:p>
        </w:tc>
        <w:tc>
          <w:tcPr>
            <w:tcW w:w="5300" w:type="dxa"/>
            <w:vAlign w:val="bottom"/>
            <w:gridSpan w:val="6"/>
          </w:tcPr>
          <w:p>
            <w:pPr>
              <w:spacing w:after="0"/>
              <w:rPr>
                <w:sz w:val="24"/>
                <w:szCs w:val="24"/>
                <w:color w:val="auto"/>
              </w:rPr>
            </w:pPr>
          </w:p>
        </w:tc>
        <w:tc>
          <w:tcPr>
            <w:tcW w:w="1480" w:type="dxa"/>
            <w:vAlign w:val="bottom"/>
          </w:tcPr>
          <w:p>
            <w:pPr>
              <w:jc w:val="center"/>
              <w:ind w:left="1113"/>
              <w:spacing w:after="0"/>
              <w:rPr>
                <w:rFonts w:ascii="Arial" w:cs="Arial" w:eastAsia="Arial" w:hAnsi="Arial"/>
                <w:sz w:val="17"/>
                <w:szCs w:val="17"/>
                <w:color w:val="auto"/>
              </w:rPr>
            </w:pPr>
            <w:hyperlink w:anchor="page67">
              <w:r>
                <w:rPr>
                  <w:rFonts w:ascii="Arial" w:cs="Arial" w:eastAsia="Arial" w:hAnsi="Arial"/>
                  <w:sz w:val="17"/>
                  <w:szCs w:val="17"/>
                  <w:color w:val="auto"/>
                </w:rPr>
                <w:t>65</w:t>
              </w:r>
            </w:hyperlink>
          </w:p>
        </w:tc>
      </w:tr>
      <w:tr>
        <w:trPr>
          <w:trHeight w:val="237"/>
        </w:trPr>
        <w:tc>
          <w:tcPr>
            <w:tcW w:w="20" w:type="dxa"/>
            <w:vAlign w:val="bottom"/>
          </w:tcPr>
          <w:p>
            <w:pPr>
              <w:spacing w:after="0"/>
              <w:rPr>
                <w:sz w:val="20"/>
                <w:szCs w:val="20"/>
                <w:color w:val="auto"/>
              </w:rPr>
            </w:pPr>
          </w:p>
        </w:tc>
        <w:tc>
          <w:tcPr>
            <w:tcW w:w="9760" w:type="dxa"/>
            <w:vAlign w:val="bottom"/>
            <w:gridSpan w:val="9"/>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Consolidated Statements of Earnings for the Years Ended December 31, 2019, 2018 and 2017</w:t>
              </w:r>
            </w:hyperlink>
          </w:p>
        </w:tc>
        <w:tc>
          <w:tcPr>
            <w:tcW w:w="1480" w:type="dxa"/>
            <w:vAlign w:val="bottom"/>
          </w:tcPr>
          <w:p>
            <w:pPr>
              <w:jc w:val="center"/>
              <w:ind w:left="1113"/>
              <w:spacing w:after="0"/>
              <w:rPr>
                <w:rFonts w:ascii="Arial" w:cs="Arial" w:eastAsia="Arial" w:hAnsi="Arial"/>
                <w:sz w:val="17"/>
                <w:szCs w:val="17"/>
                <w:color w:val="auto"/>
              </w:rPr>
            </w:pPr>
            <w:hyperlink w:anchor="page70">
              <w:r>
                <w:rPr>
                  <w:rFonts w:ascii="Arial" w:cs="Arial" w:eastAsia="Arial" w:hAnsi="Arial"/>
                  <w:sz w:val="17"/>
                  <w:szCs w:val="17"/>
                  <w:color w:val="auto"/>
                </w:rPr>
                <w:t>68</w:t>
              </w:r>
            </w:hyperlink>
          </w:p>
        </w:tc>
      </w:tr>
      <w:tr>
        <w:trPr>
          <w:trHeight w:val="20"/>
        </w:trPr>
        <w:tc>
          <w:tcPr>
            <w:tcW w:w="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0000EE"/>
            </w:tcBorders>
            <w:gridSpan w:val="8"/>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Consolidated Statements of Comprehensive Earnings for the Years Ended December 31, 2019, 2018 and 2017</w:t>
              </w:r>
            </w:hyperlink>
          </w:p>
        </w:tc>
        <w:tc>
          <w:tcPr>
            <w:tcW w:w="1180" w:type="dxa"/>
            <w:vAlign w:val="bottom"/>
          </w:tcPr>
          <w:p>
            <w:pPr>
              <w:spacing w:after="0"/>
              <w:rPr>
                <w:sz w:val="20"/>
                <w:szCs w:val="20"/>
                <w:color w:val="auto"/>
              </w:rPr>
            </w:pPr>
          </w:p>
        </w:tc>
        <w:tc>
          <w:tcPr>
            <w:tcW w:w="1480" w:type="dxa"/>
            <w:vAlign w:val="bottom"/>
          </w:tcPr>
          <w:p>
            <w:pPr>
              <w:jc w:val="center"/>
              <w:ind w:left="1113"/>
              <w:spacing w:after="0"/>
              <w:rPr>
                <w:rFonts w:ascii="Arial" w:cs="Arial" w:eastAsia="Arial" w:hAnsi="Arial"/>
                <w:sz w:val="17"/>
                <w:szCs w:val="17"/>
                <w:color w:val="auto"/>
              </w:rPr>
            </w:pPr>
            <w:hyperlink w:anchor="page71">
              <w:r>
                <w:rPr>
                  <w:rFonts w:ascii="Arial" w:cs="Arial" w:eastAsia="Arial" w:hAnsi="Arial"/>
                  <w:sz w:val="17"/>
                  <w:szCs w:val="17"/>
                  <w:color w:val="auto"/>
                </w:rPr>
                <w:t>69</w:t>
              </w:r>
            </w:hyperlink>
          </w:p>
        </w:tc>
      </w:tr>
      <w:tr>
        <w:trPr>
          <w:trHeight w:val="237"/>
        </w:trPr>
        <w:tc>
          <w:tcPr>
            <w:tcW w:w="20" w:type="dxa"/>
            <w:vAlign w:val="bottom"/>
          </w:tcPr>
          <w:p>
            <w:pPr>
              <w:spacing w:after="0"/>
              <w:rPr>
                <w:sz w:val="20"/>
                <w:szCs w:val="20"/>
                <w:color w:val="auto"/>
              </w:rPr>
            </w:pPr>
          </w:p>
        </w:tc>
        <w:tc>
          <w:tcPr>
            <w:tcW w:w="9760" w:type="dxa"/>
            <w:vAlign w:val="bottom"/>
            <w:gridSpan w:val="9"/>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Consolidated Balance Sheets as of December 31, 2019 and 2018</w:t>
              </w:r>
            </w:hyperlink>
          </w:p>
        </w:tc>
        <w:tc>
          <w:tcPr>
            <w:tcW w:w="1480" w:type="dxa"/>
            <w:vAlign w:val="bottom"/>
          </w:tcPr>
          <w:p>
            <w:pPr>
              <w:jc w:val="center"/>
              <w:ind w:left="1113"/>
              <w:spacing w:after="0"/>
              <w:rPr>
                <w:rFonts w:ascii="Arial" w:cs="Arial" w:eastAsia="Arial" w:hAnsi="Arial"/>
                <w:sz w:val="17"/>
                <w:szCs w:val="17"/>
                <w:color w:val="auto"/>
              </w:rPr>
            </w:pPr>
            <w:hyperlink w:anchor="page72">
              <w:r>
                <w:rPr>
                  <w:rFonts w:ascii="Arial" w:cs="Arial" w:eastAsia="Arial" w:hAnsi="Arial"/>
                  <w:sz w:val="17"/>
                  <w:szCs w:val="17"/>
                  <w:color w:val="auto"/>
                </w:rPr>
                <w:t>70</w:t>
              </w:r>
            </w:hyperlink>
          </w:p>
        </w:tc>
      </w:tr>
      <w:tr>
        <w:trPr>
          <w:trHeight w:val="20"/>
        </w:trPr>
        <w:tc>
          <w:tcPr>
            <w:tcW w:w="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tcBorders>
              <w:bottom w:val="single" w:sz="8" w:color="0000EE"/>
            </w:tcBorders>
            <w:gridSpan w:val="5"/>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Consolidated Statements of Equity for the Years Ended December 31, 2019, 2018 and 2017</w:t>
              </w:r>
            </w:hyperlink>
          </w:p>
        </w:tc>
        <w:tc>
          <w:tcPr>
            <w:tcW w:w="2660" w:type="dxa"/>
            <w:vAlign w:val="bottom"/>
            <w:gridSpan w:val="4"/>
          </w:tcPr>
          <w:p>
            <w:pPr>
              <w:spacing w:after="0"/>
              <w:rPr>
                <w:sz w:val="20"/>
                <w:szCs w:val="20"/>
                <w:color w:val="auto"/>
              </w:rPr>
            </w:pPr>
          </w:p>
        </w:tc>
        <w:tc>
          <w:tcPr>
            <w:tcW w:w="1480" w:type="dxa"/>
            <w:vAlign w:val="bottom"/>
          </w:tcPr>
          <w:p>
            <w:pPr>
              <w:jc w:val="center"/>
              <w:ind w:left="1113"/>
              <w:spacing w:after="0"/>
              <w:rPr>
                <w:rFonts w:ascii="Arial" w:cs="Arial" w:eastAsia="Arial" w:hAnsi="Arial"/>
                <w:sz w:val="17"/>
                <w:szCs w:val="17"/>
                <w:color w:val="auto"/>
              </w:rPr>
            </w:pPr>
            <w:hyperlink w:anchor="page73">
              <w:r>
                <w:rPr>
                  <w:rFonts w:ascii="Arial" w:cs="Arial" w:eastAsia="Arial" w:hAnsi="Arial"/>
                  <w:sz w:val="17"/>
                  <w:szCs w:val="17"/>
                  <w:color w:val="auto"/>
                </w:rPr>
                <w:t>71</w:t>
              </w:r>
            </w:hyperlink>
          </w:p>
        </w:tc>
      </w:tr>
      <w:tr>
        <w:trPr>
          <w:trHeight w:val="237"/>
        </w:trPr>
        <w:tc>
          <w:tcPr>
            <w:tcW w:w="20" w:type="dxa"/>
            <w:vAlign w:val="bottom"/>
          </w:tcPr>
          <w:p>
            <w:pPr>
              <w:spacing w:after="0"/>
              <w:rPr>
                <w:sz w:val="20"/>
                <w:szCs w:val="20"/>
                <w:color w:val="auto"/>
              </w:rPr>
            </w:pPr>
          </w:p>
        </w:tc>
        <w:tc>
          <w:tcPr>
            <w:tcW w:w="9760" w:type="dxa"/>
            <w:vAlign w:val="bottom"/>
            <w:gridSpan w:val="9"/>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Consolidated Statements of Cash Flows for the Years Ended December 31, 2019, 2018 and 2017</w:t>
              </w:r>
            </w:hyperlink>
          </w:p>
        </w:tc>
        <w:tc>
          <w:tcPr>
            <w:tcW w:w="1480" w:type="dxa"/>
            <w:vAlign w:val="bottom"/>
          </w:tcPr>
          <w:p>
            <w:pPr>
              <w:jc w:val="center"/>
              <w:ind w:left="1113"/>
              <w:spacing w:after="0"/>
              <w:rPr>
                <w:rFonts w:ascii="Arial" w:cs="Arial" w:eastAsia="Arial" w:hAnsi="Arial"/>
                <w:sz w:val="17"/>
                <w:szCs w:val="17"/>
                <w:color w:val="auto"/>
              </w:rPr>
            </w:pPr>
            <w:hyperlink w:anchor="page74">
              <w:r>
                <w:rPr>
                  <w:rFonts w:ascii="Arial" w:cs="Arial" w:eastAsia="Arial" w:hAnsi="Arial"/>
                  <w:sz w:val="17"/>
                  <w:szCs w:val="17"/>
                  <w:color w:val="auto"/>
                </w:rPr>
                <w:t>72</w:t>
              </w:r>
            </w:hyperlink>
          </w:p>
        </w:tc>
      </w:tr>
      <w:tr>
        <w:trPr>
          <w:trHeight w:val="237"/>
        </w:trPr>
        <w:tc>
          <w:tcPr>
            <w:tcW w:w="20" w:type="dxa"/>
            <w:vAlign w:val="bottom"/>
          </w:tcPr>
          <w:p>
            <w:pPr>
              <w:spacing w:after="0"/>
              <w:rPr>
                <w:sz w:val="20"/>
                <w:szCs w:val="20"/>
                <w:color w:val="auto"/>
              </w:rPr>
            </w:pPr>
          </w:p>
        </w:tc>
        <w:tc>
          <w:tcPr>
            <w:tcW w:w="3400" w:type="dxa"/>
            <w:vAlign w:val="bottom"/>
            <w:tcBorders>
              <w:top w:val="single" w:sz="8" w:color="0000EE"/>
              <w:bottom w:val="single" w:sz="8" w:color="0000EE"/>
            </w:tcBorders>
            <w:gridSpan w:val="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Notes to Consolidated Financial Statements</w:t>
              </w:r>
            </w:hyperlink>
          </w:p>
        </w:tc>
        <w:tc>
          <w:tcPr>
            <w:tcW w:w="4120" w:type="dxa"/>
            <w:vAlign w:val="bottom"/>
            <w:tcBorders>
              <w:top w:val="single" w:sz="8" w:color="0000EE"/>
            </w:tcBorders>
            <w:gridSpan w:val="5"/>
          </w:tcPr>
          <w:p>
            <w:pPr>
              <w:spacing w:after="0"/>
              <w:rPr>
                <w:sz w:val="20"/>
                <w:szCs w:val="20"/>
                <w:color w:val="auto"/>
              </w:rPr>
            </w:pPr>
          </w:p>
        </w:tc>
        <w:tc>
          <w:tcPr>
            <w:tcW w:w="2240" w:type="dxa"/>
            <w:vAlign w:val="bottom"/>
            <w:gridSpan w:val="2"/>
          </w:tcPr>
          <w:p>
            <w:pPr>
              <w:spacing w:after="0"/>
              <w:rPr>
                <w:sz w:val="20"/>
                <w:szCs w:val="20"/>
                <w:color w:val="auto"/>
              </w:rPr>
            </w:pPr>
          </w:p>
        </w:tc>
        <w:tc>
          <w:tcPr>
            <w:tcW w:w="1480" w:type="dxa"/>
            <w:vAlign w:val="bottom"/>
          </w:tcPr>
          <w:p>
            <w:pPr>
              <w:jc w:val="center"/>
              <w:ind w:left="1113"/>
              <w:spacing w:after="0"/>
              <w:rPr>
                <w:rFonts w:ascii="Arial" w:cs="Arial" w:eastAsia="Arial" w:hAnsi="Arial"/>
                <w:sz w:val="17"/>
                <w:szCs w:val="17"/>
                <w:color w:val="auto"/>
              </w:rPr>
            </w:pPr>
            <w:hyperlink w:anchor="page75">
              <w:r>
                <w:rPr>
                  <w:rFonts w:ascii="Arial" w:cs="Arial" w:eastAsia="Arial" w:hAnsi="Arial"/>
                  <w:sz w:val="17"/>
                  <w:szCs w:val="17"/>
                  <w:color w:val="auto"/>
                </w:rPr>
                <w:t>73</w:t>
              </w:r>
            </w:hyperlink>
          </w:p>
        </w:tc>
      </w:tr>
      <w:tr>
        <w:trPr>
          <w:trHeight w:val="237"/>
        </w:trPr>
        <w:tc>
          <w:tcPr>
            <w:tcW w:w="20" w:type="dxa"/>
            <w:vAlign w:val="bottom"/>
          </w:tcPr>
          <w:p>
            <w:pPr>
              <w:spacing w:after="0"/>
              <w:rPr>
                <w:sz w:val="20"/>
                <w:szCs w:val="20"/>
                <w:color w:val="auto"/>
              </w:rPr>
            </w:pPr>
          </w:p>
        </w:tc>
        <w:tc>
          <w:tcPr>
            <w:tcW w:w="5060" w:type="dxa"/>
            <w:vAlign w:val="bottom"/>
            <w:tcBorders>
              <w:bottom w:val="single" w:sz="8" w:color="0000EE"/>
            </w:tcBorders>
            <w:gridSpan w:val="4"/>
          </w:tcPr>
          <w:p>
            <w:pPr>
              <w:spacing w:after="0"/>
              <w:rPr>
                <w:rFonts w:ascii="Arial" w:cs="Arial" w:eastAsia="Arial" w:hAnsi="Arial"/>
                <w:sz w:val="17"/>
                <w:szCs w:val="17"/>
                <w:color w:val="0000EE"/>
              </w:rPr>
            </w:pPr>
            <w:hyperlink w:anchor="page136">
              <w:r>
                <w:rPr>
                  <w:rFonts w:ascii="Arial" w:cs="Arial" w:eastAsia="Arial" w:hAnsi="Arial"/>
                  <w:sz w:val="17"/>
                  <w:szCs w:val="17"/>
                  <w:color w:val="0000EE"/>
                </w:rPr>
                <w:t>Financial Statement Schedule-Valuation and Qualifying Accounts</w:t>
              </w:r>
            </w:hyperlink>
          </w:p>
        </w:tc>
        <w:tc>
          <w:tcPr>
            <w:tcW w:w="4700" w:type="dxa"/>
            <w:vAlign w:val="bottom"/>
            <w:gridSpan w:val="5"/>
          </w:tcPr>
          <w:p>
            <w:pPr>
              <w:spacing w:after="0"/>
              <w:rPr>
                <w:sz w:val="20"/>
                <w:szCs w:val="20"/>
                <w:color w:val="auto"/>
              </w:rPr>
            </w:pPr>
          </w:p>
        </w:tc>
        <w:tc>
          <w:tcPr>
            <w:tcW w:w="1480" w:type="dxa"/>
            <w:vAlign w:val="bottom"/>
          </w:tcPr>
          <w:p>
            <w:pPr>
              <w:jc w:val="center"/>
              <w:ind w:left="1113"/>
              <w:spacing w:after="0"/>
              <w:rPr>
                <w:rFonts w:ascii="Arial" w:cs="Arial" w:eastAsia="Arial" w:hAnsi="Arial"/>
                <w:sz w:val="17"/>
                <w:szCs w:val="17"/>
                <w:color w:val="auto"/>
              </w:rPr>
            </w:pPr>
            <w:hyperlink w:anchor="page136">
              <w:r>
                <w:rPr>
                  <w:rFonts w:ascii="Arial" w:cs="Arial" w:eastAsia="Arial" w:hAnsi="Arial"/>
                  <w:sz w:val="17"/>
                  <w:szCs w:val="17"/>
                  <w:color w:val="auto"/>
                </w:rPr>
                <w:t>S-1</w:t>
              </w:r>
            </w:hyperlink>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07" w:lineRule="exact"/>
        <w:rPr>
          <w:sz w:val="20"/>
          <w:szCs w:val="20"/>
          <w:color w:val="auto"/>
        </w:rPr>
      </w:pPr>
    </w:p>
    <w:p>
      <w:pPr>
        <w:ind w:left="840" w:hanging="818"/>
        <w:spacing w:after="0"/>
        <w:tabs>
          <w:tab w:leader="none" w:pos="84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5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2.1</w:t>
            </w:r>
          </w:p>
        </w:tc>
        <w:tc>
          <w:tcPr>
            <w:tcW w:w="9940" w:type="dxa"/>
            <w:vAlign w:val="bottom"/>
            <w:tcBorders>
              <w:bottom w:val="single" w:sz="8" w:color="0000FF"/>
            </w:tcBorders>
            <w:gridSpan w:val="27"/>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Separation and Distribution Agreement between the Registrant and Kraft Foods Group, Inc., dated as of September 27, 2012</w:t>
              </w:r>
            </w:hyperlink>
          </w:p>
        </w:tc>
      </w:tr>
      <w:tr>
        <w:trPr>
          <w:trHeight w:val="183"/>
        </w:trPr>
        <w:tc>
          <w:tcPr>
            <w:tcW w:w="980" w:type="dxa"/>
            <w:vAlign w:val="bottom"/>
          </w:tcPr>
          <w:p>
            <w:pPr>
              <w:spacing w:after="0"/>
              <w:rPr>
                <w:sz w:val="15"/>
                <w:szCs w:val="15"/>
                <w:color w:val="auto"/>
              </w:rPr>
            </w:pPr>
          </w:p>
        </w:tc>
        <w:tc>
          <w:tcPr>
            <w:tcW w:w="9940" w:type="dxa"/>
            <w:vAlign w:val="bottom"/>
            <w:gridSpan w:val="27"/>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(incorporated by reference to Exhibit 2.1 to the Registrant’s Current Report on Form 8-K filed with the SEC on October 1,</w:t>
              </w:r>
            </w:hyperlink>
          </w:p>
        </w:tc>
      </w:tr>
      <w:tr>
        <w:trPr>
          <w:trHeight w:val="183"/>
        </w:trPr>
        <w:tc>
          <w:tcPr>
            <w:tcW w:w="98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2012).</w:t>
              </w:r>
            </w:hyperlink>
          </w:p>
        </w:tc>
        <w:tc>
          <w:tcPr>
            <w:tcW w:w="10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2.2</w:t>
            </w:r>
          </w:p>
        </w:tc>
        <w:tc>
          <w:tcPr>
            <w:tcW w:w="9860" w:type="dxa"/>
            <w:vAlign w:val="bottom"/>
            <w:tcBorders>
              <w:bottom w:val="single" w:sz="8" w:color="0000FF"/>
            </w:tcBorders>
            <w:gridSpan w:val="25"/>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Canadian Asset Transfer Agreement, by and between Mondelez Canada Inc. and Kraft Canada Inc., dated as of September</w:t>
              </w:r>
            </w:hyperlink>
          </w:p>
        </w:tc>
        <w:tc>
          <w:tcPr>
            <w:tcW w:w="80" w:type="dxa"/>
            <w:vAlign w:val="bottom"/>
            <w:gridSpan w:val="2"/>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52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29, 2012 (incorporated by reference to Exhibit 2.3 to the Registrant’s Annual Report on Form 10-K filed with the SEC on</w:t>
              </w:r>
            </w:hyperlink>
          </w:p>
        </w:tc>
        <w:tc>
          <w:tcPr>
            <w:tcW w:w="420" w:type="dxa"/>
            <w:vAlign w:val="bottom"/>
            <w:gridSpan w:val="11"/>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58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February 25, 2013).</w:t>
              </w:r>
            </w:hyperlink>
          </w:p>
        </w:tc>
        <w:tc>
          <w:tcPr>
            <w:tcW w:w="8360" w:type="dxa"/>
            <w:vAlign w:val="bottom"/>
            <w:gridSpan w:val="25"/>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2.3</w:t>
            </w:r>
          </w:p>
        </w:tc>
        <w:tc>
          <w:tcPr>
            <w:tcW w:w="9900" w:type="dxa"/>
            <w:vAlign w:val="bottom"/>
            <w:tcBorders>
              <w:bottom w:val="single" w:sz="8" w:color="0000FF"/>
            </w:tcBorders>
            <w:gridSpan w:val="26"/>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Master Ownership and License Agreement Regarding Patents, Trade Secrets and Related Intellectual Property, among Kraft</w:t>
              </w:r>
            </w:hyperlink>
          </w:p>
        </w:tc>
        <w:tc>
          <w:tcPr>
            <w:tcW w:w="40" w:type="dxa"/>
            <w:vAlign w:val="bottom"/>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4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Foods Global Brands LLC, Kraft Foods Group Brands LLC, Kraft Foods UK Ltd. and Kraft Foods R&amp;D Inc., dated as of</w:t>
              </w:r>
            </w:hyperlink>
          </w:p>
        </w:tc>
        <w:tc>
          <w:tcPr>
            <w:tcW w:w="520" w:type="dxa"/>
            <w:vAlign w:val="bottom"/>
            <w:gridSpan w:val="14"/>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0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October 1, 2012 (incorporated by reference to Exhibit 10.3 to the Registrant’s Current Report on Form 8-K filed with the SEC</w:t>
              </w:r>
            </w:hyperlink>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40" w:type="dxa"/>
            <w:vAlign w:val="bottom"/>
            <w:gridSpan w:val="27"/>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on October 1, 2012).</w:t>
              </w:r>
            </w:hyperlink>
          </w:p>
        </w:tc>
      </w:tr>
      <w:tr>
        <w:trPr>
          <w:trHeight w:val="20"/>
        </w:trPr>
        <w:tc>
          <w:tcPr>
            <w:tcW w:w="98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2.4</w:t>
            </w:r>
          </w:p>
        </w:tc>
        <w:tc>
          <w:tcPr>
            <w:tcW w:w="9740" w:type="dxa"/>
            <w:vAlign w:val="bottom"/>
            <w:tcBorders>
              <w:bottom w:val="single" w:sz="8" w:color="0000FF"/>
            </w:tcBorders>
            <w:gridSpan w:val="21"/>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Master Ownership and License Agreement Regarding Trademarks and Related Intellectual Property, by and between Kraft</w:t>
              </w:r>
            </w:hyperlink>
          </w:p>
        </w:tc>
        <w:tc>
          <w:tcPr>
            <w:tcW w:w="200" w:type="dxa"/>
            <w:vAlign w:val="bottom"/>
            <w:gridSpan w:val="6"/>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940" w:type="dxa"/>
            <w:vAlign w:val="bottom"/>
            <w:gridSpan w:val="27"/>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Foods Global Brands LLC and Kraft Foods Group Brands LLC., dated as of September 27, 2012 (incorporated by reference</w:t>
              </w:r>
            </w:hyperlink>
          </w:p>
        </w:tc>
      </w:tr>
      <w:tr>
        <w:trPr>
          <w:trHeight w:val="183"/>
        </w:trPr>
        <w:tc>
          <w:tcPr>
            <w:tcW w:w="980" w:type="dxa"/>
            <w:vAlign w:val="bottom"/>
          </w:tcPr>
          <w:p>
            <w:pPr>
              <w:spacing w:after="0"/>
              <w:rPr>
                <w:sz w:val="15"/>
                <w:szCs w:val="15"/>
                <w:color w:val="auto"/>
              </w:rPr>
            </w:pPr>
          </w:p>
        </w:tc>
        <w:tc>
          <w:tcPr>
            <w:tcW w:w="81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to Exhibit 10.4 to the Registrant’s Current Report on Form 8-K filed with the SEC on October 1, 2012).</w:t>
              </w:r>
            </w:hyperlink>
          </w:p>
        </w:tc>
        <w:tc>
          <w:tcPr>
            <w:tcW w:w="1720" w:type="dxa"/>
            <w:vAlign w:val="bottom"/>
            <w:tcBorders>
              <w:top w:val="single" w:sz="8" w:color="0000FF"/>
            </w:tcBorders>
            <w:gridSpan w:val="18"/>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2.5</w:t>
            </w:r>
          </w:p>
        </w:tc>
        <w:tc>
          <w:tcPr>
            <w:tcW w:w="9940" w:type="dxa"/>
            <w:vAlign w:val="bottom"/>
            <w:gridSpan w:val="27"/>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First Amendment to the Master Ownership and License Agreement Regarding Trademarks and Related Intellectual Property,</w:t>
              </w:r>
            </w:hyperlink>
          </w:p>
        </w:tc>
      </w:tr>
      <w:tr>
        <w:trPr>
          <w:trHeight w:val="183"/>
        </w:trPr>
        <w:tc>
          <w:tcPr>
            <w:tcW w:w="980" w:type="dxa"/>
            <w:vAlign w:val="bottom"/>
          </w:tcPr>
          <w:p>
            <w:pPr>
              <w:spacing w:after="0"/>
              <w:rPr>
                <w:sz w:val="15"/>
                <w:szCs w:val="15"/>
                <w:color w:val="auto"/>
              </w:rPr>
            </w:pPr>
          </w:p>
        </w:tc>
        <w:tc>
          <w:tcPr>
            <w:tcW w:w="99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among Intercontinental Great Brands LLC and Kraft Foods Group Brands LLC, dated as of July 15, 2013 (incorporated by</w:t>
              </w:r>
            </w:hyperlink>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6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reference to Exhibit 2.1 to the Registrant’s Quarterly Report on Form 10-Q filed with the SEC on April 30, 2015).</w:t>
              </w:r>
            </w:hyperlink>
          </w:p>
        </w:tc>
        <w:tc>
          <w:tcPr>
            <w:tcW w:w="280" w:type="dxa"/>
            <w:vAlign w:val="bottom"/>
            <w:gridSpan w:val="8"/>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2.6</w:t>
            </w:r>
          </w:p>
        </w:tc>
        <w:tc>
          <w:tcPr>
            <w:tcW w:w="9940" w:type="dxa"/>
            <w:vAlign w:val="bottom"/>
            <w:gridSpan w:val="27"/>
          </w:tcPr>
          <w:p>
            <w:pPr>
              <w:spacing w:after="0"/>
              <w:rPr>
                <w:rFonts w:ascii="Arial" w:cs="Arial" w:eastAsia="Arial" w:hAnsi="Arial"/>
                <w:sz w:val="18"/>
                <w:szCs w:val="18"/>
                <w:color w:val="0000FF"/>
              </w:rPr>
            </w:pPr>
            <w:hyperlink r:id="rId99">
              <w:r>
                <w:rPr>
                  <w:rFonts w:ascii="Arial" w:cs="Arial" w:eastAsia="Arial" w:hAnsi="Arial"/>
                  <w:sz w:val="18"/>
                  <w:szCs w:val="18"/>
                  <w:color w:val="0000FF"/>
                </w:rPr>
                <w:t>Second Amendment to the Master Ownership and License Agreement Regarding Trademarks and Related Intellectual</w:t>
              </w:r>
            </w:hyperlink>
          </w:p>
        </w:tc>
      </w:tr>
      <w:tr>
        <w:trPr>
          <w:trHeight w:val="183"/>
        </w:trPr>
        <w:tc>
          <w:tcPr>
            <w:tcW w:w="980" w:type="dxa"/>
            <w:vAlign w:val="bottom"/>
          </w:tcPr>
          <w:p>
            <w:pPr>
              <w:spacing w:after="0"/>
              <w:rPr>
                <w:sz w:val="15"/>
                <w:szCs w:val="15"/>
                <w:color w:val="auto"/>
              </w:rPr>
            </w:pPr>
          </w:p>
        </w:tc>
        <w:tc>
          <w:tcPr>
            <w:tcW w:w="94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Property, among Intercontinental Great Brands LLC and Kraft Foods Group Brands LLC, dated as of October 1, 2014</w:t>
              </w:r>
            </w:hyperlink>
          </w:p>
        </w:tc>
        <w:tc>
          <w:tcPr>
            <w:tcW w:w="540" w:type="dxa"/>
            <w:vAlign w:val="bottom"/>
            <w:gridSpan w:val="15"/>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9940" w:type="dxa"/>
            <w:vAlign w:val="bottom"/>
            <w:gridSpan w:val="27"/>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(incorporated by reference to Exhibit 2.2 to the Registrant’s Quarterly Report on Form 10-Q filed with the SEC on April 30,</w:t>
              </w:r>
            </w:hyperlink>
          </w:p>
        </w:tc>
      </w:tr>
      <w:tr>
        <w:trPr>
          <w:trHeight w:val="183"/>
        </w:trPr>
        <w:tc>
          <w:tcPr>
            <w:tcW w:w="98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2015).</w:t>
              </w:r>
            </w:hyperlink>
          </w:p>
        </w:tc>
        <w:tc>
          <w:tcPr>
            <w:tcW w:w="10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2.7</w:t>
            </w:r>
          </w:p>
        </w:tc>
        <w:tc>
          <w:tcPr>
            <w:tcW w:w="9940" w:type="dxa"/>
            <w:vAlign w:val="bottom"/>
            <w:gridSpan w:val="27"/>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Amendment to the Master Ownership and License Agreement Regarding Trademarks and Related Intellectual Property,</w:t>
              </w:r>
            </w:hyperlink>
          </w:p>
        </w:tc>
      </w:tr>
      <w:tr>
        <w:trPr>
          <w:trHeight w:val="183"/>
        </w:trPr>
        <w:tc>
          <w:tcPr>
            <w:tcW w:w="980" w:type="dxa"/>
            <w:vAlign w:val="bottom"/>
          </w:tcPr>
          <w:p>
            <w:pPr>
              <w:spacing w:after="0"/>
              <w:rPr>
                <w:sz w:val="15"/>
                <w:szCs w:val="15"/>
                <w:color w:val="auto"/>
              </w:rPr>
            </w:pPr>
          </w:p>
        </w:tc>
        <w:tc>
          <w:tcPr>
            <w:tcW w:w="91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among Intercontinental Great Brands LLC and Kraft Foods Group Brands LLC, effective as of September 28, 2016</w:t>
              </w:r>
            </w:hyperlink>
          </w:p>
        </w:tc>
        <w:tc>
          <w:tcPr>
            <w:tcW w:w="400" w:type="dxa"/>
            <w:vAlign w:val="bottom"/>
            <w:tcBorders>
              <w:top w:val="single" w:sz="8" w:color="0000FF"/>
            </w:tcBorders>
            <w:gridSpan w:val="6"/>
          </w:tcPr>
          <w:p>
            <w:pPr>
              <w:spacing w:after="0"/>
              <w:rPr>
                <w:sz w:val="15"/>
                <w:szCs w:val="15"/>
                <w:color w:val="auto"/>
              </w:rPr>
            </w:pPr>
          </w:p>
        </w:tc>
        <w:tc>
          <w:tcPr>
            <w:tcW w:w="440" w:type="dxa"/>
            <w:vAlign w:val="bottom"/>
            <w:gridSpan w:val="12"/>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40" w:type="dxa"/>
            <w:vAlign w:val="bottom"/>
            <w:gridSpan w:val="27"/>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(incorporated by reference to Exhibit 2.1 to the Registrant’s Quarterly Report on Form 10-Q filed with the SEC on August 2,</w:t>
              </w:r>
            </w:hyperlink>
          </w:p>
        </w:tc>
      </w:tr>
      <w:tr>
        <w:trPr>
          <w:trHeight w:val="183"/>
        </w:trPr>
        <w:tc>
          <w:tcPr>
            <w:tcW w:w="98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2017).</w:t>
              </w:r>
            </w:hyperlink>
          </w:p>
        </w:tc>
        <w:tc>
          <w:tcPr>
            <w:tcW w:w="10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2.8</w:t>
            </w:r>
          </w:p>
        </w:tc>
        <w:tc>
          <w:tcPr>
            <w:tcW w:w="932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137">
              <w:r>
                <w:rPr>
                  <w:rFonts w:ascii="Arial" w:cs="Arial" w:eastAsia="Arial" w:hAnsi="Arial"/>
                  <w:sz w:val="18"/>
                  <w:szCs w:val="18"/>
                  <w:color w:val="0000FF"/>
                  <w:w w:val="99"/>
                </w:rPr>
                <w:t>Fourth Amendment to the Master Ownership and License Agreement Regarding Trademarks and Related Intellectual</w:t>
              </w:r>
            </w:hyperlink>
          </w:p>
        </w:tc>
        <w:tc>
          <w:tcPr>
            <w:tcW w:w="620" w:type="dxa"/>
            <w:vAlign w:val="bottom"/>
            <w:gridSpan w:val="16"/>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4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w:anchor="page137">
              <w:r>
                <w:rPr>
                  <w:rFonts w:ascii="Arial" w:cs="Arial" w:eastAsia="Arial" w:hAnsi="Arial"/>
                  <w:sz w:val="18"/>
                  <w:szCs w:val="18"/>
                  <w:color w:val="0000FF"/>
                  <w:w w:val="99"/>
                </w:rPr>
                <w:t>Property, among Intercontinental Great Brands LLC and Kraft Foods Group Brands LLC, dated as of October 28, 2019.</w:t>
              </w:r>
            </w:hyperlink>
          </w:p>
        </w:tc>
        <w:tc>
          <w:tcPr>
            <w:tcW w:w="480" w:type="dxa"/>
            <w:vAlign w:val="bottom"/>
            <w:gridSpan w:val="13"/>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3.1</w:t>
            </w:r>
          </w:p>
        </w:tc>
        <w:tc>
          <w:tcPr>
            <w:tcW w:w="9940" w:type="dxa"/>
            <w:vAlign w:val="bottom"/>
            <w:gridSpan w:val="27"/>
          </w:tcPr>
          <w:p>
            <w:pPr>
              <w:spacing w:after="0"/>
              <w:rPr>
                <w:rFonts w:ascii="Arial" w:cs="Arial" w:eastAsia="Arial" w:hAnsi="Arial"/>
                <w:sz w:val="18"/>
                <w:szCs w:val="18"/>
                <w:color w:val="0000FF"/>
              </w:rPr>
            </w:pPr>
            <w:hyperlink r:id="rId101">
              <w:r>
                <w:rPr>
                  <w:rFonts w:ascii="Arial" w:cs="Arial" w:eastAsia="Arial" w:hAnsi="Arial"/>
                  <w:sz w:val="18"/>
                  <w:szCs w:val="18"/>
                  <w:color w:val="0000FF"/>
                </w:rPr>
                <w:t>Amended and Restated Articles of Incorporation of the Registrant, effective March 14, 2013 (incorporated by reference to</w:t>
              </w:r>
            </w:hyperlink>
          </w:p>
        </w:tc>
      </w:tr>
      <w:tr>
        <w:trPr>
          <w:trHeight w:val="183"/>
        </w:trPr>
        <w:tc>
          <w:tcPr>
            <w:tcW w:w="98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Exhibit 3.1 to the Registrant’s Quarterly Report on Form 10-Q filed with the SEC on May 8, 2013).</w:t>
              </w:r>
            </w:hyperlink>
          </w:p>
        </w:tc>
        <w:tc>
          <w:tcPr>
            <w:tcW w:w="1860" w:type="dxa"/>
            <w:vAlign w:val="bottom"/>
            <w:tcBorders>
              <w:top w:val="single" w:sz="8" w:color="0000FF"/>
            </w:tcBorders>
            <w:gridSpan w:val="13"/>
          </w:tcPr>
          <w:p>
            <w:pPr>
              <w:spacing w:after="0"/>
              <w:rPr>
                <w:sz w:val="15"/>
                <w:szCs w:val="15"/>
                <w:color w:val="auto"/>
              </w:rPr>
            </w:pPr>
          </w:p>
        </w:tc>
        <w:tc>
          <w:tcPr>
            <w:tcW w:w="320" w:type="dxa"/>
            <w:vAlign w:val="bottom"/>
            <w:gridSpan w:val="9"/>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3.2</w:t>
            </w:r>
          </w:p>
        </w:tc>
        <w:tc>
          <w:tcPr>
            <w:tcW w:w="9800" w:type="dxa"/>
            <w:vAlign w:val="bottom"/>
            <w:tcBorders>
              <w:bottom w:val="single" w:sz="8" w:color="0000FF"/>
            </w:tcBorders>
            <w:gridSpan w:val="23"/>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Amended and Restated By-Laws of the Registrant, effective as of October 9, 2015 (incorporated by reference to Exhibit 3.1</w:t>
              </w:r>
            </w:hyperlink>
          </w:p>
        </w:tc>
        <w:tc>
          <w:tcPr>
            <w:tcW w:w="140" w:type="dxa"/>
            <w:vAlign w:val="bottom"/>
            <w:gridSpan w:val="4"/>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940" w:type="dxa"/>
            <w:vAlign w:val="bottom"/>
            <w:gridSpan w:val="27"/>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to the Registrant’s Current Report on Form 8-K filed with the SEC on October 7, 2015).</w:t>
              </w:r>
            </w:hyperlink>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80" w:type="dxa"/>
            <w:vAlign w:val="bottom"/>
            <w:gridSpan w:val="19"/>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4.1</w:t>
            </w:r>
          </w:p>
        </w:tc>
        <w:tc>
          <w:tcPr>
            <w:tcW w:w="9940" w:type="dxa"/>
            <w:vAlign w:val="bottom"/>
            <w:gridSpan w:val="27"/>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Description of the Registrant's capital stock and debt securities registered under Section 12 of the Exchange Act.</w:t>
              </w:r>
            </w:hyperlink>
          </w:p>
        </w:tc>
      </w:tr>
      <w:tr>
        <w:trPr>
          <w:trHeight w:val="480"/>
        </w:trPr>
        <w:tc>
          <w:tcPr>
            <w:tcW w:w="980" w:type="dxa"/>
            <w:vAlign w:val="bottom"/>
          </w:tcPr>
          <w:p>
            <w:pPr>
              <w:spacing w:after="0"/>
              <w:rPr>
                <w:sz w:val="24"/>
                <w:szCs w:val="24"/>
                <w:color w:val="auto"/>
              </w:rPr>
            </w:pPr>
          </w:p>
        </w:tc>
        <w:tc>
          <w:tcPr>
            <w:tcW w:w="6900" w:type="dxa"/>
            <w:vAlign w:val="bottom"/>
            <w:tcBorders>
              <w:top w:val="single" w:sz="8" w:color="0000FF"/>
            </w:tcBorders>
            <w:gridSpan w:val="4"/>
          </w:tcPr>
          <w:p>
            <w:pPr>
              <w:ind w:left="4140"/>
              <w:spacing w:after="0"/>
              <w:rPr>
                <w:sz w:val="20"/>
                <w:szCs w:val="20"/>
                <w:color w:val="auto"/>
              </w:rPr>
            </w:pPr>
            <w:r>
              <w:rPr>
                <w:rFonts w:ascii="Arial" w:cs="Arial" w:eastAsia="Arial" w:hAnsi="Arial"/>
                <w:sz w:val="18"/>
                <w:szCs w:val="18"/>
                <w:color w:val="auto"/>
              </w:rPr>
              <w:t>127</w:t>
            </w:r>
          </w:p>
        </w:tc>
        <w:tc>
          <w:tcPr>
            <w:tcW w:w="8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40" w:top="140" w:right="29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0"/>
        </w:trPr>
        <w:tc>
          <w:tcPr>
            <w:tcW w:w="1400" w:type="dxa"/>
            <w:vAlign w:val="bottom"/>
            <w:tcBorders>
              <w:top w:val="single" w:sz="8" w:color="0000EE"/>
            </w:tcBorders>
          </w:tcPr>
          <w:p>
            <w:pPr>
              <w:jc w:val="right"/>
              <w:ind w:right="6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r>
      <w:tr>
        <w:trPr>
          <w:trHeight w:val="203"/>
        </w:trPr>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7"/>
          </w:tcPr>
          <w:p>
            <w:pPr>
              <w:spacing w:after="0" w:line="202"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r>
      <w:tr>
        <w:trPr>
          <w:trHeight w:val="217"/>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auto"/>
              </w:rPr>
              <w:t>Registrant and its consolidated subsidiaries.</w:t>
            </w:r>
          </w:p>
        </w:tc>
      </w:tr>
      <w:tr>
        <w:trPr>
          <w:trHeight w:val="216"/>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9980" w:type="dxa"/>
            <w:vAlign w:val="bottom"/>
            <w:tcBorders>
              <w:bottom w:val="single" w:sz="8" w:color="0000FF"/>
            </w:tcBorders>
            <w:gridSpan w:val="37"/>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Indenture, by and between the Registrant and Deutsche Bank Trust Company Americas (as successor trustee to The Bank of</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New York and The Chase Manhattan Bank), dated as of October 17, 2001 (incorporated by reference to Exhibit 4.1 to the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Registrant’s Registration Statement on Form S-3 (Reg. No. 333-86478) filed with the SEC on April 18, 2002).</w:t>
              </w:r>
            </w:hyperlink>
          </w:p>
        </w:tc>
        <w:tc>
          <w:tcPr>
            <w:tcW w:w="980" w:type="dxa"/>
            <w:vAlign w:val="bottom"/>
            <w:tcBorders>
              <w:top w:val="single" w:sz="8" w:color="0000FF"/>
            </w:tcBorders>
            <w:gridSpan w:val="15"/>
          </w:tcPr>
          <w:p>
            <w:pPr>
              <w:spacing w:after="0"/>
              <w:rPr>
                <w:sz w:val="15"/>
                <w:szCs w:val="15"/>
                <w:color w:val="auto"/>
              </w:rPr>
            </w:pPr>
          </w:p>
        </w:tc>
        <w:tc>
          <w:tcPr>
            <w:tcW w:w="340" w:type="dxa"/>
            <w:vAlign w:val="bottom"/>
            <w:gridSpan w:val="12"/>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9840" w:type="dxa"/>
            <w:vAlign w:val="bottom"/>
            <w:tcBorders>
              <w:bottom w:val="single" w:sz="8" w:color="0000FF"/>
            </w:tcBorders>
            <w:gridSpan w:val="32"/>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Supplemental Indenture, by and between the Registrant and Deutsche Bank Trust Company Americas, Deutsche Bank AG,</w:t>
              </w:r>
            </w:hyperlink>
          </w:p>
        </w:tc>
        <w:tc>
          <w:tcPr>
            <w:tcW w:w="140" w:type="dxa"/>
            <w:vAlign w:val="bottom"/>
            <w:gridSpan w:val="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London Branch and Deutsche Bank Luxembourg S.A., dated as of December 11, 2013 (incorporated by reference to Exhibit</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4.</w:t>
              </w:r>
              <w:r>
                <w:rPr>
                  <w:rFonts w:ascii="Arial" w:cs="Arial" w:eastAsia="Arial" w:hAnsi="Arial"/>
                  <w:sz w:val="18"/>
                  <w:szCs w:val="18"/>
                  <w:u w:val="single" w:color="auto"/>
                  <w:color w:val="0000FF"/>
                  <w:w w:val="99"/>
                </w:rPr>
                <w:t>2</w:t>
              </w:r>
              <w:r>
                <w:rPr>
                  <w:rFonts w:ascii="Arial" w:cs="Arial" w:eastAsia="Arial" w:hAnsi="Arial"/>
                  <w:sz w:val="18"/>
                  <w:szCs w:val="18"/>
                  <w:color w:val="0000FF"/>
                  <w:w w:val="99"/>
                </w:rPr>
                <w:t xml:space="preserve"> to the Registrant’s Current Report on Form 8-K filed with the SEC on December 11, 2013).</w:t>
              </w:r>
            </w:hyperlink>
          </w:p>
        </w:tc>
        <w:tc>
          <w:tcPr>
            <w:tcW w:w="2340" w:type="dxa"/>
            <w:vAlign w:val="bottom"/>
            <w:tcBorders>
              <w:top w:val="single" w:sz="8" w:color="0000FF"/>
            </w:tcBorders>
            <w:gridSpan w:val="23"/>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9440" w:type="dxa"/>
            <w:vAlign w:val="bottom"/>
            <w:tcBorders>
              <w:bottom w:val="single" w:sz="8" w:color="0000FF"/>
            </w:tcBorders>
            <w:gridSpan w:val="18"/>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Indenture between the Registrant and Deutsche Bank Trust Company Americas, as trustee, dated as of March 6, 2015</w:t>
              </w:r>
            </w:hyperlink>
          </w:p>
        </w:tc>
        <w:tc>
          <w:tcPr>
            <w:tcW w:w="540" w:type="dxa"/>
            <w:vAlign w:val="bottom"/>
            <w:gridSpan w:val="1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(incorporated by reference to Exhibit 4.4 to the Registrant’s Annual Report on Form 10-K filed with the SEC on February 24,</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2017).</w:t>
              </w:r>
            </w:hyperlink>
          </w:p>
        </w:tc>
        <w:tc>
          <w:tcPr>
            <w:tcW w:w="10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6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9980" w:type="dxa"/>
            <w:vAlign w:val="bottom"/>
            <w:gridSpan w:val="37"/>
          </w:tcPr>
          <w:p>
            <w:pPr>
              <w:spacing w:after="0"/>
              <w:rPr>
                <w:rFonts w:ascii="Arial" w:cs="Arial" w:eastAsia="Arial" w:hAnsi="Arial"/>
                <w:sz w:val="18"/>
                <w:szCs w:val="18"/>
                <w:color w:val="0000FF"/>
              </w:rPr>
            </w:pPr>
            <w:hyperlink r:id="rId106">
              <w:r>
                <w:rPr>
                  <w:rFonts w:ascii="Arial" w:cs="Arial" w:eastAsia="Arial" w:hAnsi="Arial"/>
                  <w:sz w:val="18"/>
                  <w:szCs w:val="18"/>
                  <w:color w:val="0000FF"/>
                </w:rPr>
                <w:t>Supplemental Indenture No. 1, dated February 13, 2019, between the Registrant and Deutsche Bank Trust Company</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Americas (incorporated by reference to Exhibit 4.2 to the Registrant's Current Report on Form 8-K filed with the SEC on</w:t>
              </w:r>
            </w:hyperlink>
          </w:p>
        </w:tc>
        <w:tc>
          <w:tcPr>
            <w:tcW w:w="460" w:type="dxa"/>
            <w:vAlign w:val="bottom"/>
            <w:gridSpan w:val="16"/>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06">
              <w:r>
                <w:rPr>
                  <w:rFonts w:ascii="Arial" w:cs="Arial" w:eastAsia="Arial" w:hAnsi="Arial"/>
                  <w:sz w:val="18"/>
                  <w:szCs w:val="18"/>
                  <w:color w:val="0000FF"/>
                  <w:w w:val="98"/>
                </w:rPr>
                <w:t>February 13, 2019).</w:t>
              </w:r>
            </w:hyperlink>
          </w:p>
        </w:tc>
        <w:tc>
          <w:tcPr>
            <w:tcW w:w="8400" w:type="dxa"/>
            <w:vAlign w:val="bottom"/>
            <w:gridSpan w:val="35"/>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9400" w:type="dxa"/>
            <w:vAlign w:val="bottom"/>
            <w:tcBorders>
              <w:bottom w:val="single" w:sz="8" w:color="0000FF"/>
            </w:tcBorders>
            <w:gridSpan w:val="17"/>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Indenture, by and between Mondelez International Holdings Netherlands B.V, the Registrant and Deutsche Bank Trust</w:t>
              </w:r>
            </w:hyperlink>
          </w:p>
        </w:tc>
        <w:tc>
          <w:tcPr>
            <w:tcW w:w="580" w:type="dxa"/>
            <w:vAlign w:val="bottom"/>
            <w:gridSpan w:val="20"/>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Company Americas, dated as of October 28, 2016 (incorporated by reference to Exhibit 4.1 to the Registrant’s Current</w:t>
              </w:r>
            </w:hyperlink>
          </w:p>
        </w:tc>
        <w:tc>
          <w:tcPr>
            <w:tcW w:w="580" w:type="dxa"/>
            <w:vAlign w:val="bottom"/>
            <w:gridSpan w:val="20"/>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Report on Form 8-K filed with the SEC on October 28, 2016).</w:t>
              </w:r>
            </w:hyperlink>
          </w:p>
        </w:tc>
        <w:tc>
          <w:tcPr>
            <w:tcW w:w="5120" w:type="dxa"/>
            <w:vAlign w:val="bottom"/>
            <w:gridSpan w:val="32"/>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9860" w:type="dxa"/>
            <w:vAlign w:val="bottom"/>
            <w:tcBorders>
              <w:bottom w:val="single" w:sz="8" w:color="0000FF"/>
            </w:tcBorders>
            <w:gridSpan w:val="33"/>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First Supplemental Indenture, dated as of September 19, 2019, by and among Mondelez International Holdings Netherlands</w:t>
              </w:r>
            </w:hyperlink>
          </w:p>
        </w:tc>
        <w:tc>
          <w:tcPr>
            <w:tcW w:w="120" w:type="dxa"/>
            <w:vAlign w:val="bottom"/>
            <w:gridSpan w:val="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B.V., as issuer, Mondelēz International, Inc., as guarantor, and Deutsche Bank Trust Company Americas, as trustee</w:t>
              </w:r>
            </w:hyperlink>
          </w:p>
        </w:tc>
        <w:tc>
          <w:tcPr>
            <w:tcW w:w="800" w:type="dxa"/>
            <w:vAlign w:val="bottom"/>
            <w:gridSpan w:val="2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(incorporated by reference to Exhibit 4.2 to the Registrant’s Current Report on Form 8-K filed with the SEC on September 20,</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2019).</w:t>
              </w:r>
            </w:hyperlink>
          </w:p>
        </w:tc>
        <w:tc>
          <w:tcPr>
            <w:tcW w:w="10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6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9800" w:type="dxa"/>
            <w:vAlign w:val="bottom"/>
            <w:tcBorders>
              <w:bottom w:val="single" w:sz="8" w:color="0000FF"/>
            </w:tcBorders>
            <w:gridSpan w:val="30"/>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Second Supplemental Indenture, dated as of October 2, 2019, by and among Mondelez International Holdings Netherlands</w:t>
              </w:r>
            </w:hyperlink>
          </w:p>
        </w:tc>
        <w:tc>
          <w:tcPr>
            <w:tcW w:w="18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B.V., as issuer, Mondelēz International, Inc., as guarantor, and Deutsche Bank Trust Company Americas, as trustee</w:t>
              </w:r>
            </w:hyperlink>
          </w:p>
        </w:tc>
        <w:tc>
          <w:tcPr>
            <w:tcW w:w="800" w:type="dxa"/>
            <w:vAlign w:val="bottom"/>
            <w:gridSpan w:val="2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(incorporated by reference to Exhibit 4.2 to the Registrant’s Current Report on Form 8-K filed with the SEC on October 2,</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2019).</w:t>
              </w:r>
            </w:hyperlink>
          </w:p>
        </w:tc>
        <w:tc>
          <w:tcPr>
            <w:tcW w:w="10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6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9740" w:type="dxa"/>
            <w:vAlign w:val="bottom"/>
            <w:tcBorders>
              <w:bottom w:val="single" w:sz="8" w:color="0000FF"/>
            </w:tcBorders>
            <w:gridSpan w:val="28"/>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Five-Year Revolving Credit Agreement, dated February 27, 2019, by and among the Registrant, the lenders named therein</w:t>
              </w:r>
            </w:hyperlink>
          </w:p>
        </w:tc>
        <w:tc>
          <w:tcPr>
            <w:tcW w:w="240" w:type="dxa"/>
            <w:vAlign w:val="bottom"/>
            <w:gridSpan w:val="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and JPMorgan Chase Bank, N.A., as Administrative Agent (incorporated by reference to Exhibit 10.2 to the Registrant’s</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Current Report on Form 8-K filed with the SEC on February 27, 2019).</w:t>
              </w:r>
            </w:hyperlink>
          </w:p>
        </w:tc>
        <w:tc>
          <w:tcPr>
            <w:tcW w:w="3840" w:type="dxa"/>
            <w:vAlign w:val="bottom"/>
            <w:tcBorders>
              <w:top w:val="single" w:sz="8" w:color="0000FF"/>
            </w:tcBorders>
            <w:gridSpan w:val="12"/>
          </w:tcPr>
          <w:p>
            <w:pPr>
              <w:spacing w:after="0"/>
              <w:rPr>
                <w:sz w:val="15"/>
                <w:szCs w:val="15"/>
                <w:color w:val="auto"/>
              </w:rPr>
            </w:pPr>
          </w:p>
        </w:tc>
        <w:tc>
          <w:tcPr>
            <w:tcW w:w="500" w:type="dxa"/>
            <w:vAlign w:val="bottom"/>
            <w:gridSpan w:val="18"/>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c>
          <w:tcPr>
            <w:tcW w:w="9540" w:type="dxa"/>
            <w:vAlign w:val="bottom"/>
            <w:tcBorders>
              <w:bottom w:val="single" w:sz="8" w:color="0000FF"/>
            </w:tcBorders>
            <w:gridSpan w:val="22"/>
          </w:tcPr>
          <w:p>
            <w:pPr>
              <w:spacing w:after="0"/>
              <w:rPr>
                <w:rFonts w:ascii="Arial" w:cs="Arial" w:eastAsia="Arial" w:hAnsi="Arial"/>
                <w:sz w:val="18"/>
                <w:szCs w:val="18"/>
                <w:color w:val="0000FF"/>
                <w:w w:val="99"/>
              </w:rPr>
            </w:pPr>
            <w:hyperlink r:id="rId111">
              <w:r>
                <w:rPr>
                  <w:rFonts w:ascii="Arial" w:cs="Arial" w:eastAsia="Arial" w:hAnsi="Arial"/>
                  <w:sz w:val="18"/>
                  <w:szCs w:val="18"/>
                  <w:u w:val="single" w:color="auto"/>
                  <w:color w:val="0000FF"/>
                  <w:w w:val="99"/>
                </w:rPr>
                <w:t>$</w:t>
              </w:r>
              <w:r>
                <w:rPr>
                  <w:rFonts w:ascii="Arial" w:cs="Arial" w:eastAsia="Arial" w:hAnsi="Arial"/>
                  <w:sz w:val="18"/>
                  <w:szCs w:val="18"/>
                  <w:color w:val="0000FF"/>
                  <w:w w:val="99"/>
                </w:rPr>
                <w:t>1.5 Billion Term Loan Agreement, by and among Mondelēz International Holdings Netherlands B.V., the Registrant, the</w:t>
              </w:r>
            </w:hyperlink>
          </w:p>
        </w:tc>
        <w:tc>
          <w:tcPr>
            <w:tcW w:w="440" w:type="dxa"/>
            <w:vAlign w:val="bottom"/>
            <w:gridSpan w:val="1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lenders named therein and JPMorgan Chase Bank, N.A., as administrative agent, dated October 14, 2016 (incorporated by</w:t>
              </w:r>
            </w:hyperlink>
          </w:p>
        </w:tc>
        <w:tc>
          <w:tcPr>
            <w:tcW w:w="200" w:type="dxa"/>
            <w:vAlign w:val="bottom"/>
            <w:gridSpan w:val="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reference to Exhibit 10.2 to the Registrant’s Annual Report on Form 10-K filed with the SEC on February 24, 2017).</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0"/>
                <w:szCs w:val="20"/>
                <w:color w:val="auto"/>
              </w:rPr>
            </w:pPr>
          </w:p>
        </w:tc>
        <w:tc>
          <w:tcPr>
            <w:tcW w:w="9540" w:type="dxa"/>
            <w:vAlign w:val="bottom"/>
            <w:tcBorders>
              <w:bottom w:val="single" w:sz="8" w:color="0000FF"/>
            </w:tcBorders>
            <w:gridSpan w:val="22"/>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364-Day Revolving Credit Agreement, dated February 27, 2019, by and among Mondelēz International, Inc., the lenders</w:t>
              </w:r>
            </w:hyperlink>
          </w:p>
        </w:tc>
        <w:tc>
          <w:tcPr>
            <w:tcW w:w="440" w:type="dxa"/>
            <w:vAlign w:val="bottom"/>
            <w:gridSpan w:val="1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named therein and JPMorgan Chase Bank, N.A., as Administrative Agent (incorporated by reference to Exhibit 10.1 to the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Registrant’s Current Report on Form 8-K filed with the SEC on February 27, 2019).</w:t>
              </w:r>
            </w:hyperlink>
          </w:p>
        </w:tc>
        <w:tc>
          <w:tcPr>
            <w:tcW w:w="300" w:type="dxa"/>
            <w:vAlign w:val="bottom"/>
            <w:gridSpan w:val="10"/>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9560" w:type="dxa"/>
            <w:vAlign w:val="bottom"/>
            <w:tcBorders>
              <w:bottom w:val="single" w:sz="8" w:color="0000FF"/>
            </w:tcBorders>
            <w:gridSpan w:val="23"/>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Term Loan Agreement, dated September 13, 2019, by and among Mondelez International Holdings Netherlands B.V., as</w:t>
              </w:r>
            </w:hyperlink>
          </w:p>
        </w:tc>
        <w:tc>
          <w:tcPr>
            <w:tcW w:w="420" w:type="dxa"/>
            <w:vAlign w:val="bottom"/>
            <w:gridSpan w:val="1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borrower, Mondelēz International, Inc., as guarantor, the lenders named therein, MUFG Bank, Ltd., BofA Securities, Inc.,</w:t>
              </w:r>
            </w:hyperlink>
          </w:p>
        </w:tc>
        <w:tc>
          <w:tcPr>
            <w:tcW w:w="420" w:type="dxa"/>
            <w:vAlign w:val="bottom"/>
            <w:gridSpan w:val="1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Barclays Bank PLC, Credit Suisse Loan Funding LLC, JPMorgan Chase Bank, N.A., Mizuho Bank, Ltd., TD Securities (USA)</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60" w:type="dxa"/>
            <w:vAlign w:val="bottom"/>
            <w:gridSpan w:val="6"/>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LLC and Wells Fargo Securities, LLC, as joint lead arrangers, and MUFG Bank, Ltd. as administrative agent (incorporated by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reference to Exhibit 10.1 to the Registrant's Current Report on Form 8-K filed with the SEC on September 13, 2019).</w:t>
              </w:r>
            </w:hyperlink>
          </w:p>
        </w:tc>
        <w:tc>
          <w:tcPr>
            <w:tcW w:w="60" w:type="dxa"/>
            <w:vAlign w:val="bottom"/>
            <w:gridSpan w:val="2"/>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88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9"/>
              </w:rPr>
            </w:pPr>
            <w:hyperlink r:id="rId114">
              <w:r>
                <w:rPr>
                  <w:rFonts w:ascii="Arial" w:cs="Arial" w:eastAsia="Arial" w:hAnsi="Arial"/>
                  <w:sz w:val="18"/>
                  <w:szCs w:val="18"/>
                  <w:color w:val="0000FF"/>
                  <w:w w:val="99"/>
                </w:rPr>
                <w:t>Tax Sharing and Indemnity Agreement, by and between the Registrant and Kraft Foods Group, Inc., dated as of</w:t>
              </w:r>
            </w:hyperlink>
          </w:p>
        </w:tc>
        <w:tc>
          <w:tcPr>
            <w:tcW w:w="440" w:type="dxa"/>
            <w:vAlign w:val="bottom"/>
            <w:tcBorders>
              <w:top w:val="single" w:sz="8" w:color="0000FF"/>
            </w:tcBorders>
            <w:gridSpan w:val="3"/>
          </w:tcPr>
          <w:p>
            <w:pPr>
              <w:spacing w:after="0"/>
              <w:rPr>
                <w:sz w:val="20"/>
                <w:szCs w:val="20"/>
                <w:color w:val="auto"/>
              </w:rPr>
            </w:pPr>
          </w:p>
        </w:tc>
        <w:tc>
          <w:tcPr>
            <w:tcW w:w="680" w:type="dxa"/>
            <w:vAlign w:val="bottom"/>
            <w:gridSpan w:val="2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September 27, 2012 (incorporated by reference to Exhibit 10.1 to the Registrant’s Current Report on Form 8-K filed with the</w:t>
              </w:r>
            </w:hyperlink>
          </w:p>
        </w:tc>
        <w:tc>
          <w:tcPr>
            <w:tcW w:w="160" w:type="dxa"/>
            <w:vAlign w:val="bottom"/>
            <w:gridSpan w:val="6"/>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SEC on October 1, 2012).</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9500" w:type="dxa"/>
            <w:vAlign w:val="bottom"/>
            <w:tcBorders>
              <w:bottom w:val="single" w:sz="8" w:color="0000FF"/>
            </w:tcBorders>
            <w:gridSpan w:val="20"/>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Global Contribution Agreement by and among Mondelēz International Holdings, LLC, Acorn Holdings B.V., Charger Top</w:t>
              </w:r>
            </w:hyperlink>
          </w:p>
        </w:tc>
        <w:tc>
          <w:tcPr>
            <w:tcW w:w="480" w:type="dxa"/>
            <w:vAlign w:val="bottom"/>
            <w:gridSpan w:val="1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HoldCo B.V. and Charger OpCo B.V., dated May 7, 2014 (incorporated by reference to Exhibit 10.1 to the Registrant’s</w:t>
              </w:r>
            </w:hyperlink>
          </w:p>
        </w:tc>
        <w:tc>
          <w:tcPr>
            <w:tcW w:w="620" w:type="dxa"/>
            <w:vAlign w:val="bottom"/>
            <w:gridSpan w:val="22"/>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Quarterly Report on Form 10-Q filed with the SEC on August 8, 2014).</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0" w:type="dxa"/>
            <w:vAlign w:val="bottom"/>
            <w:gridSpan w:val="10"/>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9380" w:type="dxa"/>
            <w:vAlign w:val="bottom"/>
            <w:tcBorders>
              <w:bottom w:val="single" w:sz="8" w:color="0000FF"/>
            </w:tcBorders>
            <w:gridSpan w:val="16"/>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Amendment Agreement to Global Contribution Agreement by and among Mondelēz International Holdings LLC, Acorn</w:t>
              </w:r>
            </w:hyperlink>
          </w:p>
        </w:tc>
        <w:tc>
          <w:tcPr>
            <w:tcW w:w="600" w:type="dxa"/>
            <w:vAlign w:val="bottom"/>
            <w:gridSpan w:val="21"/>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37"/>
          </w:tcPr>
          <w:p>
            <w:pPr>
              <w:spacing w:after="0" w:line="182"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Holdings B.V., Jacobs Douwe Egberts B.V. (formerly Charger Top HoldCo B.V.) and Jacobs Douwe Egberts International B.V.</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(formerly Charger OpCo B.V.), dated July 28, 2015 (incorporated by reference to Exhibit 10.3 to the Registrant’s Quarterly</w:t>
              </w:r>
            </w:hyperlink>
          </w:p>
        </w:tc>
        <w:tc>
          <w:tcPr>
            <w:tcW w:w="40" w:type="dxa"/>
            <w:vAlign w:val="bottom"/>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Report on Form 10-Q filed with the SEC on July 31, 2015).</w:t>
              </w:r>
              <w:r>
                <w:rPr>
                  <w:rFonts w:ascii="Arial" w:cs="Arial" w:eastAsia="Arial" w:hAnsi="Arial"/>
                  <w:sz w:val="18"/>
                  <w:szCs w:val="18"/>
                  <w:color w:val="000000"/>
                </w:rPr>
                <w:t>*</w:t>
              </w:r>
            </w:hyperlink>
          </w:p>
        </w:tc>
        <w:tc>
          <w:tcPr>
            <w:tcW w:w="320" w:type="dxa"/>
            <w:vAlign w:val="bottom"/>
            <w:gridSpan w:val="11"/>
          </w:tcPr>
          <w:p>
            <w:pPr>
              <w:spacing w:after="0"/>
              <w:rPr>
                <w:sz w:val="15"/>
                <w:szCs w:val="15"/>
                <w:color w:val="auto"/>
              </w:rPr>
            </w:pPr>
          </w:p>
        </w:tc>
      </w:tr>
      <w:tr>
        <w:trPr>
          <w:trHeight w:val="466"/>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top w:val="single" w:sz="8" w:color="0000FF"/>
            </w:tcBorders>
            <w:gridSpan w:val="4"/>
          </w:tcPr>
          <w:p>
            <w:pPr>
              <w:ind w:left="41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1480" w:right="40" w:hanging="1038"/>
        <w:spacing w:after="0" w:line="239" w:lineRule="auto"/>
        <w:tabs>
          <w:tab w:leader="none" w:pos="1460" w:val="left"/>
        </w:tabs>
        <w:rPr>
          <w:rFonts w:ascii="Arial" w:cs="Arial" w:eastAsia="Arial" w:hAnsi="Arial"/>
          <w:sz w:val="18"/>
          <w:szCs w:val="18"/>
          <w:color w:val="0000FF"/>
        </w:rPr>
      </w:pPr>
      <w:r>
        <w:rPr>
          <w:rFonts w:ascii="Arial" w:cs="Arial" w:eastAsia="Arial" w:hAnsi="Arial"/>
          <w:sz w:val="18"/>
          <w:szCs w:val="18"/>
          <w:color w:val="auto"/>
        </w:rPr>
        <w:t>10.8</w:t>
      </w:r>
      <w:r>
        <w:rPr>
          <w:sz w:val="20"/>
          <w:szCs w:val="20"/>
          <w:color w:val="auto"/>
        </w:rPr>
        <w:tab/>
      </w:r>
      <w:hyperlink r:id="rId117">
        <w:r>
          <w:rPr>
            <w:rFonts w:ascii="Arial" w:cs="Arial" w:eastAsia="Arial" w:hAnsi="Arial"/>
            <w:sz w:val="18"/>
            <w:szCs w:val="18"/>
            <w:u w:val="single" w:color="auto"/>
            <w:color w:val="0000FF"/>
          </w:rPr>
          <w:t>Amended and Restated Shareholders’ Agreement Relating to Charger Top Holdco B.V. by and among Delta Charger Holdco</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B.V., JDE Minority Holdings B.V., Mondelēz Coffee Holdco B.V. and Jacobs Douwe Egberts B.V., dated March 7, 2016</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(incorporated by reference to Exhibit 10.1 to the Registrant’s Quarterly Report on Form 10-Q filed with the SEC on April 28,</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2016).</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tbl>
      <w:tblPr>
        <w:tblLayout w:type="fixed"/>
        <w:tblInd w:w="340" w:type="dxa"/>
        <w:tblCellMar>
          <w:top w:w="0" w:type="dxa"/>
          <w:left w:w="0" w:type="dxa"/>
          <w:bottom w:w="0" w:type="dxa"/>
          <w:right w:w="0" w:type="dxa"/>
        </w:tblCellMar>
      </w:tblPr>
      <w:tr>
        <w:trPr>
          <w:trHeight w:val="207"/>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10.9</w:t>
            </w:r>
          </w:p>
        </w:tc>
        <w:tc>
          <w:tcPr>
            <w:tcW w:w="9200" w:type="dxa"/>
            <w:vAlign w:val="bottom"/>
            <w:tcBorders>
              <w:bottom w:val="single" w:sz="8" w:color="0000FF"/>
            </w:tcBorders>
            <w:gridSpan w:val="12"/>
          </w:tcPr>
          <w:p>
            <w:pPr>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Shareholders’ Agreement Relating to Maple Parent Holdings Corp. by and among Maple Holdings II B.V., Mondelēz</w:t>
              </w:r>
            </w:hyperlink>
          </w:p>
        </w:tc>
        <w:tc>
          <w:tcPr>
            <w:tcW w:w="720" w:type="dxa"/>
            <w:vAlign w:val="bottom"/>
            <w:gridSpan w:val="13"/>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95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International Holdings LLC and Maple Parent Holdings Corp., dated March 7, 2016 (incorporated by reference to Exhibit</w:t>
              </w:r>
            </w:hyperlink>
          </w:p>
        </w:tc>
        <w:tc>
          <w:tcPr>
            <w:tcW w:w="380" w:type="dxa"/>
            <w:vAlign w:val="bottom"/>
            <w:gridSpan w:val="10"/>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Quarterly Report on Form 10-Q filed with the SEC on April 28, 2016).</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10.10</w:t>
            </w:r>
          </w:p>
        </w:tc>
        <w:tc>
          <w:tcPr>
            <w:tcW w:w="9800" w:type="dxa"/>
            <w:vAlign w:val="bottom"/>
            <w:tcBorders>
              <w:bottom w:val="single" w:sz="8" w:color="0000FF"/>
            </w:tcBorders>
            <w:gridSpan w:val="21"/>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Investor Rights Agreement by and among Keurig Dr Pepper Inc., Maple Holdings B.V. and Mondelēz International Holdings</w:t>
              </w:r>
            </w:hyperlink>
          </w:p>
        </w:tc>
        <w:tc>
          <w:tcPr>
            <w:tcW w:w="120" w:type="dxa"/>
            <w:vAlign w:val="bottom"/>
            <w:gridSpan w:val="4"/>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80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LLC, dated July 9, 2018 (incorporated by reference to Exhibit 10.1 to the Registrant’s Current Report on Form 8-K filed with</w:t>
              </w:r>
            </w:hyperlink>
          </w:p>
        </w:tc>
        <w:tc>
          <w:tcPr>
            <w:tcW w:w="12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the SEC on July 10, 2018).</w:t>
              </w:r>
            </w:hyperlink>
          </w:p>
        </w:tc>
        <w:tc>
          <w:tcPr>
            <w:tcW w:w="7760" w:type="dxa"/>
            <w:vAlign w:val="bottom"/>
            <w:gridSpan w:val="18"/>
          </w:tcPr>
          <w:p>
            <w:pPr>
              <w:spacing w:after="0"/>
              <w:rPr>
                <w:sz w:val="15"/>
                <w:szCs w:val="15"/>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10.11</w:t>
            </w:r>
          </w:p>
        </w:tc>
        <w:tc>
          <w:tcPr>
            <w:tcW w:w="9920" w:type="dxa"/>
            <w:vAlign w:val="bottom"/>
            <w:gridSpan w:val="25"/>
          </w:tcPr>
          <w:p>
            <w:pPr>
              <w:spacing w:after="0"/>
              <w:rPr>
                <w:rFonts w:ascii="Arial" w:cs="Arial" w:eastAsia="Arial" w:hAnsi="Arial"/>
                <w:sz w:val="18"/>
                <w:szCs w:val="18"/>
                <w:color w:val="0000FF"/>
              </w:rPr>
            </w:pPr>
            <w:hyperlink r:id="rId120">
              <w:r>
                <w:rPr>
                  <w:rFonts w:ascii="Arial" w:cs="Arial" w:eastAsia="Arial" w:hAnsi="Arial"/>
                  <w:sz w:val="18"/>
                  <w:szCs w:val="18"/>
                  <w:color w:val="0000FF"/>
                </w:rPr>
                <w:t>Second Amended and Restated Shareholders’ Agreement Relating to Jacobs Douwe Egberts B.V. by and among Delta</w:t>
              </w:r>
            </w:hyperlink>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5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Charger Holdco B.V., JDE Minority Holdings B.V., Mondelēz Coffee Holdco B.V. and Jacobs Douwe Egberts B.V., dated</w:t>
              </w:r>
            </w:hyperlink>
          </w:p>
        </w:tc>
        <w:tc>
          <w:tcPr>
            <w:tcW w:w="420" w:type="dxa"/>
            <w:vAlign w:val="bottom"/>
            <w:gridSpan w:val="11"/>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8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July 9, 2018 (incorporated by reference to Exhibit 10.2 to the Registrant’s Current Report on Form 8-K filed with the SEC on</w:t>
              </w:r>
            </w:hyperlink>
          </w:p>
        </w:tc>
        <w:tc>
          <w:tcPr>
            <w:tcW w:w="8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July 10, 2018).</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10.12</w:t>
            </w:r>
          </w:p>
        </w:tc>
        <w:tc>
          <w:tcPr>
            <w:tcW w:w="9920" w:type="dxa"/>
            <w:vAlign w:val="bottom"/>
            <w:gridSpan w:val="2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Amendment and Termination Agreement of the Shareholders’ Agreement Relating to Maple Parent Holdings Corp. by and</w:t>
              </w:r>
            </w:hyperlink>
          </w:p>
        </w:tc>
      </w:tr>
      <w:tr>
        <w:trPr>
          <w:trHeight w:val="183"/>
        </w:trPr>
        <w:tc>
          <w:tcPr>
            <w:tcW w:w="114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among Maple Holdings B.V., Mondelēz International Holdings LLC and Maple Parent Holdings Corp., dated July 9, 2018</w:t>
              </w:r>
            </w:hyperlink>
          </w:p>
        </w:tc>
        <w:tc>
          <w:tcPr>
            <w:tcW w:w="120" w:type="dxa"/>
            <w:vAlign w:val="bottom"/>
            <w:tcBorders>
              <w:top w:val="single" w:sz="8" w:color="0000FF"/>
            </w:tcBorders>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(incorporated by reference to Exhibit 10.3 to the Registrant’s Current Report on Form 8-K filed with the SEC on July 10,</w:t>
              </w:r>
            </w:hyperlink>
          </w:p>
        </w:tc>
      </w:tr>
      <w:tr>
        <w:trPr>
          <w:trHeight w:val="183"/>
        </w:trPr>
        <w:tc>
          <w:tcPr>
            <w:tcW w:w="114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21">
              <w:r>
                <w:rPr>
                  <w:rFonts w:ascii="Arial" w:cs="Arial" w:eastAsia="Arial" w:hAnsi="Arial"/>
                  <w:sz w:val="18"/>
                  <w:szCs w:val="18"/>
                  <w:color w:val="0000FF"/>
                  <w:w w:val="97"/>
                </w:rPr>
                <w:t>2018).</w:t>
              </w:r>
            </w:hyperlink>
          </w:p>
        </w:tc>
        <w:tc>
          <w:tcPr>
            <w:tcW w:w="6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52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10.13</w:t>
            </w:r>
          </w:p>
        </w:tc>
        <w:tc>
          <w:tcPr>
            <w:tcW w:w="9920" w:type="dxa"/>
            <w:vAlign w:val="bottom"/>
            <w:gridSpan w:val="25"/>
          </w:tcPr>
          <w:p>
            <w:pPr>
              <w:spacing w:after="0"/>
              <w:rPr>
                <w:rFonts w:ascii="Arial" w:cs="Arial" w:eastAsia="Arial" w:hAnsi="Arial"/>
                <w:sz w:val="18"/>
                <w:szCs w:val="18"/>
                <w:color w:val="0000FF"/>
              </w:rPr>
            </w:pPr>
            <w:hyperlink r:id="rId122">
              <w:r>
                <w:rPr>
                  <w:rFonts w:ascii="Arial" w:cs="Arial" w:eastAsia="Arial" w:hAnsi="Arial"/>
                  <w:sz w:val="18"/>
                  <w:szCs w:val="18"/>
                  <w:color w:val="0000FF"/>
                </w:rPr>
                <w:t>Settlement Agreement, between the Registrant and Kraft Foods Group, Inc., dated June 22, 2015 (incorporated by</w:t>
              </w:r>
            </w:hyperlink>
          </w:p>
        </w:tc>
      </w:tr>
      <w:tr>
        <w:trPr>
          <w:trHeight w:val="183"/>
        </w:trPr>
        <w:tc>
          <w:tcPr>
            <w:tcW w:w="114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reference to Exhibit 10.2 to the Registrant’s Quarterly Report on Form 10-Q filed with the SEC on July 31, 2015).</w:t>
              </w:r>
            </w:hyperlink>
          </w:p>
        </w:tc>
        <w:tc>
          <w:tcPr>
            <w:tcW w:w="140" w:type="dxa"/>
            <w:vAlign w:val="bottom"/>
            <w:tcBorders>
              <w:top w:val="single" w:sz="8" w:color="0000FF"/>
            </w:tcBorders>
          </w:tcPr>
          <w:p>
            <w:pPr>
              <w:spacing w:after="0"/>
              <w:rPr>
                <w:sz w:val="15"/>
                <w:szCs w:val="15"/>
                <w:color w:val="auto"/>
              </w:rPr>
            </w:pPr>
          </w:p>
        </w:tc>
        <w:tc>
          <w:tcPr>
            <w:tcW w:w="820" w:type="dxa"/>
            <w:vAlign w:val="bottom"/>
            <w:gridSpan w:val="14"/>
          </w:tcPr>
          <w:p>
            <w:pPr>
              <w:spacing w:after="0"/>
              <w:rPr>
                <w:sz w:val="15"/>
                <w:szCs w:val="15"/>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10.14</w:t>
            </w:r>
          </w:p>
        </w:tc>
        <w:tc>
          <w:tcPr>
            <w:tcW w:w="9920" w:type="dxa"/>
            <w:vAlign w:val="bottom"/>
            <w:gridSpan w:val="25"/>
          </w:tcPr>
          <w:p>
            <w:pPr>
              <w:spacing w:after="0"/>
              <w:rPr>
                <w:rFonts w:ascii="Arial" w:cs="Arial" w:eastAsia="Arial" w:hAnsi="Arial"/>
                <w:sz w:val="18"/>
                <w:szCs w:val="18"/>
                <w:color w:val="0000FF"/>
              </w:rPr>
            </w:pPr>
            <w:hyperlink r:id="rId123">
              <w:r>
                <w:rPr>
                  <w:rFonts w:ascii="Arial" w:cs="Arial" w:eastAsia="Arial" w:hAnsi="Arial"/>
                  <w:sz w:val="18"/>
                  <w:szCs w:val="18"/>
                  <w:color w:val="0000FF"/>
                </w:rPr>
                <w:t>Mondelēz International, Inc. Amended and Restated 2005 Performance Incentive Plan, amended and restated as of</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February 3, 2017 (incorporated by reference to Exhibit 10.2 to the Registrant’s Quarterly Report on Form 10-Q filed with the</w:t>
              </w:r>
            </w:hyperlink>
          </w:p>
        </w:tc>
      </w:tr>
      <w:tr>
        <w:trPr>
          <w:trHeight w:val="183"/>
        </w:trPr>
        <w:tc>
          <w:tcPr>
            <w:tcW w:w="1140" w:type="dxa"/>
            <w:vAlign w:val="bottom"/>
          </w:tcPr>
          <w:p>
            <w:pPr>
              <w:spacing w:after="0"/>
              <w:rPr>
                <w:sz w:val="15"/>
                <w:szCs w:val="15"/>
                <w:color w:val="auto"/>
              </w:rPr>
            </w:pPr>
          </w:p>
        </w:tc>
        <w:tc>
          <w:tcPr>
            <w:tcW w:w="98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SEC on May 3, 2017).</w:t>
              </w:r>
              <w:r>
                <w:rPr>
                  <w:rFonts w:ascii="Arial" w:cs="Arial" w:eastAsia="Arial" w:hAnsi="Arial"/>
                  <w:sz w:val="18"/>
                  <w:szCs w:val="18"/>
                  <w:color w:val="000000"/>
                </w:rPr>
                <w:t>+</w:t>
              </w:r>
            </w:hyperlink>
          </w:p>
        </w:tc>
        <w:tc>
          <w:tcPr>
            <w:tcW w:w="100" w:type="dxa"/>
            <w:vAlign w:val="bottom"/>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10.15</w:t>
            </w:r>
          </w:p>
        </w:tc>
        <w:tc>
          <w:tcPr>
            <w:tcW w:w="9780" w:type="dxa"/>
            <w:vAlign w:val="bottom"/>
            <w:tcBorders>
              <w:bottom w:val="single" w:sz="8" w:color="0000FF"/>
            </w:tcBorders>
            <w:gridSpan w:val="20"/>
          </w:tcPr>
          <w:p>
            <w:pPr>
              <w:spacing w:after="0"/>
              <w:rPr>
                <w:rFonts w:ascii="Arial" w:cs="Arial" w:eastAsia="Arial" w:hAnsi="Arial"/>
                <w:sz w:val="18"/>
                <w:szCs w:val="18"/>
                <w:color w:val="0000FF"/>
                <w:w w:val="99"/>
              </w:rPr>
            </w:pPr>
            <w:hyperlink r:id="rId124">
              <w:r>
                <w:rPr>
                  <w:rFonts w:ascii="Arial" w:cs="Arial" w:eastAsia="Arial" w:hAnsi="Arial"/>
                  <w:sz w:val="18"/>
                  <w:szCs w:val="18"/>
                  <w:color w:val="0000FF"/>
                  <w:w w:val="99"/>
                </w:rPr>
                <w:t>Form of Mondelēz International, Inc. Amended and Restated 2005 Performance Incentive Plan Non-Qualified Global Stock</w:t>
              </w:r>
            </w:hyperlink>
          </w:p>
        </w:tc>
        <w:tc>
          <w:tcPr>
            <w:tcW w:w="140" w:type="dxa"/>
            <w:vAlign w:val="bottom"/>
            <w:gridSpan w:val="5"/>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92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Option Agreement (incorporated by reference to Exhibit 10.3 to the Registrant’s Quarterly Report on Form 10-Q filed with the</w:t>
              </w:r>
            </w:hyperlink>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SEC on May 3, 2017).</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10.16</w:t>
            </w:r>
          </w:p>
        </w:tc>
        <w:tc>
          <w:tcPr>
            <w:tcW w:w="9780" w:type="dxa"/>
            <w:vAlign w:val="bottom"/>
            <w:tcBorders>
              <w:bottom w:val="single" w:sz="8" w:color="0000FF"/>
            </w:tcBorders>
            <w:gridSpan w:val="20"/>
          </w:tcPr>
          <w:p>
            <w:pPr>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Form of Mondelēz International, Inc. Amended and Restated 2005 Performance Incentive Plan Non-Qualified Global Stock</w:t>
              </w:r>
            </w:hyperlink>
          </w:p>
        </w:tc>
        <w:tc>
          <w:tcPr>
            <w:tcW w:w="140" w:type="dxa"/>
            <w:vAlign w:val="bottom"/>
            <w:gridSpan w:val="5"/>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92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Option Agreement (incorporated by reference to Exhibit 10.2 to the Registrant’s Quarterly Report on Form 10-Q filed with the</w:t>
              </w:r>
            </w:hyperlink>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SEC on May 2, 2018).</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10.17</w:t>
            </w:r>
          </w:p>
        </w:tc>
        <w:tc>
          <w:tcPr>
            <w:tcW w:w="9780" w:type="dxa"/>
            <w:vAlign w:val="bottom"/>
            <w:tcBorders>
              <w:bottom w:val="single" w:sz="8" w:color="0000FF"/>
            </w:tcBorders>
            <w:gridSpan w:val="20"/>
          </w:tcPr>
          <w:p>
            <w:pPr>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Form of Mondelēz International, Inc. Amended and Restated 2005 Performance Incentive Plan Non-Qualified Global Stock</w:t>
              </w:r>
            </w:hyperlink>
          </w:p>
        </w:tc>
        <w:tc>
          <w:tcPr>
            <w:tcW w:w="140" w:type="dxa"/>
            <w:vAlign w:val="bottom"/>
            <w:gridSpan w:val="5"/>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92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Option Agreement (incorporated by reference to Exhibit 10.3 to the Registrant’s Quarterly Report on Form 10-Q filed with the</w:t>
              </w:r>
            </w:hyperlink>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SEC on May 1, 2019).</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10.18</w:t>
            </w:r>
          </w:p>
        </w:tc>
        <w:tc>
          <w:tcPr>
            <w:tcW w:w="9920" w:type="dxa"/>
            <w:vAlign w:val="bottom"/>
            <w:gridSpan w:val="25"/>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8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Grant Agreement (incorporated by reference to Exhibit 10.4 to the Registrant’s Quarterly Report on Form 10-Q filed with the</w:t>
              </w:r>
            </w:hyperlink>
          </w:p>
        </w:tc>
        <w:tc>
          <w:tcPr>
            <w:tcW w:w="8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SEC on May 3, 2017).</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10.19</w:t>
            </w:r>
          </w:p>
        </w:tc>
        <w:tc>
          <w:tcPr>
            <w:tcW w:w="9920" w:type="dxa"/>
            <w:vAlign w:val="bottom"/>
            <w:gridSpan w:val="25"/>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8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Grant Agreement (incorporated by reference to Exhibit 10.3 to the Registrant’s Quarterly Report on Form 10-Q filed with the</w:t>
              </w:r>
            </w:hyperlink>
          </w:p>
        </w:tc>
        <w:tc>
          <w:tcPr>
            <w:tcW w:w="8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SEC on May 2, 2018).</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10.20</w:t>
            </w:r>
          </w:p>
        </w:tc>
        <w:tc>
          <w:tcPr>
            <w:tcW w:w="9920" w:type="dxa"/>
            <w:vAlign w:val="bottom"/>
            <w:gridSpan w:val="25"/>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Grant Agreement (incorporated by reference to Exhibit 10.4 to the Registrant's Quarterly Report on Form 10-Q filed with the</w:t>
              </w:r>
            </w:hyperlink>
          </w:p>
        </w:tc>
      </w:tr>
      <w:tr>
        <w:trPr>
          <w:trHeight w:val="183"/>
        </w:trPr>
        <w:tc>
          <w:tcPr>
            <w:tcW w:w="1140" w:type="dxa"/>
            <w:vAlign w:val="bottom"/>
          </w:tcPr>
          <w:p>
            <w:pPr>
              <w:spacing w:after="0"/>
              <w:rPr>
                <w:sz w:val="15"/>
                <w:szCs w:val="15"/>
                <w:color w:val="auto"/>
              </w:rPr>
            </w:pPr>
          </w:p>
        </w:tc>
        <w:tc>
          <w:tcPr>
            <w:tcW w:w="18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SEC on May 1, 2019).+</w:t>
              </w:r>
            </w:hyperlink>
          </w:p>
        </w:tc>
        <w:tc>
          <w:tcPr>
            <w:tcW w:w="7940" w:type="dxa"/>
            <w:vAlign w:val="bottom"/>
            <w:tcBorders>
              <w:top w:val="single" w:sz="8" w:color="0000FF"/>
            </w:tcBorders>
            <w:gridSpan w:val="16"/>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10.21</w:t>
            </w:r>
          </w:p>
        </w:tc>
        <w:tc>
          <w:tcPr>
            <w:tcW w:w="9920" w:type="dxa"/>
            <w:vAlign w:val="bottom"/>
            <w:gridSpan w:val="25"/>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180" w:type="dxa"/>
            <w:vAlign w:val="bottom"/>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Agreement (incorporated by reference to Exhibit 10.13 to the Registrant’s Annual Report on Form 10-K filed with the SEC on</w:t>
              </w:r>
            </w:hyperlink>
          </w:p>
        </w:tc>
      </w:tr>
      <w:tr>
        <w:trPr>
          <w:trHeight w:val="183"/>
        </w:trPr>
        <w:tc>
          <w:tcPr>
            <w:tcW w:w="1140" w:type="dxa"/>
            <w:vAlign w:val="bottom"/>
          </w:tcPr>
          <w:p>
            <w:pPr>
              <w:spacing w:after="0"/>
              <w:rPr>
                <w:sz w:val="15"/>
                <w:szCs w:val="15"/>
                <w:color w:val="auto"/>
              </w:rPr>
            </w:pPr>
          </w:p>
        </w:tc>
        <w:tc>
          <w:tcPr>
            <w:tcW w:w="99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February 9, 2018).</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10.22</w:t>
            </w:r>
          </w:p>
        </w:tc>
        <w:tc>
          <w:tcPr>
            <w:tcW w:w="9920" w:type="dxa"/>
            <w:vAlign w:val="bottom"/>
            <w:gridSpan w:val="25"/>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300" w:type="dxa"/>
            <w:vAlign w:val="bottom"/>
            <w:tcBorders>
              <w:left w:val="single" w:sz="8" w:color="0000FF"/>
            </w:tcBorders>
            <w:gridSpan w:val="6"/>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78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Agreement (incorporated by reference to Exhibit 10.4 to the Registrant’s Quarterly Report on Form 10-Q filed with the SEC</w:t>
              </w:r>
            </w:hyperlink>
          </w:p>
        </w:tc>
        <w:tc>
          <w:tcPr>
            <w:tcW w:w="140" w:type="dxa"/>
            <w:vAlign w:val="bottom"/>
            <w:gridSpan w:val="5"/>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on May 2, 2018).</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300" w:type="dxa"/>
            <w:vAlign w:val="bottom"/>
            <w:tcBorders>
              <w:left w:val="single" w:sz="8" w:color="0000FF"/>
            </w:tcBorders>
            <w:gridSpan w:val="6"/>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10.23</w:t>
            </w:r>
          </w:p>
        </w:tc>
        <w:tc>
          <w:tcPr>
            <w:tcW w:w="9920" w:type="dxa"/>
            <w:vAlign w:val="bottom"/>
            <w:gridSpan w:val="25"/>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300" w:type="dxa"/>
            <w:vAlign w:val="bottom"/>
            <w:tcBorders>
              <w:left w:val="single" w:sz="8" w:color="0000FF"/>
            </w:tcBorders>
            <w:gridSpan w:val="6"/>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Agreement (incorporated by reference to Exhibit 10.5 to the Registrant's Quarterly Report on Form 10-Q filed with the SEC</w:t>
              </w:r>
            </w:hyperlink>
          </w:p>
        </w:tc>
      </w:tr>
      <w:tr>
        <w:trPr>
          <w:trHeight w:val="183"/>
        </w:trPr>
        <w:tc>
          <w:tcPr>
            <w:tcW w:w="1140" w:type="dxa"/>
            <w:vAlign w:val="bottom"/>
          </w:tcPr>
          <w:p>
            <w:pPr>
              <w:spacing w:after="0"/>
              <w:rPr>
                <w:sz w:val="15"/>
                <w:szCs w:val="15"/>
                <w:color w:val="auto"/>
              </w:rPr>
            </w:pPr>
          </w:p>
        </w:tc>
        <w:tc>
          <w:tcPr>
            <w:tcW w:w="97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on May 1, 2019).+</w:t>
              </w:r>
            </w:hyperlink>
          </w:p>
        </w:tc>
        <w:tc>
          <w:tcPr>
            <w:tcW w:w="180" w:type="dxa"/>
            <w:vAlign w:val="bottom"/>
            <w:gridSpan w:val="6"/>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10.24</w:t>
            </w:r>
          </w:p>
        </w:tc>
        <w:tc>
          <w:tcPr>
            <w:tcW w:w="9840" w:type="dxa"/>
            <w:vAlign w:val="bottom"/>
            <w:tcBorders>
              <w:bottom w:val="single" w:sz="8" w:color="0000FF"/>
            </w:tcBorders>
            <w:gridSpan w:val="23"/>
          </w:tcPr>
          <w:p>
            <w:pPr>
              <w:spacing w:after="0"/>
              <w:rPr>
                <w:rFonts w:ascii="Arial" w:cs="Arial" w:eastAsia="Arial" w:hAnsi="Arial"/>
                <w:sz w:val="18"/>
                <w:szCs w:val="18"/>
                <w:color w:val="0000FF"/>
                <w:w w:val="99"/>
              </w:rPr>
            </w:pPr>
            <w:hyperlink r:id="rId133">
              <w:r>
                <w:rPr>
                  <w:rFonts w:ascii="Arial" w:cs="Arial" w:eastAsia="Arial" w:hAnsi="Arial"/>
                  <w:sz w:val="18"/>
                  <w:szCs w:val="18"/>
                  <w:color w:val="0000FF"/>
                  <w:w w:val="99"/>
                </w:rPr>
                <w:t>Mondelēz Global LLC Supplemental Benefits Plan I, effective as of September 1, 2012 (incorporated by reference to Exhibit</w:t>
              </w:r>
            </w:hyperlink>
          </w:p>
        </w:tc>
        <w:tc>
          <w:tcPr>
            <w:tcW w:w="80" w:type="dxa"/>
            <w:vAlign w:val="bottom"/>
            <w:gridSpan w:val="2"/>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7660" w:type="dxa"/>
            <w:vAlign w:val="bottom"/>
            <w:gridSpan w:val="9"/>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23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10.25</w:t>
            </w:r>
          </w:p>
        </w:tc>
        <w:tc>
          <w:tcPr>
            <w:tcW w:w="9920" w:type="dxa"/>
            <w:vAlign w:val="bottom"/>
            <w:gridSpan w:val="25"/>
          </w:tcPr>
          <w:p>
            <w:pPr>
              <w:spacing w:after="0"/>
              <w:rPr>
                <w:rFonts w:ascii="Arial" w:cs="Arial" w:eastAsia="Arial" w:hAnsi="Arial"/>
                <w:sz w:val="18"/>
                <w:szCs w:val="18"/>
                <w:color w:val="0000FF"/>
              </w:rPr>
            </w:pPr>
            <w:hyperlink r:id="rId134">
              <w:r>
                <w:rPr>
                  <w:rFonts w:ascii="Arial" w:cs="Arial" w:eastAsia="Arial" w:hAnsi="Arial"/>
                  <w:sz w:val="18"/>
                  <w:szCs w:val="18"/>
                  <w:color w:val="0000FF"/>
                </w:rPr>
                <w:t>First Amendment to the Mondelēz Global LLC Supplemental Benefits Plan I, dated December 20, 2016 (incorporated by</w:t>
              </w:r>
            </w:hyperlink>
          </w:p>
        </w:tc>
      </w:tr>
      <w:tr>
        <w:trPr>
          <w:trHeight w:val="183"/>
        </w:trPr>
        <w:tc>
          <w:tcPr>
            <w:tcW w:w="1140" w:type="dxa"/>
            <w:vAlign w:val="bottom"/>
          </w:tcPr>
          <w:p>
            <w:pPr>
              <w:spacing w:after="0"/>
              <w:rPr>
                <w:sz w:val="15"/>
                <w:szCs w:val="15"/>
                <w:color w:val="auto"/>
              </w:rPr>
            </w:pPr>
          </w:p>
        </w:tc>
        <w:tc>
          <w:tcPr>
            <w:tcW w:w="95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reference to Exhibit 10.26 to the Registrant's Annual Report on Form 10-K filed with the SEC on February 8, 2019).</w:t>
              </w:r>
              <w:r>
                <w:rPr>
                  <w:rFonts w:ascii="Arial" w:cs="Arial" w:eastAsia="Arial" w:hAnsi="Arial"/>
                  <w:sz w:val="18"/>
                  <w:szCs w:val="18"/>
                  <w:color w:val="000000"/>
                </w:rPr>
                <w:t>+</w:t>
              </w:r>
            </w:hyperlink>
          </w:p>
        </w:tc>
        <w:tc>
          <w:tcPr>
            <w:tcW w:w="380" w:type="dxa"/>
            <w:vAlign w:val="bottom"/>
            <w:gridSpan w:val="10"/>
          </w:tcPr>
          <w:p>
            <w:pPr>
              <w:spacing w:after="0"/>
              <w:rPr>
                <w:sz w:val="15"/>
                <w:szCs w:val="15"/>
                <w:color w:val="auto"/>
              </w:rPr>
            </w:pPr>
          </w:p>
        </w:tc>
      </w:tr>
      <w:tr>
        <w:trPr>
          <w:trHeight w:val="601"/>
        </w:trPr>
        <w:tc>
          <w:tcPr>
            <w:tcW w:w="1140" w:type="dxa"/>
            <w:vAlign w:val="bottom"/>
          </w:tcPr>
          <w:p>
            <w:pPr>
              <w:spacing w:after="0"/>
              <w:rPr>
                <w:sz w:val="24"/>
                <w:szCs w:val="24"/>
                <w:color w:val="auto"/>
              </w:rPr>
            </w:pPr>
          </w:p>
        </w:tc>
        <w:tc>
          <w:tcPr>
            <w:tcW w:w="7400" w:type="dxa"/>
            <w:vAlign w:val="bottom"/>
            <w:tcBorders>
              <w:top w:val="single" w:sz="8" w:color="0000FF"/>
            </w:tcBorders>
            <w:gridSpan w:val="8"/>
          </w:tcPr>
          <w:p>
            <w:pPr>
              <w:ind w:left="4080"/>
              <w:spacing w:after="0"/>
              <w:rPr>
                <w:sz w:val="20"/>
                <w:szCs w:val="20"/>
                <w:color w:val="auto"/>
              </w:rPr>
            </w:pPr>
            <w:r>
              <w:rPr>
                <w:rFonts w:ascii="Arial" w:cs="Arial" w:eastAsia="Arial" w:hAnsi="Arial"/>
                <w:sz w:val="18"/>
                <w:szCs w:val="18"/>
                <w:color w:val="auto"/>
              </w:rPr>
              <w:t>129</w:t>
            </w:r>
          </w:p>
        </w:tc>
        <w:tc>
          <w:tcPr>
            <w:tcW w:w="26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74"/>
        </w:trPr>
        <w:tc>
          <w:tcPr>
            <w:tcW w:w="1400" w:type="dxa"/>
            <w:vAlign w:val="bottom"/>
            <w:tcBorders>
              <w:top w:val="single" w:sz="8" w:color="0000EE"/>
            </w:tcBorders>
          </w:tcPr>
          <w:p>
            <w:pPr>
              <w:jc w:val="right"/>
              <w:ind w:right="59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9880" w:type="dxa"/>
            <w:vAlign w:val="bottom"/>
            <w:tcBorders>
              <w:bottom w:val="single" w:sz="8" w:color="0000FF"/>
            </w:tcBorders>
            <w:gridSpan w:val="32"/>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Mondelēz Global LLC Supplemental Benefits Plan II, effective as of September 1, 2012 (incorporated by reference to Exhibit</w:t>
              </w:r>
            </w:hyperlink>
          </w:p>
        </w:tc>
        <w:tc>
          <w:tcPr>
            <w:tcW w:w="80" w:type="dxa"/>
            <w:vAlign w:val="bottom"/>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11</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0"/>
                <w:szCs w:val="20"/>
                <w:color w:val="auto"/>
              </w:rPr>
            </w:pPr>
          </w:p>
        </w:tc>
        <w:tc>
          <w:tcPr>
            <w:tcW w:w="9960" w:type="dxa"/>
            <w:vAlign w:val="bottom"/>
            <w:gridSpan w:val="3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First Amendment to the Mondelēz Global LLC Supplemental Benefits Plan II, dated December 20, 2016 (incorporated by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reference to Exhibit 10.28 to the Registrant's Annual Report on Form 10-K filed with the SEC on February 8, 2019).</w:t>
              </w:r>
              <w:r>
                <w:rPr>
                  <w:rFonts w:ascii="Arial" w:cs="Arial" w:eastAsia="Arial" w:hAnsi="Arial"/>
                  <w:sz w:val="18"/>
                  <w:szCs w:val="18"/>
                  <w:color w:val="000000"/>
                </w:rPr>
                <w:t>+</w:t>
              </w:r>
            </w:hyperlink>
          </w:p>
        </w:tc>
        <w:tc>
          <w:tcPr>
            <w:tcW w:w="380" w:type="dxa"/>
            <w:vAlign w:val="bottom"/>
            <w:gridSpan w:val="11"/>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4"/>
                <w:szCs w:val="24"/>
                <w:color w:val="auto"/>
              </w:rPr>
            </w:pPr>
          </w:p>
        </w:tc>
        <w:tc>
          <w:tcPr>
            <w:tcW w:w="9600" w:type="dxa"/>
            <w:vAlign w:val="bottom"/>
            <w:tcBorders>
              <w:bottom w:val="single" w:sz="8" w:color="0000FF"/>
            </w:tcBorders>
            <w:gridSpan w:val="23"/>
          </w:tcPr>
          <w:p>
            <w:pPr>
              <w:spacing w:after="0"/>
              <w:rPr>
                <w:rFonts w:ascii="Arial" w:cs="Arial" w:eastAsia="Arial" w:hAnsi="Arial"/>
                <w:sz w:val="18"/>
                <w:szCs w:val="18"/>
                <w:color w:val="0000FF"/>
                <w:w w:val="99"/>
              </w:rPr>
            </w:pPr>
            <w:hyperlink r:id="rId137">
              <w:r>
                <w:rPr>
                  <w:rFonts w:ascii="Arial" w:cs="Arial" w:eastAsia="Arial" w:hAnsi="Arial"/>
                  <w:sz w:val="18"/>
                  <w:szCs w:val="18"/>
                  <w:color w:val="0000FF"/>
                  <w:w w:val="99"/>
                </w:rPr>
                <w:t>Form of Mondelēz Global LLC Amended and Restated Cash Enrollment Agreement (incorporated by reference to Exhibit</w:t>
              </w:r>
            </w:hyperlink>
          </w:p>
        </w:tc>
        <w:tc>
          <w:tcPr>
            <w:tcW w:w="360" w:type="dxa"/>
            <w:vAlign w:val="bottom"/>
            <w:gridSpan w:val="10"/>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0"/>
                <w:szCs w:val="20"/>
                <w:color w:val="auto"/>
              </w:rPr>
            </w:pPr>
          </w:p>
        </w:tc>
        <w:tc>
          <w:tcPr>
            <w:tcW w:w="9500" w:type="dxa"/>
            <w:vAlign w:val="bottom"/>
            <w:tcBorders>
              <w:bottom w:val="single" w:sz="8" w:color="0000FF"/>
            </w:tcBorders>
            <w:gridSpan w:val="21"/>
          </w:tcPr>
          <w:p>
            <w:pPr>
              <w:spacing w:after="0"/>
              <w:rPr>
                <w:rFonts w:ascii="Arial" w:cs="Arial" w:eastAsia="Arial" w:hAnsi="Arial"/>
                <w:sz w:val="18"/>
                <w:szCs w:val="18"/>
                <w:color w:val="0000FF"/>
                <w:w w:val="99"/>
              </w:rPr>
            </w:pPr>
            <w:hyperlink r:id="rId138">
              <w:r>
                <w:rPr>
                  <w:rFonts w:ascii="Arial" w:cs="Arial" w:eastAsia="Arial" w:hAnsi="Arial"/>
                  <w:sz w:val="18"/>
                  <w:szCs w:val="18"/>
                  <w:color w:val="0000FF"/>
                  <w:w w:val="99"/>
                </w:rPr>
                <w:t>Form of Mondelēz Global LLC Amended and Restated Employee Grantor Trust Enrollment Agreement (incorporated by</w:t>
              </w:r>
            </w:hyperlink>
          </w:p>
        </w:tc>
        <w:tc>
          <w:tcPr>
            <w:tcW w:w="460" w:type="dxa"/>
            <w:vAlign w:val="bottom"/>
            <w:gridSpan w:val="1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reference to Exhibit 10.13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0"/>
                <w:szCs w:val="20"/>
                <w:color w:val="auto"/>
              </w:rPr>
            </w:pPr>
          </w:p>
        </w:tc>
        <w:tc>
          <w:tcPr>
            <w:tcW w:w="9840" w:type="dxa"/>
            <w:vAlign w:val="bottom"/>
            <w:tcBorders>
              <w:bottom w:val="single" w:sz="8" w:color="0000FF"/>
            </w:tcBorders>
            <w:gridSpan w:val="31"/>
          </w:tcPr>
          <w:p>
            <w:pPr>
              <w:spacing w:after="0"/>
              <w:rPr>
                <w:rFonts w:ascii="Arial" w:cs="Arial" w:eastAsia="Arial" w:hAnsi="Arial"/>
                <w:sz w:val="18"/>
                <w:szCs w:val="18"/>
                <w:color w:val="0000FF"/>
                <w:w w:val="99"/>
              </w:rPr>
            </w:pPr>
            <w:hyperlink r:id="rId139">
              <w:r>
                <w:rPr>
                  <w:rFonts w:ascii="Arial" w:cs="Arial" w:eastAsia="Arial" w:hAnsi="Arial"/>
                  <w:sz w:val="18"/>
                  <w:szCs w:val="18"/>
                  <w:color w:val="0000FF"/>
                  <w:w w:val="99"/>
                </w:rPr>
                <w:t>Mondelēz International, Inc. Amended and Restated 2006 Stock Compensation Plan for Non-Employee Directors, amended</w:t>
              </w:r>
            </w:hyperlink>
          </w:p>
        </w:tc>
        <w:tc>
          <w:tcPr>
            <w:tcW w:w="12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and restated as of October 1, 2012 (incorporated by reference to Exhibit 10.14 to the Registrant’s Annual Report on Form 10-</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0"/>
                <w:szCs w:val="20"/>
                <w:color w:val="auto"/>
              </w:rPr>
            </w:pPr>
          </w:p>
        </w:tc>
        <w:tc>
          <w:tcPr>
            <w:tcW w:w="9840" w:type="dxa"/>
            <w:vAlign w:val="bottom"/>
            <w:tcBorders>
              <w:bottom w:val="single" w:sz="8" w:color="0000FF"/>
            </w:tcBorders>
            <w:gridSpan w:val="31"/>
          </w:tcPr>
          <w:p>
            <w:pPr>
              <w:spacing w:after="0"/>
              <w:rPr>
                <w:rFonts w:ascii="Arial" w:cs="Arial" w:eastAsia="Arial" w:hAnsi="Arial"/>
                <w:sz w:val="18"/>
                <w:szCs w:val="18"/>
                <w:color w:val="0000FF"/>
                <w:w w:val="99"/>
              </w:rPr>
            </w:pPr>
            <w:hyperlink r:id="rId140">
              <w:r>
                <w:rPr>
                  <w:rFonts w:ascii="Arial" w:cs="Arial" w:eastAsia="Arial" w:hAnsi="Arial"/>
                  <w:sz w:val="18"/>
                  <w:szCs w:val="18"/>
                  <w:color w:val="0000FF"/>
                  <w:w w:val="99"/>
                </w:rPr>
                <w:t>Mondelēz International, Inc. 2001 Compensation Plan for Non-Employee Directors, amended as of December 31, 2008 and</w:t>
              </w:r>
            </w:hyperlink>
          </w:p>
        </w:tc>
        <w:tc>
          <w:tcPr>
            <w:tcW w:w="12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restated as of January 1, 2013 (incorporated by reference to Exhibit 10.15 to the Registrant’s Annual Report on Form 10-K</w:t>
              </w:r>
            </w:hyperlink>
          </w:p>
        </w:tc>
        <w:tc>
          <w:tcPr>
            <w:tcW w:w="220" w:type="dxa"/>
            <w:vAlign w:val="bottom"/>
            <w:gridSpan w:val="6"/>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0"/>
                <w:szCs w:val="20"/>
                <w:color w:val="auto"/>
              </w:rPr>
            </w:pPr>
          </w:p>
        </w:tc>
        <w:tc>
          <w:tcPr>
            <w:tcW w:w="9960" w:type="dxa"/>
            <w:vAlign w:val="bottom"/>
            <w:gridSpan w:val="33"/>
          </w:tcPr>
          <w:p>
            <w:pPr>
              <w:spacing w:after="0"/>
              <w:rPr>
                <w:rFonts w:ascii="Arial" w:cs="Arial" w:eastAsia="Arial" w:hAnsi="Arial"/>
                <w:sz w:val="18"/>
                <w:szCs w:val="18"/>
                <w:color w:val="0000FF"/>
              </w:rPr>
            </w:pPr>
            <w:hyperlink r:id="rId141">
              <w:r>
                <w:rPr>
                  <w:rFonts w:ascii="Arial" w:cs="Arial" w:eastAsia="Arial" w:hAnsi="Arial"/>
                  <w:sz w:val="18"/>
                  <w:szCs w:val="18"/>
                  <w:color w:val="0000FF"/>
                </w:rPr>
                <w:t>Mondelēz International, Inc. Change in Control Plan for Key Executives, amended May 14, 2019 (incorporated by reference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to Exhibit 10.2 to the Registrant’s Quarterly Report on Form 10-Q filed with the SEC on July 31, 2019).</w:t>
              </w:r>
              <w:r>
                <w:rPr>
                  <w:rFonts w:ascii="Arial" w:cs="Arial" w:eastAsia="Arial" w:hAnsi="Arial"/>
                  <w:sz w:val="18"/>
                  <w:szCs w:val="18"/>
                  <w:color w:val="000000"/>
                </w:rPr>
                <w:t>+</w:t>
              </w:r>
            </w:hyperlink>
          </w:p>
        </w:tc>
        <w:tc>
          <w:tcPr>
            <w:tcW w:w="160" w:type="dxa"/>
            <w:vAlign w:val="bottom"/>
            <w:gridSpan w:val="4"/>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0"/>
                <w:szCs w:val="20"/>
                <w:color w:val="auto"/>
              </w:rPr>
            </w:pPr>
          </w:p>
        </w:tc>
        <w:tc>
          <w:tcPr>
            <w:tcW w:w="9840" w:type="dxa"/>
            <w:vAlign w:val="bottom"/>
            <w:tcBorders>
              <w:bottom w:val="single" w:sz="8" w:color="0000FF"/>
            </w:tcBorders>
            <w:gridSpan w:val="31"/>
          </w:tcPr>
          <w:p>
            <w:pPr>
              <w:spacing w:after="0"/>
              <w:rPr>
                <w:rFonts w:ascii="Arial" w:cs="Arial" w:eastAsia="Arial" w:hAnsi="Arial"/>
                <w:sz w:val="18"/>
                <w:szCs w:val="18"/>
                <w:color w:val="0000FF"/>
                <w:w w:val="99"/>
              </w:rPr>
            </w:pPr>
            <w:hyperlink r:id="rId142">
              <w:r>
                <w:rPr>
                  <w:rFonts w:ascii="Arial" w:cs="Arial" w:eastAsia="Arial" w:hAnsi="Arial"/>
                  <w:sz w:val="18"/>
                  <w:szCs w:val="18"/>
                  <w:color w:val="0000FF"/>
                  <w:w w:val="99"/>
                </w:rPr>
                <w:t>Mondelēz Global LLC Executive Deferred Compensation Plan, effective as of October 1, 2012 (incorporated by reference to</w:t>
              </w:r>
            </w:hyperlink>
          </w:p>
        </w:tc>
        <w:tc>
          <w:tcPr>
            <w:tcW w:w="12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Exhibit 10.17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0"/>
                <w:szCs w:val="20"/>
                <w:color w:val="auto"/>
              </w:rPr>
            </w:pPr>
          </w:p>
        </w:tc>
        <w:tc>
          <w:tcPr>
            <w:tcW w:w="9960" w:type="dxa"/>
            <w:vAlign w:val="bottom"/>
            <w:gridSpan w:val="33"/>
          </w:tcPr>
          <w:p>
            <w:pPr>
              <w:spacing w:after="0"/>
              <w:rPr>
                <w:rFonts w:ascii="Arial" w:cs="Arial" w:eastAsia="Arial" w:hAnsi="Arial"/>
                <w:sz w:val="18"/>
                <w:szCs w:val="18"/>
                <w:color w:val="0000FF"/>
              </w:rPr>
            </w:pPr>
            <w:hyperlink r:id="rId143">
              <w:r>
                <w:rPr>
                  <w:rFonts w:ascii="Arial" w:cs="Arial" w:eastAsia="Arial" w:hAnsi="Arial"/>
                  <w:sz w:val="18"/>
                  <w:szCs w:val="18"/>
                  <w:color w:val="0000FF"/>
                </w:rPr>
                <w:t>Mondelēz Global LLC Executive Deferred Compensation Plan Adoption Agreement, effective as of October 1, 2012</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(incorporated by reference to Exhibit 10.18 to the Registrant’s Annual Report on Form 10-K filed with the SEC on</w:t>
              </w:r>
            </w:hyperlink>
          </w:p>
        </w:tc>
        <w:tc>
          <w:tcPr>
            <w:tcW w:w="800" w:type="dxa"/>
            <w:vAlign w:val="bottom"/>
            <w:gridSpan w:val="17"/>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February 25, 2013).</w:t>
              </w:r>
              <w:r>
                <w:rPr>
                  <w:rFonts w:ascii="Arial" w:cs="Arial" w:eastAsia="Arial" w:hAnsi="Arial"/>
                  <w:sz w:val="18"/>
                  <w:szCs w:val="18"/>
                  <w:color w:val="000000"/>
                </w:rPr>
                <w:t>+</w:t>
              </w:r>
            </w:hyperlink>
          </w:p>
        </w:tc>
        <w:tc>
          <w:tcPr>
            <w:tcW w:w="1000" w:type="dxa"/>
            <w:vAlign w:val="bottom"/>
            <w:gridSpan w:val="20"/>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0"/>
                <w:szCs w:val="20"/>
                <w:color w:val="auto"/>
              </w:rPr>
            </w:pPr>
          </w:p>
        </w:tc>
        <w:tc>
          <w:tcPr>
            <w:tcW w:w="9840" w:type="dxa"/>
            <w:vAlign w:val="bottom"/>
            <w:tcBorders>
              <w:bottom w:val="single" w:sz="8" w:color="0000FF"/>
            </w:tcBorders>
            <w:gridSpan w:val="31"/>
          </w:tcPr>
          <w:p>
            <w:pPr>
              <w:spacing w:after="0"/>
              <w:rPr>
                <w:rFonts w:ascii="Arial" w:cs="Arial" w:eastAsia="Arial" w:hAnsi="Arial"/>
                <w:sz w:val="18"/>
                <w:szCs w:val="18"/>
                <w:color w:val="0000FF"/>
                <w:w w:val="99"/>
              </w:rPr>
            </w:pPr>
            <w:hyperlink r:id="rId144">
              <w:r>
                <w:rPr>
                  <w:rFonts w:ascii="Arial" w:cs="Arial" w:eastAsia="Arial" w:hAnsi="Arial"/>
                  <w:sz w:val="18"/>
                  <w:szCs w:val="18"/>
                  <w:color w:val="0000FF"/>
                  <w:w w:val="99"/>
                </w:rPr>
                <w:t>Deferred Compensation Plan Trust Document, by and between Mondelēz Global LLC and Wilmington Trust Retirement and</w:t>
              </w:r>
            </w:hyperlink>
          </w:p>
        </w:tc>
        <w:tc>
          <w:tcPr>
            <w:tcW w:w="12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Institutional Services Company, dated as of September 18, 2012 (incorporated by reference to Exhibit 10.19 to the</w:t>
              </w:r>
            </w:hyperlink>
          </w:p>
        </w:tc>
        <w:tc>
          <w:tcPr>
            <w:tcW w:w="820" w:type="dxa"/>
            <w:vAlign w:val="bottom"/>
            <w:gridSpan w:val="1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0"/>
                <w:szCs w:val="20"/>
                <w:color w:val="auto"/>
              </w:rPr>
            </w:pPr>
          </w:p>
        </w:tc>
        <w:tc>
          <w:tcPr>
            <w:tcW w:w="9720" w:type="dxa"/>
            <w:vAlign w:val="bottom"/>
            <w:tcBorders>
              <w:bottom w:val="single" w:sz="8" w:color="0000FF"/>
            </w:tcBorders>
            <w:gridSpan w:val="26"/>
          </w:tcPr>
          <w:p>
            <w:pPr>
              <w:spacing w:after="0"/>
              <w:rPr>
                <w:rFonts w:ascii="Arial" w:cs="Arial" w:eastAsia="Arial" w:hAnsi="Arial"/>
                <w:sz w:val="18"/>
                <w:szCs w:val="18"/>
                <w:color w:val="0000FF"/>
                <w:w w:val="99"/>
              </w:rPr>
            </w:pPr>
            <w:hyperlink r:id="rId145">
              <w:r>
                <w:rPr>
                  <w:rFonts w:ascii="Arial" w:cs="Arial" w:eastAsia="Arial" w:hAnsi="Arial"/>
                  <w:sz w:val="18"/>
                  <w:szCs w:val="18"/>
                  <w:color w:val="0000FF"/>
                  <w:w w:val="99"/>
                </w:rPr>
                <w:t>Kraft Foods Deutschland Pension Scheme Supplementary Benefits 2005/ Deferral (Non-Qualified Deferred Compensation</w:t>
              </w:r>
            </w:hyperlink>
          </w:p>
        </w:tc>
        <w:tc>
          <w:tcPr>
            <w:tcW w:w="24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Plan) (English translation), effective as of September 1, 2005 (incorporated by reference to Exhibit 10.2 to the Registrant’s</w:t>
              </w:r>
            </w:hyperlink>
          </w:p>
        </w:tc>
        <w:tc>
          <w:tcPr>
            <w:tcW w:w="260" w:type="dxa"/>
            <w:vAlign w:val="bottom"/>
            <w:gridSpan w:val="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Quarterly Report on Form 10-Q filed with the SEC on July 26,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0"/>
                <w:szCs w:val="20"/>
                <w:color w:val="auto"/>
              </w:rPr>
            </w:pPr>
          </w:p>
        </w:tc>
        <w:tc>
          <w:tcPr>
            <w:tcW w:w="9260" w:type="dxa"/>
            <w:vAlign w:val="bottom"/>
            <w:tcBorders>
              <w:bottom w:val="single" w:sz="8" w:color="0000FF"/>
            </w:tcBorders>
            <w:gridSpan w:val="18"/>
          </w:tcPr>
          <w:p>
            <w:pPr>
              <w:spacing w:after="0"/>
              <w:rPr>
                <w:rFonts w:ascii="Arial" w:cs="Arial" w:eastAsia="Arial" w:hAnsi="Arial"/>
                <w:sz w:val="18"/>
                <w:szCs w:val="18"/>
                <w:color w:val="0000FF"/>
                <w:w w:val="99"/>
              </w:rPr>
            </w:pPr>
            <w:hyperlink r:id="rId146">
              <w:r>
                <w:rPr>
                  <w:rFonts w:ascii="Arial" w:cs="Arial" w:eastAsia="Arial" w:hAnsi="Arial"/>
                  <w:sz w:val="18"/>
                  <w:szCs w:val="18"/>
                  <w:color w:val="0000FF"/>
                  <w:w w:val="99"/>
                </w:rPr>
                <w:t>Annex to Kraft Foods Deutschland Pension Scheme Supplementary Benefits 2005/ Deferral (Non-Qualified Deferred</w:t>
              </w:r>
            </w:hyperlink>
          </w:p>
        </w:tc>
        <w:tc>
          <w:tcPr>
            <w:tcW w:w="700" w:type="dxa"/>
            <w:vAlign w:val="bottom"/>
            <w:gridSpan w:val="1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Compensation Plan), effective as of January 1, 2013 (incorporated by reference to Exhibit 10.3 to the Registrant’s Quarterly</w:t>
              </w:r>
            </w:hyperlink>
          </w:p>
        </w:tc>
        <w:tc>
          <w:tcPr>
            <w:tcW w:w="14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Report on Form 10-Q filed with the SEC on July 26,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0"/>
                <w:szCs w:val="20"/>
                <w:color w:val="auto"/>
              </w:rPr>
            </w:pPr>
          </w:p>
        </w:tc>
        <w:tc>
          <w:tcPr>
            <w:tcW w:w="9780" w:type="dxa"/>
            <w:vAlign w:val="bottom"/>
            <w:tcBorders>
              <w:bottom w:val="single" w:sz="8" w:color="0000FF"/>
            </w:tcBorders>
            <w:gridSpan w:val="28"/>
          </w:tcPr>
          <w:p>
            <w:pPr>
              <w:spacing w:after="0"/>
              <w:rPr>
                <w:rFonts w:ascii="Arial" w:cs="Arial" w:eastAsia="Arial" w:hAnsi="Arial"/>
                <w:sz w:val="18"/>
                <w:szCs w:val="18"/>
                <w:color w:val="0000FF"/>
                <w:w w:val="99"/>
              </w:rPr>
            </w:pPr>
            <w:hyperlink r:id="rId147">
              <w:r>
                <w:rPr>
                  <w:rFonts w:ascii="Arial" w:cs="Arial" w:eastAsia="Arial" w:hAnsi="Arial"/>
                  <w:sz w:val="18"/>
                  <w:szCs w:val="18"/>
                  <w:color w:val="0000FF"/>
                  <w:w w:val="99"/>
                </w:rPr>
                <w:t>Offer of Employment Letter, between the Registrant and Dirk Van de Put, dated July 27, 2017 (incorporated by reference to</w:t>
              </w:r>
            </w:hyperlink>
          </w:p>
        </w:tc>
        <w:tc>
          <w:tcPr>
            <w:tcW w:w="180" w:type="dxa"/>
            <w:vAlign w:val="bottom"/>
            <w:gridSpan w:val="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Exhibit 10.1 to the Registrant’s Current Report on Form 8-K filed with the SEC on August 2,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0"/>
                <w:szCs w:val="20"/>
                <w:color w:val="auto"/>
              </w:rPr>
            </w:pPr>
          </w:p>
        </w:tc>
        <w:tc>
          <w:tcPr>
            <w:tcW w:w="9960" w:type="dxa"/>
            <w:vAlign w:val="bottom"/>
            <w:gridSpan w:val="33"/>
          </w:tcPr>
          <w:p>
            <w:pPr>
              <w:spacing w:after="0"/>
              <w:rPr>
                <w:rFonts w:ascii="Arial" w:cs="Arial" w:eastAsia="Arial" w:hAnsi="Arial"/>
                <w:sz w:val="18"/>
                <w:szCs w:val="18"/>
                <w:color w:val="0000FF"/>
              </w:rPr>
            </w:pPr>
            <w:hyperlink r:id="rId148">
              <w:r>
                <w:rPr>
                  <w:rFonts w:ascii="Arial" w:cs="Arial" w:eastAsia="Arial" w:hAnsi="Arial"/>
                  <w:sz w:val="18"/>
                  <w:szCs w:val="18"/>
                  <w:color w:val="0000FF"/>
                </w:rPr>
                <w:t>Offer of Employment Letter, between the Registrant and Irene B. Rosenfeld, dated June 22, 2006 (incorporated by reference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to Exhibit 10.29 to the Registrant’s Quarterly Report on Form 10-Q filed with the SEC on August 8, 2006).</w:t>
              </w:r>
              <w:r>
                <w:rPr>
                  <w:rFonts w:ascii="Arial" w:cs="Arial" w:eastAsia="Arial" w:hAnsi="Arial"/>
                  <w:sz w:val="18"/>
                  <w:szCs w:val="18"/>
                  <w:color w:val="000000"/>
                </w:rPr>
                <w:t>+</w:t>
              </w:r>
            </w:hyperlink>
          </w:p>
        </w:tc>
        <w:tc>
          <w:tcPr>
            <w:tcW w:w="8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40" w:type="dxa"/>
            <w:vAlign w:val="bottom"/>
            <w:gridSpan w:val="11"/>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20"/>
                <w:szCs w:val="20"/>
                <w:color w:val="auto"/>
              </w:rPr>
            </w:pPr>
          </w:p>
        </w:tc>
        <w:tc>
          <w:tcPr>
            <w:tcW w:w="9680" w:type="dxa"/>
            <w:vAlign w:val="bottom"/>
            <w:tcBorders>
              <w:bottom w:val="single" w:sz="8" w:color="0000FF"/>
            </w:tcBorders>
            <w:gridSpan w:val="24"/>
          </w:tcPr>
          <w:p>
            <w:pPr>
              <w:spacing w:after="0"/>
              <w:rPr>
                <w:rFonts w:ascii="Arial" w:cs="Arial" w:eastAsia="Arial" w:hAnsi="Arial"/>
                <w:sz w:val="18"/>
                <w:szCs w:val="18"/>
                <w:color w:val="0000FF"/>
                <w:w w:val="99"/>
              </w:rPr>
            </w:pPr>
            <w:hyperlink r:id="rId149">
              <w:r>
                <w:rPr>
                  <w:rFonts w:ascii="Arial" w:cs="Arial" w:eastAsia="Arial" w:hAnsi="Arial"/>
                  <w:sz w:val="18"/>
                  <w:szCs w:val="18"/>
                  <w:color w:val="0000FF"/>
                  <w:w w:val="99"/>
                </w:rPr>
                <w:t>Amendment to Offer of Employment Letter, between the Registrant and Irene B. Rosenfeld, amended as of December 31,</w:t>
              </w:r>
            </w:hyperlink>
          </w:p>
        </w:tc>
        <w:tc>
          <w:tcPr>
            <w:tcW w:w="280" w:type="dxa"/>
            <w:vAlign w:val="bottom"/>
            <w:gridSpan w:val="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2008 (incorporated by reference to Exhibit 10.20 to the Registrant’s Annual Report on Form 10-K filed with the SEC on</w:t>
              </w:r>
            </w:hyperlink>
          </w:p>
        </w:tc>
        <w:tc>
          <w:tcPr>
            <w:tcW w:w="540" w:type="dxa"/>
            <w:vAlign w:val="bottom"/>
            <w:gridSpan w:val="1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February 27, 2009).</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0"/>
                <w:szCs w:val="20"/>
                <w:color w:val="auto"/>
              </w:rPr>
            </w:pPr>
          </w:p>
        </w:tc>
        <w:tc>
          <w:tcPr>
            <w:tcW w:w="9960" w:type="dxa"/>
            <w:vAlign w:val="bottom"/>
            <w:gridSpan w:val="33"/>
          </w:tcPr>
          <w:p>
            <w:pPr>
              <w:spacing w:after="0"/>
              <w:rPr>
                <w:rFonts w:ascii="Arial" w:cs="Arial" w:eastAsia="Arial" w:hAnsi="Arial"/>
                <w:sz w:val="18"/>
                <w:szCs w:val="18"/>
                <w:color w:val="0000FF"/>
              </w:rPr>
            </w:pPr>
            <w:hyperlink r:id="rId150">
              <w:r>
                <w:rPr>
                  <w:rFonts w:ascii="Arial" w:cs="Arial" w:eastAsia="Arial" w:hAnsi="Arial"/>
                  <w:sz w:val="18"/>
                  <w:szCs w:val="18"/>
                  <w:color w:val="0000FF"/>
                </w:rPr>
                <w:t>Offer of Employment Letter, between the Registrant and Daniel P. Myers, dated June 20, 2011 (incorporated by reference to</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Exhibit 10.1 to the Registrant’s Quarterly Report on Form 10-Q filed with the SEC on November 4, 2011).</w:t>
              </w:r>
              <w:r>
                <w:rPr>
                  <w:rFonts w:ascii="Arial" w:cs="Arial" w:eastAsia="Arial" w:hAnsi="Arial"/>
                  <w:sz w:val="18"/>
                  <w:szCs w:val="18"/>
                  <w:color w:val="000000"/>
                </w:rPr>
                <w:t>+</w:t>
              </w:r>
            </w:hyperlink>
          </w:p>
        </w:tc>
        <w:tc>
          <w:tcPr>
            <w:tcW w:w="12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40" w:type="dxa"/>
            <w:vAlign w:val="bottom"/>
            <w:gridSpan w:val="11"/>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0"/>
                <w:szCs w:val="20"/>
                <w:color w:val="auto"/>
              </w:rPr>
            </w:pPr>
          </w:p>
        </w:tc>
        <w:tc>
          <w:tcPr>
            <w:tcW w:w="9380" w:type="dxa"/>
            <w:vAlign w:val="bottom"/>
            <w:tcBorders>
              <w:bottom w:val="single" w:sz="8" w:color="0000FF"/>
            </w:tcBorders>
            <w:gridSpan w:val="19"/>
          </w:tcPr>
          <w:p>
            <w:pPr>
              <w:spacing w:after="0"/>
              <w:rPr>
                <w:rFonts w:ascii="Arial" w:cs="Arial" w:eastAsia="Arial" w:hAnsi="Arial"/>
                <w:sz w:val="18"/>
                <w:szCs w:val="18"/>
                <w:color w:val="0000FF"/>
                <w:w w:val="99"/>
              </w:rPr>
            </w:pPr>
            <w:hyperlink r:id="rId151">
              <w:r>
                <w:rPr>
                  <w:rFonts w:ascii="Arial" w:cs="Arial" w:eastAsia="Arial" w:hAnsi="Arial"/>
                  <w:sz w:val="18"/>
                  <w:szCs w:val="18"/>
                  <w:color w:val="0000FF"/>
                  <w:w w:val="99"/>
                </w:rPr>
                <w:t>Offer of Employment Letter, between Mondelēz Global LLC and Glen Walter, dated October 15, 2017 (incorporated by</w:t>
              </w:r>
            </w:hyperlink>
          </w:p>
        </w:tc>
        <w:tc>
          <w:tcPr>
            <w:tcW w:w="580" w:type="dxa"/>
            <w:vAlign w:val="bottom"/>
            <w:gridSpan w:val="1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reference to Exhibit 10.31 to the Registrant’s Annual Report on Form 10-K filed with the SEC on February 9, 2018).</w:t>
              </w:r>
              <w:r>
                <w:rPr>
                  <w:rFonts w:ascii="Arial" w:cs="Arial" w:eastAsia="Arial" w:hAnsi="Arial"/>
                  <w:sz w:val="18"/>
                  <w:szCs w:val="18"/>
                  <w:color w:val="000000"/>
                </w:rPr>
                <w:t>+</w:t>
              </w:r>
            </w:hyperlink>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0"/>
                <w:szCs w:val="20"/>
                <w:color w:val="auto"/>
              </w:rPr>
            </w:pPr>
          </w:p>
        </w:tc>
        <w:tc>
          <w:tcPr>
            <w:tcW w:w="9140" w:type="dxa"/>
            <w:vAlign w:val="bottom"/>
            <w:tcBorders>
              <w:top w:val="single" w:sz="8" w:color="0000FF"/>
            </w:tcBorders>
            <w:gridSpan w:val="15"/>
          </w:tcPr>
          <w:p>
            <w:pPr>
              <w:spacing w:after="0"/>
              <w:rPr>
                <w:rFonts w:ascii="Arial" w:cs="Arial" w:eastAsia="Arial" w:hAnsi="Arial"/>
                <w:sz w:val="18"/>
                <w:szCs w:val="18"/>
                <w:color w:val="0000FF"/>
              </w:rPr>
            </w:pPr>
            <w:hyperlink r:id="rId152">
              <w:r>
                <w:rPr>
                  <w:rFonts w:ascii="Arial" w:cs="Arial" w:eastAsia="Arial" w:hAnsi="Arial"/>
                  <w:sz w:val="18"/>
                  <w:szCs w:val="18"/>
                  <w:color w:val="0000FF"/>
                </w:rPr>
                <w:t>Employment Letter (English Translation), between Kraft Foods Europe and Hubert Weber, dated August 11, 2010</w:t>
              </w:r>
            </w:hyperlink>
          </w:p>
        </w:tc>
        <w:tc>
          <w:tcPr>
            <w:tcW w:w="820" w:type="dxa"/>
            <w:vAlign w:val="bottom"/>
            <w:gridSpan w:val="18"/>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500" w:type="dxa"/>
            <w:vAlign w:val="bottom"/>
            <w:gridSpan w:val="13"/>
            <w:shd w:val="clear" w:color="auto" w:fill="0000FF"/>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(incorporated by reference to Exhibit 10.4 to the Registrant’s Quarterly Report on Form 10-Q filed with the SEC on July 26,</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2018).</w:t>
              </w:r>
              <w:r>
                <w:rPr>
                  <w:rFonts w:ascii="Arial" w:cs="Arial" w:eastAsia="Arial" w:hAnsi="Arial"/>
                  <w:sz w:val="18"/>
                  <w:szCs w:val="18"/>
                  <w:color w:val="000000"/>
                </w:rPr>
                <w:t>+</w:t>
              </w:r>
            </w:hyperlink>
          </w:p>
        </w:tc>
        <w:tc>
          <w:tcPr>
            <w:tcW w:w="17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66"/>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160" w:type="dxa"/>
            <w:vAlign w:val="bottom"/>
            <w:gridSpan w:val="4"/>
          </w:tcPr>
          <w:p>
            <w:pPr>
              <w:jc w:val="right"/>
              <w:ind w:right="220"/>
              <w:spacing w:after="0"/>
              <w:rPr>
                <w:sz w:val="20"/>
                <w:szCs w:val="20"/>
                <w:color w:val="auto"/>
              </w:rPr>
            </w:pPr>
            <w:r>
              <w:rPr>
                <w:rFonts w:ascii="Arial" w:cs="Arial" w:eastAsia="Arial" w:hAnsi="Arial"/>
                <w:sz w:val="18"/>
                <w:szCs w:val="18"/>
                <w:color w:val="auto"/>
              </w:rPr>
              <w:t>130</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80"/>
          </w:cols>
          <w:pgMar w:left="240" w:top="108" w:right="27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74"/>
        </w:trPr>
        <w:tc>
          <w:tcPr>
            <w:tcW w:w="1400" w:type="dxa"/>
            <w:vAlign w:val="bottom"/>
            <w:tcBorders>
              <w:top w:val="single" w:sz="8" w:color="0000EE"/>
            </w:tcBorders>
          </w:tcPr>
          <w:p>
            <w:pPr>
              <w:jc w:val="right"/>
              <w:ind w:right="590"/>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FF"/>
              </w:rPr>
            </w:pPr>
            <w:hyperlink r:id="rId153">
              <w:r>
                <w:rPr>
                  <w:rFonts w:ascii="Arial" w:cs="Arial" w:eastAsia="Arial" w:hAnsi="Arial"/>
                  <w:sz w:val="18"/>
                  <w:szCs w:val="18"/>
                  <w:color w:val="0000FF"/>
                </w:rPr>
                <w:t>Employment Letter, between Mondelēz Global LLC and Gerhard Pleuhs, dated August 23, 2016 (incorporated by reference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to Exhibit 10.5 to the Registrant’s Quarterly Report on Form 10-Q filed with the SEC on July 26, 2018).</w:t>
              </w:r>
              <w:r>
                <w:rPr>
                  <w:rFonts w:ascii="Arial" w:cs="Arial" w:eastAsia="Arial" w:hAnsi="Arial"/>
                  <w:sz w:val="18"/>
                  <w:szCs w:val="18"/>
                  <w:color w:val="000000"/>
                </w:rPr>
                <w:t>+</w:t>
              </w:r>
            </w:hyperlink>
          </w:p>
        </w:tc>
        <w:tc>
          <w:tcPr>
            <w:tcW w:w="140" w:type="dxa"/>
            <w:vAlign w:val="bottom"/>
            <w:gridSpan w:val="4"/>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20"/>
                <w:szCs w:val="20"/>
                <w:color w:val="auto"/>
              </w:rPr>
            </w:pPr>
          </w:p>
        </w:tc>
        <w:tc>
          <w:tcPr>
            <w:tcW w:w="9260" w:type="dxa"/>
            <w:vAlign w:val="bottom"/>
            <w:tcBorders>
              <w:bottom w:val="single" w:sz="8" w:color="0000FF"/>
            </w:tcBorders>
            <w:gridSpan w:val="17"/>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Offer of Employment Letter, between Mondelēz Global LLC and Paulette Alviti, dated April 12, 2018 (incorporated by</w:t>
              </w:r>
            </w:hyperlink>
          </w:p>
        </w:tc>
        <w:tc>
          <w:tcPr>
            <w:tcW w:w="660" w:type="dxa"/>
            <w:vAlign w:val="bottom"/>
            <w:gridSpan w:val="1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reference to Exhibit 10.6 to the Registrant’s Quarterly Report on Form 10-Q filed with the SEC on July 26,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0"/>
                <w:szCs w:val="20"/>
                <w:color w:val="auto"/>
              </w:rPr>
            </w:pPr>
          </w:p>
        </w:tc>
        <w:tc>
          <w:tcPr>
            <w:tcW w:w="9360" w:type="dxa"/>
            <w:vAlign w:val="bottom"/>
            <w:tcBorders>
              <w:bottom w:val="single" w:sz="8" w:color="0000FF"/>
            </w:tcBorders>
            <w:gridSpan w:val="19"/>
          </w:tcPr>
          <w:p>
            <w:pPr>
              <w:spacing w:after="0"/>
              <w:rPr>
                <w:rFonts w:ascii="Arial" w:cs="Arial" w:eastAsia="Arial" w:hAnsi="Arial"/>
                <w:sz w:val="18"/>
                <w:szCs w:val="18"/>
                <w:color w:val="0000FF"/>
                <w:w w:val="99"/>
              </w:rPr>
            </w:pPr>
            <w:hyperlink r:id="rId155">
              <w:r>
                <w:rPr>
                  <w:rFonts w:ascii="Arial" w:cs="Arial" w:eastAsia="Arial" w:hAnsi="Arial"/>
                  <w:sz w:val="18"/>
                  <w:szCs w:val="18"/>
                  <w:color w:val="0000FF"/>
                  <w:w w:val="99"/>
                </w:rPr>
                <w:t>International Permanent Transfer Letter, between Mondelēz Global LLC and Luca Zaramella, effective August 1, 2018</w:t>
              </w:r>
            </w:hyperlink>
          </w:p>
        </w:tc>
        <w:tc>
          <w:tcPr>
            <w:tcW w:w="560" w:type="dxa"/>
            <w:vAlign w:val="bottom"/>
            <w:gridSpan w:val="1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(incorporated by reference to Exhibit 10.1 to the Registrant’s Current Report on Form 8-K filed with the SEC on August 7,</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2018).</w:t>
              </w:r>
              <w:r>
                <w:rPr>
                  <w:rFonts w:ascii="Arial" w:cs="Arial" w:eastAsia="Arial" w:hAnsi="Arial"/>
                  <w:sz w:val="18"/>
                  <w:szCs w:val="18"/>
                  <w:color w:val="000000"/>
                </w:rPr>
                <w:t>+</w:t>
              </w:r>
            </w:hyperlink>
          </w:p>
        </w:tc>
        <w:tc>
          <w:tcPr>
            <w:tcW w:w="28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2340" w:type="dxa"/>
            <w:vAlign w:val="bottom"/>
            <w:tcBorders>
              <w:top w:val="single" w:sz="8" w:color="0000FF"/>
            </w:tcBorders>
          </w:tcPr>
          <w:p>
            <w:pPr>
              <w:spacing w:after="0"/>
              <w:rPr>
                <w:sz w:val="15"/>
                <w:szCs w:val="15"/>
                <w:color w:val="auto"/>
              </w:rPr>
            </w:pPr>
          </w:p>
        </w:tc>
        <w:tc>
          <w:tcPr>
            <w:tcW w:w="19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20"/>
                <w:szCs w:val="20"/>
                <w:color w:val="auto"/>
              </w:rPr>
            </w:pPr>
          </w:p>
        </w:tc>
        <w:tc>
          <w:tcPr>
            <w:tcW w:w="9920" w:type="dxa"/>
            <w:vAlign w:val="bottom"/>
            <w:tcBorders>
              <w:bottom w:val="single" w:sz="8" w:color="0000FF"/>
            </w:tcBorders>
            <w:gridSpan w:val="33"/>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Employment Letter, between Mondelez Europe and Vinzenz P. Gruber, dated November 29, 2018 (incorporated by reference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to Exhibit 10.6 to the Registrant's Quarterly Report on Form 10-Q filed with the SEC on May 1, 2019).</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0"/>
                <w:szCs w:val="20"/>
                <w:color w:val="auto"/>
              </w:rPr>
            </w:pPr>
          </w:p>
        </w:tc>
        <w:tc>
          <w:tcPr>
            <w:tcW w:w="9700" w:type="dxa"/>
            <w:vAlign w:val="bottom"/>
            <w:tcBorders>
              <w:bottom w:val="single" w:sz="8" w:color="0000FF"/>
            </w:tcBorders>
            <w:gridSpan w:val="26"/>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Offer of Employment Letter, between Mondelēz Global LLC and Sandra MacQuillan, dated April 23, 2019 (incorporated by</w:t>
              </w:r>
            </w:hyperlink>
          </w:p>
        </w:tc>
        <w:tc>
          <w:tcPr>
            <w:tcW w:w="22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reference to Exhibit 10.1 to the Registrant's Quarterly Report on Form 10-Q filed with the SEC on July 31, 2019).+</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0"/>
                <w:szCs w:val="20"/>
                <w:color w:val="auto"/>
              </w:rPr>
            </w:pPr>
          </w:p>
        </w:tc>
        <w:tc>
          <w:tcPr>
            <w:tcW w:w="9920" w:type="dxa"/>
            <w:vAlign w:val="bottom"/>
            <w:gridSpan w:val="33"/>
          </w:tcPr>
          <w:p>
            <w:pPr>
              <w:spacing w:after="0"/>
              <w:rPr>
                <w:rFonts w:ascii="Arial" w:cs="Arial" w:eastAsia="Arial" w:hAnsi="Arial"/>
                <w:sz w:val="18"/>
                <w:szCs w:val="18"/>
                <w:color w:val="0000FF"/>
              </w:rPr>
            </w:pPr>
            <w:hyperlink r:id="rId158">
              <w:r>
                <w:rPr>
                  <w:rFonts w:ascii="Arial" w:cs="Arial" w:eastAsia="Arial" w:hAnsi="Arial"/>
                  <w:sz w:val="18"/>
                  <w:szCs w:val="18"/>
                  <w:color w:val="0000FF"/>
                </w:rPr>
                <w:t>Separation Agreement and General Release, between Mondelēz Global LLC and Roberto de Oliveira Marques, dated May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24, 2017 (incorporated by reference to Exhibit 10.1 to the Registrant’s Current Report on Form 8-K filed with the SEC on</w:t>
              </w:r>
            </w:hyperlink>
          </w:p>
        </w:tc>
        <w:tc>
          <w:tcPr>
            <w:tcW w:w="180" w:type="dxa"/>
            <w:vAlign w:val="bottom"/>
            <w:tcBorders>
              <w:top w:val="single" w:sz="8" w:color="0000FF"/>
            </w:tcBorders>
            <w:gridSpan w:val="6"/>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May 26,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0"/>
                <w:szCs w:val="20"/>
                <w:color w:val="auto"/>
              </w:rPr>
            </w:pPr>
          </w:p>
        </w:tc>
        <w:tc>
          <w:tcPr>
            <w:tcW w:w="9600" w:type="dxa"/>
            <w:vAlign w:val="bottom"/>
            <w:tcBorders>
              <w:bottom w:val="single" w:sz="8" w:color="0000FF"/>
            </w:tcBorders>
            <w:gridSpan w:val="24"/>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Retirement Letter, between Mondelēz International, Inc. and Irene B. Rosenfeld, effective April 30, 2018 (incorporated by</w:t>
              </w:r>
            </w:hyperlink>
          </w:p>
        </w:tc>
        <w:tc>
          <w:tcPr>
            <w:tcW w:w="320" w:type="dxa"/>
            <w:vAlign w:val="bottom"/>
            <w:gridSpan w:val="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reference to Exhibit 10.1 to the Registrant’s Current Report on Form 8-K filed with the SEC on May 4,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0"/>
                <w:szCs w:val="20"/>
                <w:color w:val="auto"/>
              </w:rPr>
            </w:pPr>
          </w:p>
        </w:tc>
        <w:tc>
          <w:tcPr>
            <w:tcW w:w="9920" w:type="dxa"/>
            <w:vAlign w:val="bottom"/>
            <w:gridSpan w:val="33"/>
          </w:tcPr>
          <w:p>
            <w:pPr>
              <w:spacing w:after="0"/>
              <w:rPr>
                <w:rFonts w:ascii="Arial" w:cs="Arial" w:eastAsia="Arial" w:hAnsi="Arial"/>
                <w:sz w:val="18"/>
                <w:szCs w:val="18"/>
                <w:color w:val="0000FF"/>
              </w:rPr>
            </w:pPr>
            <w:hyperlink r:id="rId160">
              <w:r>
                <w:rPr>
                  <w:rFonts w:ascii="Arial" w:cs="Arial" w:eastAsia="Arial" w:hAnsi="Arial"/>
                  <w:sz w:val="18"/>
                  <w:szCs w:val="18"/>
                  <w:color w:val="0000FF"/>
                </w:rPr>
                <w:t>Settlement Agreement between Mondelez Deutschland Services GmbH &amp; Co KG and Hubert Weber, dated December 14,</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2018 (incorporated by reference to Exhibit 10.53 to the Registrant's Annual Report on Form 10-K filed with the SEC on</w:t>
              </w:r>
            </w:hyperlink>
          </w:p>
        </w:tc>
        <w:tc>
          <w:tcPr>
            <w:tcW w:w="280" w:type="dxa"/>
            <w:vAlign w:val="bottom"/>
            <w:tcBorders>
              <w:top w:val="single" w:sz="8" w:color="0000FF"/>
            </w:tcBorders>
            <w:gridSpan w:val="6"/>
          </w:tcPr>
          <w:p>
            <w:pPr>
              <w:spacing w:after="0"/>
              <w:rPr>
                <w:sz w:val="15"/>
                <w:szCs w:val="15"/>
                <w:color w:val="auto"/>
              </w:rPr>
            </w:pPr>
          </w:p>
        </w:tc>
        <w:tc>
          <w:tcPr>
            <w:tcW w:w="220" w:type="dxa"/>
            <w:vAlign w:val="bottom"/>
            <w:gridSpan w:val="7"/>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February 8, 2019).</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0"/>
                <w:szCs w:val="20"/>
                <w:color w:val="auto"/>
              </w:rPr>
            </w:pPr>
          </w:p>
        </w:tc>
        <w:tc>
          <w:tcPr>
            <w:tcW w:w="9920" w:type="dxa"/>
            <w:vAlign w:val="bottom"/>
            <w:gridSpan w:val="33"/>
          </w:tcPr>
          <w:p>
            <w:pPr>
              <w:spacing w:after="0"/>
              <w:rPr>
                <w:rFonts w:ascii="Arial" w:cs="Arial" w:eastAsia="Arial" w:hAnsi="Arial"/>
                <w:sz w:val="18"/>
                <w:szCs w:val="18"/>
                <w:color w:val="0000FF"/>
              </w:rPr>
            </w:pPr>
            <w:hyperlink r:id="rId161">
              <w:r>
                <w:rPr>
                  <w:rFonts w:ascii="Arial" w:cs="Arial" w:eastAsia="Arial" w:hAnsi="Arial"/>
                  <w:sz w:val="18"/>
                  <w:szCs w:val="18"/>
                  <w:color w:val="0000FF"/>
                </w:rPr>
                <w:t>Settlement Agreement between Mondelez Europe GmbH and Hubert Weber, dated December 14, 2018 (incorporated by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reference to Exhibit 10.54 to the Registrant's Annual Report on Form 10-K filed with the SEC on February 8, 2019).</w:t>
              </w:r>
              <w:r>
                <w:rPr>
                  <w:rFonts w:ascii="Arial" w:cs="Arial" w:eastAsia="Arial" w:hAnsi="Arial"/>
                  <w:sz w:val="18"/>
                  <w:szCs w:val="18"/>
                  <w:color w:val="000000"/>
                </w:rPr>
                <w:t>+</w:t>
              </w:r>
            </w:hyperlink>
          </w:p>
        </w:tc>
        <w:tc>
          <w:tcPr>
            <w:tcW w:w="340" w:type="dxa"/>
            <w:vAlign w:val="bottom"/>
            <w:gridSpan w:val="10"/>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0"/>
                <w:szCs w:val="20"/>
                <w:color w:val="auto"/>
              </w:rPr>
            </w:pPr>
          </w:p>
        </w:tc>
        <w:tc>
          <w:tcPr>
            <w:tcW w:w="9920" w:type="dxa"/>
            <w:vAlign w:val="bottom"/>
            <w:gridSpan w:val="33"/>
          </w:tcPr>
          <w:p>
            <w:pPr>
              <w:spacing w:after="0"/>
              <w:rPr>
                <w:rFonts w:ascii="Arial" w:cs="Arial" w:eastAsia="Arial" w:hAnsi="Arial"/>
                <w:sz w:val="18"/>
                <w:szCs w:val="18"/>
                <w:color w:val="0000FF"/>
              </w:rPr>
            </w:pPr>
            <w:hyperlink r:id="rId162">
              <w:r>
                <w:rPr>
                  <w:rFonts w:ascii="Arial" w:cs="Arial" w:eastAsia="Arial" w:hAnsi="Arial"/>
                  <w:sz w:val="18"/>
                  <w:szCs w:val="18"/>
                  <w:color w:val="0000FF"/>
                </w:rPr>
                <w:t>Separation Agreement and General Release between Mondelēz Global LLC and Timothy Cofer, dated August 26, 2019</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(incorporated by reference to Exhibit 10.1 to the Registrant's Current Report on Form 8-K filed with the SEC on August 30,</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2019).</w:t>
              </w:r>
              <w:r>
                <w:rPr>
                  <w:rFonts w:ascii="Arial" w:cs="Arial" w:eastAsia="Arial" w:hAnsi="Arial"/>
                  <w:sz w:val="18"/>
                  <w:szCs w:val="18"/>
                  <w:color w:val="212529"/>
                </w:rPr>
                <w:t>+</w:t>
              </w:r>
            </w:hyperlink>
          </w:p>
        </w:tc>
        <w:tc>
          <w:tcPr>
            <w:tcW w:w="28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2340" w:type="dxa"/>
            <w:vAlign w:val="bottom"/>
            <w:tcBorders>
              <w:top w:val="single" w:sz="8" w:color="0000FF"/>
            </w:tcBorders>
          </w:tcPr>
          <w:p>
            <w:pPr>
              <w:spacing w:after="0"/>
              <w:rPr>
                <w:sz w:val="15"/>
                <w:szCs w:val="15"/>
                <w:color w:val="auto"/>
              </w:rPr>
            </w:pPr>
          </w:p>
        </w:tc>
        <w:tc>
          <w:tcPr>
            <w:tcW w:w="19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0"/>
                <w:szCs w:val="20"/>
                <w:color w:val="auto"/>
              </w:rPr>
            </w:pPr>
          </w:p>
        </w:tc>
        <w:tc>
          <w:tcPr>
            <w:tcW w:w="9920" w:type="dxa"/>
            <w:vAlign w:val="bottom"/>
            <w:gridSpan w:val="33"/>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Indemnification Agreement for Non-Employee Directors (incorporated by reference to Exhibit 10.28 to the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Registrant’s Annual Report on Form 10-K filed with the SEC on February 27, 2009).</w:t>
              </w:r>
              <w:r>
                <w:rPr>
                  <w:rFonts w:ascii="Arial" w:cs="Arial" w:eastAsia="Arial" w:hAnsi="Arial"/>
                  <w:sz w:val="18"/>
                  <w:szCs w:val="18"/>
                  <w:color w:val="000000"/>
                </w:rPr>
                <w:t>+</w:t>
              </w:r>
            </w:hyperlink>
          </w:p>
        </w:tc>
        <w:tc>
          <w:tcPr>
            <w:tcW w:w="900" w:type="dxa"/>
            <w:vAlign w:val="bottom"/>
            <w:gridSpan w:val="19"/>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20"/>
                <w:szCs w:val="20"/>
                <w:color w:val="auto"/>
              </w:rPr>
            </w:pPr>
          </w:p>
        </w:tc>
        <w:tc>
          <w:tcPr>
            <w:tcW w:w="9280" w:type="dxa"/>
            <w:vAlign w:val="bottom"/>
            <w:tcBorders>
              <w:bottom w:val="single" w:sz="8" w:color="0000FF"/>
            </w:tcBorders>
            <w:gridSpan w:val="18"/>
          </w:tcPr>
          <w:p>
            <w:pPr>
              <w:spacing w:after="0"/>
              <w:rPr>
                <w:rFonts w:ascii="Arial" w:cs="Arial" w:eastAsia="Arial" w:hAnsi="Arial"/>
                <w:sz w:val="18"/>
                <w:szCs w:val="18"/>
                <w:color w:val="0000FF"/>
                <w:w w:val="99"/>
              </w:rPr>
            </w:pPr>
            <w:hyperlink r:id="rId164">
              <w:r>
                <w:rPr>
                  <w:rFonts w:ascii="Arial" w:cs="Arial" w:eastAsia="Arial" w:hAnsi="Arial"/>
                  <w:sz w:val="18"/>
                  <w:szCs w:val="18"/>
                  <w:color w:val="0000FF"/>
                  <w:w w:val="99"/>
                </w:rPr>
                <w:t>Indemnification Agreement between the Registrant and Irene B. Rosenfeld, dated January 27, 2009 (incorporated by</w:t>
              </w:r>
            </w:hyperlink>
          </w:p>
        </w:tc>
        <w:tc>
          <w:tcPr>
            <w:tcW w:w="640" w:type="dxa"/>
            <w:vAlign w:val="bottom"/>
            <w:gridSpan w:val="1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reference to Exhibit 10.1 to the Registrant’s Current Report on Form 8-K filed with the SEC on February 2, 2009).</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0"/>
                <w:szCs w:val="20"/>
                <w:color w:val="auto"/>
              </w:rPr>
            </w:pPr>
          </w:p>
        </w:tc>
        <w:tc>
          <w:tcPr>
            <w:tcW w:w="9220" w:type="dxa"/>
            <w:vAlign w:val="bottom"/>
            <w:tcBorders>
              <w:bottom w:val="single" w:sz="8" w:color="0000FF"/>
            </w:tcBorders>
            <w:gridSpan w:val="16"/>
          </w:tcPr>
          <w:p>
            <w:pPr>
              <w:spacing w:after="0"/>
              <w:rPr>
                <w:rFonts w:ascii="Arial" w:cs="Arial" w:eastAsia="Arial" w:hAnsi="Arial"/>
                <w:sz w:val="18"/>
                <w:szCs w:val="18"/>
                <w:color w:val="0000FF"/>
                <w:w w:val="99"/>
              </w:rPr>
            </w:pPr>
            <w:hyperlink r:id="rId165">
              <w:r>
                <w:rPr>
                  <w:rFonts w:ascii="Arial" w:cs="Arial" w:eastAsia="Arial" w:hAnsi="Arial"/>
                  <w:sz w:val="18"/>
                  <w:szCs w:val="18"/>
                  <w:color w:val="0000FF"/>
                  <w:w w:val="99"/>
                </w:rPr>
                <w:t>Indemnification Agreement between the Registrant and Dirk Van de Put, dated November 20, 2017 (incorporated by</w:t>
              </w:r>
            </w:hyperlink>
          </w:p>
        </w:tc>
        <w:tc>
          <w:tcPr>
            <w:tcW w:w="700" w:type="dxa"/>
            <w:vAlign w:val="bottom"/>
            <w:gridSpan w:val="1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reference to Exhibit 10.37 to the Registrant’s Annual Report on Form 10-K filed with the SEC on February 9,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0"/>
                <w:szCs w:val="20"/>
                <w:color w:val="auto"/>
              </w:rPr>
            </w:pPr>
          </w:p>
        </w:tc>
        <w:tc>
          <w:tcPr>
            <w:tcW w:w="9880" w:type="dxa"/>
            <w:vAlign w:val="bottom"/>
            <w:tcBorders>
              <w:bottom w:val="single" w:sz="8" w:color="0000FF"/>
            </w:tcBorders>
            <w:gridSpan w:val="32"/>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Letter of PricewaterhouseCoopers LLP, dated October 29, 2018, relating to Change in Accounting Principle (incorporated by</w:t>
              </w:r>
            </w:hyperlink>
          </w:p>
        </w:tc>
        <w:tc>
          <w:tcPr>
            <w:tcW w:w="40" w:type="dxa"/>
            <w:vAlign w:val="bottom"/>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reference to Exhibit 18.1 to the Registrant’s Quarterly Report on Form 10-Q filed with the SEC on October 30, 2018).</w:t>
              </w:r>
            </w:hyperlink>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0"/>
                <w:szCs w:val="20"/>
                <w:color w:val="auto"/>
              </w:rPr>
            </w:pPr>
          </w:p>
        </w:tc>
        <w:tc>
          <w:tcPr>
            <w:tcW w:w="24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170">
              <w:r>
                <w:rPr>
                  <w:rFonts w:ascii="Arial" w:cs="Arial" w:eastAsia="Arial" w:hAnsi="Arial"/>
                  <w:sz w:val="18"/>
                  <w:szCs w:val="18"/>
                  <w:color w:val="0000FF"/>
                  <w:w w:val="99"/>
                </w:rPr>
                <w:t>Subsidiaries of the Registrant.</w:t>
              </w:r>
            </w:hyperlink>
          </w:p>
        </w:tc>
        <w:tc>
          <w:tcPr>
            <w:tcW w:w="6860" w:type="dxa"/>
            <w:vAlign w:val="bottom"/>
            <w:tcBorders>
              <w:top w:val="single" w:sz="8" w:color="0000FF"/>
            </w:tcBorders>
            <w:gridSpan w:val="13"/>
          </w:tcPr>
          <w:p>
            <w:pPr>
              <w:spacing w:after="0"/>
              <w:rPr>
                <w:sz w:val="20"/>
                <w:szCs w:val="20"/>
                <w:color w:val="auto"/>
              </w:rPr>
            </w:pPr>
          </w:p>
        </w:tc>
        <w:tc>
          <w:tcPr>
            <w:tcW w:w="660" w:type="dxa"/>
            <w:vAlign w:val="bottom"/>
            <w:gridSpan w:val="16"/>
          </w:tcPr>
          <w:p>
            <w:pPr>
              <w:spacing w:after="0"/>
              <w:rPr>
                <w:sz w:val="20"/>
                <w:szCs w:val="20"/>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0"/>
                <w:szCs w:val="20"/>
                <w:color w:val="auto"/>
              </w:rPr>
            </w:pPr>
          </w:p>
        </w:tc>
        <w:tc>
          <w:tcPr>
            <w:tcW w:w="9920" w:type="dxa"/>
            <w:vAlign w:val="bottom"/>
            <w:gridSpan w:val="33"/>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Consent of PricewaterhouseCoopers LLP, Independent Registered Public Accounting Firm.</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2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0"/>
                <w:szCs w:val="20"/>
                <w:color w:val="auto"/>
              </w:rPr>
            </w:pPr>
          </w:p>
        </w:tc>
        <w:tc>
          <w:tcPr>
            <w:tcW w:w="9860" w:type="dxa"/>
            <w:vAlign w:val="bottom"/>
            <w:tcBorders>
              <w:bottom w:val="single" w:sz="8" w:color="0000FF"/>
            </w:tcBorders>
            <w:gridSpan w:val="31"/>
          </w:tcPr>
          <w:p>
            <w:pPr>
              <w:spacing w:after="0"/>
              <w:rPr>
                <w:rFonts w:ascii="Arial" w:cs="Arial" w:eastAsia="Arial" w:hAnsi="Arial"/>
                <w:sz w:val="18"/>
                <w:szCs w:val="18"/>
                <w:color w:val="0000FF"/>
                <w:w w:val="99"/>
              </w:rPr>
            </w:pPr>
            <w:hyperlink w:anchor="page179">
              <w:r>
                <w:rPr>
                  <w:rFonts w:ascii="Arial" w:cs="Arial" w:eastAsia="Arial" w:hAnsi="Arial"/>
                  <w:sz w:val="18"/>
                  <w:szCs w:val="18"/>
                  <w:color w:val="0000FF"/>
                  <w:w w:val="99"/>
                </w:rPr>
                <w:t>Certification of the Registrant’s Chief Executive Officer pursuant to Rule 13a-14(a)/15d-14(a) of the Securities Exchange Act</w:t>
              </w:r>
            </w:hyperlink>
          </w:p>
        </w:tc>
        <w:tc>
          <w:tcPr>
            <w:tcW w:w="6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179">
              <w:r>
                <w:rPr>
                  <w:rFonts w:ascii="Arial" w:cs="Arial" w:eastAsia="Arial" w:hAnsi="Arial"/>
                  <w:sz w:val="18"/>
                  <w:szCs w:val="18"/>
                  <w:color w:val="0000FF"/>
                  <w:w w:val="99"/>
                </w:rPr>
                <w:t>of 1934, as amended, as adopted pursuant to Section 302 of the Sarbanes-Oxley Act of 2002.</w:t>
              </w:r>
            </w:hyperlink>
          </w:p>
        </w:tc>
        <w:tc>
          <w:tcPr>
            <w:tcW w:w="2440" w:type="dxa"/>
            <w:vAlign w:val="bottom"/>
            <w:gridSpan w:val="25"/>
          </w:tcPr>
          <w:p>
            <w:pPr>
              <w:spacing w:after="0"/>
              <w:rPr>
                <w:sz w:val="15"/>
                <w:szCs w:val="15"/>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9800" w:type="dxa"/>
            <w:vAlign w:val="bottom"/>
            <w:tcBorders>
              <w:bottom w:val="single" w:sz="8" w:color="0000FF"/>
            </w:tcBorders>
            <w:gridSpan w:val="30"/>
          </w:tcPr>
          <w:p>
            <w:pP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Certification of the Registrant’s Chief Financial Officer pursuant to Rule 13a-14(a)/15d-14(a) of the Securities Exchange Act</w:t>
              </w:r>
            </w:hyperlink>
          </w:p>
        </w:tc>
        <w:tc>
          <w:tcPr>
            <w:tcW w:w="120" w:type="dxa"/>
            <w:vAlign w:val="bottom"/>
            <w:gridSpan w:val="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180">
              <w:r>
                <w:rPr>
                  <w:rFonts w:ascii="Arial" w:cs="Arial" w:eastAsia="Arial" w:hAnsi="Arial"/>
                  <w:sz w:val="18"/>
                  <w:szCs w:val="18"/>
                  <w:color w:val="0000FF"/>
                  <w:w w:val="99"/>
                </w:rPr>
                <w:t>of 1934, as amended, as adopted pursuant to Section 302 of the Sarbanes-Oxley Act of 2002.</w:t>
              </w:r>
            </w:hyperlink>
          </w:p>
        </w:tc>
        <w:tc>
          <w:tcPr>
            <w:tcW w:w="2440" w:type="dxa"/>
            <w:vAlign w:val="bottom"/>
            <w:gridSpan w:val="25"/>
          </w:tcPr>
          <w:p>
            <w:pPr>
              <w:spacing w:after="0"/>
              <w:rPr>
                <w:sz w:val="15"/>
                <w:szCs w:val="15"/>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0"/>
                <w:szCs w:val="20"/>
                <w:color w:val="auto"/>
              </w:rPr>
            </w:pPr>
          </w:p>
        </w:tc>
        <w:tc>
          <w:tcPr>
            <w:tcW w:w="9800" w:type="dxa"/>
            <w:vAlign w:val="bottom"/>
            <w:tcBorders>
              <w:bottom w:val="single" w:sz="8" w:color="0000FF"/>
            </w:tcBorders>
            <w:gridSpan w:val="30"/>
          </w:tcPr>
          <w:p>
            <w:pP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Certifications of the Registrant’s Chief Executive Officer and Chief Financial Officer pursuant to 18 U.S.C. 1350, as adopted</w:t>
              </w:r>
            </w:hyperlink>
          </w:p>
        </w:tc>
        <w:tc>
          <w:tcPr>
            <w:tcW w:w="120" w:type="dxa"/>
            <w:vAlign w:val="bottom"/>
            <w:gridSpan w:val="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3"/>
          </w:tcPr>
          <w:p>
            <w:pPr>
              <w:spacing w:after="0" w:line="182" w:lineRule="exact"/>
              <w:rPr>
                <w:rFonts w:ascii="Arial" w:cs="Arial" w:eastAsia="Arial" w:hAnsi="Arial"/>
                <w:sz w:val="18"/>
                <w:szCs w:val="18"/>
                <w:color w:val="0000FF"/>
              </w:rPr>
            </w:pPr>
            <w:hyperlink w:anchor="page181">
              <w:r>
                <w:rPr>
                  <w:rFonts w:ascii="Arial" w:cs="Arial" w:eastAsia="Arial" w:hAnsi="Arial"/>
                  <w:sz w:val="18"/>
                  <w:szCs w:val="18"/>
                  <w:color w:val="0000FF"/>
                </w:rPr>
                <w:t>pursuant to Section 906 of the Sarbanes-Oxley Act of 2002.</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7" w:lineRule="exact"/>
        <w:rPr>
          <w:sz w:val="20"/>
          <w:szCs w:val="20"/>
          <w:color w:val="auto"/>
        </w:rPr>
      </w:pPr>
    </w:p>
    <w:p>
      <w:pPr>
        <w:ind w:left="1420" w:right="160" w:hanging="1010"/>
        <w:spacing w:after="0" w:line="257" w:lineRule="auto"/>
        <w:tabs>
          <w:tab w:leader="none" w:pos="1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following materials from Mondelēz International’s Annual Report on Form 10-K for the fiscal year ended December 31, 2019, formatted in iXBRL (Inline eXtensible Business Reporting Language): (i) the Consolidated Statements of Earnings, (ii) the Consolidated Statements of Comprehensive Earnings, (iii) the Consolidated Balance Sheets, (iv) the Consolidated Statements of Equity, (v) the Consolidated Statements of Cash Flows and (vi) Notes to Consolidated Financial Statements.</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108" w:right="3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1420" w:right="220" w:hanging="1023"/>
        <w:spacing w:after="0" w:line="24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212529"/>
        </w:rPr>
        <w:t>The cover page from Mondel</w:t>
      </w:r>
      <w:r>
        <w:rPr>
          <w:rFonts w:ascii="Arial" w:cs="Arial" w:eastAsia="Arial" w:hAnsi="Arial"/>
          <w:sz w:val="18"/>
          <w:szCs w:val="18"/>
          <w:color w:val="000000"/>
        </w:rPr>
        <w:t>ē</w:t>
      </w:r>
      <w:r>
        <w:rPr>
          <w:rFonts w:ascii="Arial" w:cs="Arial" w:eastAsia="Arial" w:hAnsi="Arial"/>
          <w:sz w:val="18"/>
          <w:szCs w:val="18"/>
          <w:color w:val="212529"/>
        </w:rPr>
        <w:t>z International’s Annual Report on Form 10-K for the fiscal year ended December 31, 2019, formatted in Inline XBRL (included as Exhibit 101).</w:t>
      </w:r>
    </w:p>
    <w:p>
      <w:pPr>
        <w:spacing w:after="0" w:line="170" w:lineRule="exact"/>
        <w:rPr>
          <w:sz w:val="20"/>
          <w:szCs w:val="20"/>
          <w:color w:val="auto"/>
        </w:rPr>
      </w:pPr>
    </w:p>
    <w:p>
      <w:pPr>
        <w:ind w:left="1980" w:hanging="567"/>
        <w:spacing w:after="0" w:line="246"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35" w:lineRule="exact"/>
        <w:rPr>
          <w:sz w:val="20"/>
          <w:szCs w:val="20"/>
          <w:color w:val="auto"/>
        </w:rPr>
      </w:pPr>
    </w:p>
    <w:p>
      <w:pPr>
        <w:ind w:left="1980" w:hanging="567"/>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00"/>
          </w:cols>
          <w:pgMar w:left="240" w:top="140" w:right="3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04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14605</wp:posOffset>
            </wp:positionV>
            <wp:extent cx="2881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Luca Zaramella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(Duly Authorized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2020</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p>
      <w:pPr>
        <w:ind w:left="2120"/>
        <w:spacing w:after="0"/>
        <w:tabs>
          <w:tab w:leader="none" w:pos="7100" w:val="left"/>
          <w:tab w:leader="none" w:pos="10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360"/>
          </w:cols>
          <w:pgMar w:left="240" w:top="140" w:right="29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w w:val="98"/>
              </w:rPr>
              <w:t>DIRK VAN DE PUT</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(Dirk Van de Put)</w:t>
            </w:r>
          </w:p>
        </w:tc>
      </w:tr>
      <w:tr>
        <w:trPr>
          <w:trHeight w:val="303"/>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LUCA ZARAMELLA</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(Luca Zaramella)</w:t>
            </w:r>
          </w:p>
        </w:tc>
      </w:tr>
      <w:tr>
        <w:trPr>
          <w:trHeight w:val="370"/>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8"/>
              </w:rPr>
              <w:t>NELSON URDANETA</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(Nelson Urdaneta)</w:t>
            </w:r>
          </w:p>
        </w:tc>
      </w:tr>
      <w:tr>
        <w:trPr>
          <w:trHeight w:val="370"/>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LEWIS W.K. BOOTH</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(Lewis W.K. Booth)</w:t>
            </w:r>
          </w:p>
        </w:tc>
      </w:tr>
      <w:tr>
        <w:trPr>
          <w:trHeight w:val="303"/>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CHARLES E. BUNCH</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(Charles E. Bunch)</w:t>
            </w:r>
          </w:p>
        </w:tc>
      </w:tr>
      <w:tr>
        <w:trPr>
          <w:trHeight w:val="316"/>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DEBRA A. CREW</w:t>
            </w:r>
          </w:p>
        </w:tc>
      </w:tr>
      <w:tr>
        <w:trPr>
          <w:trHeight w:val="245"/>
        </w:trPr>
        <w:tc>
          <w:tcPr>
            <w:tcW w:w="1740" w:type="dxa"/>
            <w:vAlign w:val="bottom"/>
          </w:tcPr>
          <w:p>
            <w:pPr>
              <w:spacing w:after="0"/>
              <w:rPr>
                <w:sz w:val="21"/>
                <w:szCs w:val="21"/>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(Debra A. Crew)</w:t>
            </w:r>
          </w:p>
        </w:tc>
      </w:tr>
      <w:tr>
        <w:trPr>
          <w:trHeight w:val="262"/>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w w:val="99"/>
              </w:rPr>
              <w:t>LOIS D. JULIBER</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(Lois D. Juliber)</w:t>
            </w:r>
          </w:p>
        </w:tc>
      </w:tr>
      <w:tr>
        <w:trPr>
          <w:trHeight w:val="303"/>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rPr>
              <w:t>MARK D. KETCHUM</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(Mark D. Ketchum)</w:t>
            </w:r>
          </w:p>
        </w:tc>
      </w:tr>
      <w:tr>
        <w:trPr>
          <w:trHeight w:val="316"/>
        </w:trPr>
        <w:tc>
          <w:tcPr>
            <w:tcW w:w="4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PETER W. MAY</w:t>
            </w:r>
          </w:p>
        </w:tc>
      </w:tr>
      <w:tr>
        <w:trPr>
          <w:trHeight w:val="245"/>
        </w:trPr>
        <w:tc>
          <w:tcPr>
            <w:tcW w:w="1740" w:type="dxa"/>
            <w:vAlign w:val="bottom"/>
          </w:tcPr>
          <w:p>
            <w:pPr>
              <w:spacing w:after="0"/>
              <w:rPr>
                <w:sz w:val="21"/>
                <w:szCs w:val="21"/>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(Peter W. May)</w:t>
            </w:r>
          </w:p>
        </w:tc>
      </w:tr>
      <w:tr>
        <w:trPr>
          <w:trHeight w:val="262"/>
        </w:trPr>
        <w:tc>
          <w:tcPr>
            <w:tcW w:w="17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w w:val="99"/>
              </w:rPr>
              <w:t>JORGE S. MESQUITA</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(Jorge S. Mesquita)</w:t>
            </w:r>
          </w:p>
        </w:tc>
      </w:tr>
      <w:tr>
        <w:trPr>
          <w:trHeight w:val="303"/>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rPr>
              <w:t>JOSEPH NEUBAUER</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(Joseph Neubauer)</w:t>
            </w:r>
          </w:p>
        </w:tc>
      </w:tr>
    </w:tbl>
    <w:p>
      <w:pPr>
        <w:spacing w:after="0" w:line="79" w:lineRule="exact"/>
        <w:rPr>
          <w:sz w:val="20"/>
          <w:szCs w:val="20"/>
          <w:color w:val="auto"/>
        </w:rPr>
      </w:pPr>
    </w:p>
    <w:p>
      <w:pPr>
        <w:jc w:val="center"/>
        <w:ind w:left="1220"/>
        <w:spacing w:after="0"/>
        <w:tabs>
          <w:tab w:leader="none" w:pos="180" w:val="left"/>
        </w:tabs>
        <w:rPr>
          <w:sz w:val="20"/>
          <w:szCs w:val="20"/>
          <w:color w:val="auto"/>
        </w:rPr>
      </w:pPr>
      <w:r>
        <w:rPr>
          <w:rFonts w:ascii="Arial" w:cs="Arial" w:eastAsia="Arial" w:hAnsi="Arial"/>
          <w:sz w:val="18"/>
          <w:szCs w:val="18"/>
          <w:color w:val="auto"/>
        </w:rPr>
        <w:t>/s/</w:t>
        <w:tab/>
        <w:t>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(Fredric G. Reynolds)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CHRISTIANA S. SHI</w:t>
            </w:r>
          </w:p>
        </w:tc>
      </w:tr>
      <w:tr>
        <w:trPr>
          <w:trHeight w:val="204"/>
        </w:trPr>
        <w:tc>
          <w:tcPr>
            <w:tcW w:w="1680" w:type="dxa"/>
            <w:vAlign w:val="bottom"/>
          </w:tcPr>
          <w:p>
            <w:pPr>
              <w:spacing w:after="0"/>
              <w:rPr>
                <w:sz w:val="17"/>
                <w:szCs w:val="17"/>
                <w:color w:val="auto"/>
              </w:rPr>
            </w:pPr>
          </w:p>
        </w:tc>
        <w:tc>
          <w:tcPr>
            <w:tcW w:w="3240" w:type="dxa"/>
            <w:vAlign w:val="bottom"/>
          </w:tcPr>
          <w:p>
            <w:pPr>
              <w:ind w:left="160"/>
              <w:spacing w:after="0"/>
              <w:rPr>
                <w:sz w:val="20"/>
                <w:szCs w:val="20"/>
                <w:color w:val="auto"/>
              </w:rPr>
            </w:pPr>
            <w:r>
              <w:rPr>
                <w:rFonts w:ascii="Arial" w:cs="Arial" w:eastAsia="Arial" w:hAnsi="Arial"/>
                <w:sz w:val="14"/>
                <w:szCs w:val="14"/>
                <w:b w:val="1"/>
                <w:bCs w:val="1"/>
                <w:color w:val="auto"/>
              </w:rPr>
              <w:t>(Christiana S. Shi)</w:t>
            </w:r>
          </w:p>
        </w:tc>
      </w:tr>
      <w:tr>
        <w:trPr>
          <w:trHeight w:val="303"/>
        </w:trPr>
        <w:tc>
          <w:tcPr>
            <w:tcW w:w="16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PATRICK T. SIEWERT</w:t>
            </w:r>
          </w:p>
        </w:tc>
      </w:tr>
      <w:tr>
        <w:trPr>
          <w:trHeight w:val="204"/>
        </w:trPr>
        <w:tc>
          <w:tcPr>
            <w:tcW w:w="1680" w:type="dxa"/>
            <w:vAlign w:val="bottom"/>
          </w:tcPr>
          <w:p>
            <w:pPr>
              <w:spacing w:after="0"/>
              <w:rPr>
                <w:sz w:val="17"/>
                <w:szCs w:val="17"/>
                <w:color w:val="auto"/>
              </w:rPr>
            </w:pPr>
          </w:p>
        </w:tc>
        <w:tc>
          <w:tcPr>
            <w:tcW w:w="3240" w:type="dxa"/>
            <w:vAlign w:val="bottom"/>
          </w:tcPr>
          <w:p>
            <w:pPr>
              <w:ind w:left="140"/>
              <w:spacing w:after="0"/>
              <w:rPr>
                <w:sz w:val="20"/>
                <w:szCs w:val="20"/>
                <w:color w:val="auto"/>
              </w:rPr>
            </w:pPr>
            <w:r>
              <w:rPr>
                <w:rFonts w:ascii="Arial" w:cs="Arial" w:eastAsia="Arial" w:hAnsi="Arial"/>
                <w:sz w:val="14"/>
                <w:szCs w:val="14"/>
                <w:b w:val="1"/>
                <w:bCs w:val="1"/>
                <w:color w:val="auto"/>
              </w:rPr>
              <w:t>(Patrick T. Siewert)</w:t>
            </w: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JEAN-FRANÇOIS M. L. VAN BOXMEER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(Jean-François M. L. van Boxmeer)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460" w:type="dxa"/>
            <w:vAlign w:val="bottom"/>
            <w:vMerge w:val="restart"/>
          </w:tcPr>
          <w:p>
            <w:pPr>
              <w:spacing w:after="0"/>
              <w:rPr>
                <w:sz w:val="20"/>
                <w:szCs w:val="20"/>
                <w:color w:val="auto"/>
              </w:rPr>
            </w:pPr>
            <w:r>
              <w:rPr>
                <w:rFonts w:ascii="Arial" w:cs="Arial" w:eastAsia="Arial" w:hAnsi="Arial"/>
                <w:sz w:val="18"/>
                <w:szCs w:val="18"/>
                <w:color w:val="auto"/>
              </w:rPr>
              <w:t>Director, Chairman and</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3"/>
        </w:trPr>
        <w:tc>
          <w:tcPr>
            <w:tcW w:w="346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vMerge w:val="restart"/>
          </w:tcPr>
          <w:p>
            <w:pPr>
              <w:spacing w:after="0"/>
              <w:rPr>
                <w:sz w:val="20"/>
                <w:szCs w:val="20"/>
                <w:color w:val="auto"/>
              </w:rPr>
            </w:pPr>
            <w:r>
              <w:rPr>
                <w:rFonts w:ascii="Arial" w:cs="Arial" w:eastAsia="Arial" w:hAnsi="Arial"/>
                <w:sz w:val="18"/>
                <w:szCs w:val="18"/>
                <w:color w:val="auto"/>
              </w:rPr>
              <w:t>Executive Vice President and</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3"/>
        </w:trPr>
        <w:tc>
          <w:tcPr>
            <w:tcW w:w="346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0"/>
                <w:szCs w:val="20"/>
                <w:color w:val="auto"/>
              </w:rPr>
            </w:pPr>
            <w:r>
              <w:rPr>
                <w:rFonts w:ascii="Arial" w:cs="Arial" w:eastAsia="Arial" w:hAnsi="Arial"/>
                <w:sz w:val="18"/>
                <w:szCs w:val="18"/>
                <w:color w:val="auto"/>
              </w:rPr>
              <w:t>Senior Vice President,</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Corporate Controller and</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40"/>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40"/>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7, 2020</w:t>
            </w:r>
          </w:p>
        </w:tc>
        <w:tc>
          <w:tcPr>
            <w:tcW w:w="0" w:type="dxa"/>
            <w:vAlign w:val="bottom"/>
          </w:tcPr>
          <w:p>
            <w:pPr>
              <w:spacing w:after="0"/>
              <w:rPr>
                <w:sz w:val="1"/>
                <w:szCs w:val="1"/>
                <w:color w:val="auto"/>
              </w:rPr>
            </w:pPr>
          </w:p>
        </w:tc>
      </w:tr>
    </w:tbl>
    <w:p>
      <w:pPr>
        <w:spacing w:after="0" w:line="401" w:lineRule="exact"/>
        <w:rPr>
          <w:sz w:val="20"/>
          <w:szCs w:val="20"/>
          <w:color w:val="auto"/>
        </w:rPr>
      </w:pPr>
    </w:p>
    <w:p>
      <w:pPr>
        <w:sectPr>
          <w:pgSz w:w="11900" w:h="16838" w:orient="portrait"/>
          <w:cols w:equalWidth="0" w:num="2">
            <w:col w:w="4920" w:space="480"/>
            <w:col w:w="5960"/>
          </w:cols>
          <w:pgMar w:left="240" w:top="140" w:right="299" w:bottom="1440" w:gutter="0" w:footer="0" w:header="0"/>
          <w:type w:val="continuous"/>
        </w:sect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360"/>
          </w:cols>
          <w:pgMar w:left="240" w:top="140" w:right="29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gridSpan w:val="2"/>
          </w:tcPr>
          <w:p>
            <w:pPr>
              <w:ind w:left="2180"/>
              <w:spacing w:after="0"/>
              <w:rPr>
                <w:sz w:val="20"/>
                <w:szCs w:val="20"/>
                <w:color w:val="auto"/>
              </w:rPr>
            </w:pPr>
            <w:r>
              <w:rPr>
                <w:rFonts w:ascii="Arial" w:cs="Arial" w:eastAsia="Arial" w:hAnsi="Arial"/>
                <w:sz w:val="14"/>
                <w:szCs w:val="14"/>
                <w:b w:val="1"/>
                <w:bCs w:val="1"/>
                <w:color w:val="auto"/>
              </w:rPr>
              <w:t>Col. A</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Col. B</w:t>
            </w:r>
          </w:p>
        </w:tc>
        <w:tc>
          <w:tcPr>
            <w:tcW w:w="140" w:type="dxa"/>
            <w:vAlign w:val="bottom"/>
          </w:tcPr>
          <w:p>
            <w:pPr>
              <w:spacing w:after="0"/>
              <w:rPr>
                <w:sz w:val="17"/>
                <w:szCs w:val="17"/>
                <w:color w:val="auto"/>
              </w:rPr>
            </w:pPr>
          </w:p>
        </w:tc>
        <w:tc>
          <w:tcPr>
            <w:tcW w:w="1540" w:type="dxa"/>
            <w:vAlign w:val="bottom"/>
            <w:gridSpan w:val="3"/>
          </w:tcPr>
          <w:p>
            <w:pPr>
              <w:jc w:val="center"/>
              <w:ind w:left="753"/>
              <w:spacing w:after="0"/>
              <w:rPr>
                <w:sz w:val="20"/>
                <w:szCs w:val="20"/>
                <w:color w:val="auto"/>
              </w:rPr>
            </w:pPr>
            <w:r>
              <w:rPr>
                <w:rFonts w:ascii="Arial" w:cs="Arial" w:eastAsia="Arial" w:hAnsi="Arial"/>
                <w:sz w:val="14"/>
                <w:szCs w:val="14"/>
                <w:b w:val="1"/>
                <w:bCs w:val="1"/>
                <w:color w:val="auto"/>
              </w:rPr>
              <w:t>Col. C</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Col. D</w:t>
            </w:r>
          </w:p>
        </w:tc>
        <w:tc>
          <w:tcPr>
            <w:tcW w:w="260" w:type="dxa"/>
            <w:vAlign w:val="bottom"/>
          </w:tcPr>
          <w:p>
            <w:pPr>
              <w:spacing w:after="0"/>
              <w:rPr>
                <w:sz w:val="17"/>
                <w:szCs w:val="17"/>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Col. E</w:t>
            </w:r>
          </w:p>
        </w:tc>
      </w:tr>
      <w:tr>
        <w:trPr>
          <w:trHeight w:val="250"/>
        </w:trPr>
        <w:tc>
          <w:tcPr>
            <w:tcW w:w="4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center"/>
              <w:ind w:left="753"/>
              <w:spacing w:after="0"/>
              <w:rPr>
                <w:sz w:val="20"/>
                <w:szCs w:val="20"/>
                <w:color w:val="auto"/>
              </w:rPr>
            </w:pPr>
            <w:r>
              <w:rPr>
                <w:rFonts w:ascii="Arial" w:cs="Arial" w:eastAsia="Arial" w:hAnsi="Arial"/>
                <w:sz w:val="14"/>
                <w:szCs w:val="14"/>
                <w:b w:val="1"/>
                <w:bCs w:val="1"/>
                <w:color w:val="auto"/>
              </w:rPr>
              <w:t>Additions</w:t>
            </w:r>
          </w:p>
        </w:tc>
        <w:tc>
          <w:tcPr>
            <w:tcW w:w="9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Beginning</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Charged to Costs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Charged to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47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and Expenses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Period</w:t>
            </w:r>
          </w:p>
        </w:tc>
      </w:tr>
      <w:tr>
        <w:trPr>
          <w:trHeight w:val="250"/>
        </w:trPr>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0"/>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deferred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r>
      <w:tr>
        <w:trPr>
          <w:trHeight w:val="290"/>
        </w:trPr>
        <w:tc>
          <w:tcPr>
            <w:tcW w:w="4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1,336</w:t>
            </w:r>
          </w:p>
        </w:tc>
      </w:tr>
      <w:tr>
        <w:trPr>
          <w:trHeight w:val="237"/>
        </w:trPr>
        <w:tc>
          <w:tcPr>
            <w:tcW w:w="47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7"/>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0"/>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deferred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r>
      <w:tr>
        <w:trPr>
          <w:trHeight w:val="290"/>
        </w:trPr>
        <w:tc>
          <w:tcPr>
            <w:tcW w:w="4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1,264</w:t>
            </w:r>
          </w:p>
        </w:tc>
      </w:tr>
      <w:tr>
        <w:trPr>
          <w:trHeight w:val="237"/>
        </w:trPr>
        <w:tc>
          <w:tcPr>
            <w:tcW w:w="47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7"/>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0"/>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deferred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r>
      <w:tr>
        <w:trPr>
          <w:trHeight w:val="250"/>
        </w:trPr>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1,022</w:t>
            </w: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Primarily related to divestitures, acquisitions and currency translation.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charges for which allowances were created.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14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2.8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309" w:lineRule="auto"/>
        <w:rPr>
          <w:sz w:val="20"/>
          <w:szCs w:val="20"/>
          <w:color w:val="auto"/>
        </w:rPr>
      </w:pPr>
      <w:r>
        <w:rPr>
          <w:rFonts w:ascii="Arial" w:cs="Arial" w:eastAsia="Arial" w:hAnsi="Arial"/>
          <w:sz w:val="20"/>
          <w:szCs w:val="20"/>
          <w:b w:val="1"/>
          <w:bCs w:val="1"/>
          <w:u w:val="single" w:color="auto"/>
          <w:color w:val="auto"/>
        </w:rPr>
        <w:t>FOURTH AMENDMENT TO THE MASTER OWNERSHIP AND LICENSE AGREEMENT REGARDING TRADEMARKS AND RELATED INTELLECTUAL PROPERTY</w:t>
      </w:r>
    </w:p>
    <w:p>
      <w:pPr>
        <w:spacing w:after="0" w:line="130" w:lineRule="exact"/>
        <w:rPr>
          <w:sz w:val="20"/>
          <w:szCs w:val="20"/>
          <w:color w:val="auto"/>
        </w:rPr>
      </w:pPr>
    </w:p>
    <w:p>
      <w:pPr>
        <w:ind w:right="520"/>
        <w:spacing w:after="0" w:line="288" w:lineRule="auto"/>
        <w:rPr>
          <w:sz w:val="20"/>
          <w:szCs w:val="20"/>
          <w:color w:val="auto"/>
        </w:rPr>
      </w:pPr>
      <w:r>
        <w:rPr>
          <w:rFonts w:ascii="Arial" w:cs="Arial" w:eastAsia="Arial" w:hAnsi="Arial"/>
          <w:sz w:val="20"/>
          <w:szCs w:val="20"/>
          <w:color w:val="auto"/>
        </w:rPr>
        <w:t xml:space="preserve">This Fourth Amendment to the Master Ownership and License Agreement regarding Trademarks and Related Intellectual Property (the </w:t>
      </w:r>
      <w:r>
        <w:rPr>
          <w:rFonts w:ascii="Arial" w:cs="Arial" w:eastAsia="Arial" w:hAnsi="Arial"/>
          <w:sz w:val="20"/>
          <w:szCs w:val="20"/>
          <w:b w:val="1"/>
          <w:bCs w:val="1"/>
          <w:color w:val="auto"/>
        </w:rPr>
        <w:t>“Amendment”</w:t>
      </w:r>
      <w:r>
        <w:rPr>
          <w:rFonts w:ascii="Arial" w:cs="Arial" w:eastAsia="Arial" w:hAnsi="Arial"/>
          <w:sz w:val="20"/>
          <w:szCs w:val="20"/>
          <w:color w:val="auto"/>
        </w:rPr>
        <w:t>) is effective as of September 28, 2018 (“Amendment Effective Date”) by and between Kraft Foods Group Brands LLC, 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limited liability company (“</w:t>
      </w:r>
      <w:r>
        <w:rPr>
          <w:rFonts w:ascii="Arial" w:cs="Arial" w:eastAsia="Arial" w:hAnsi="Arial"/>
          <w:sz w:val="20"/>
          <w:szCs w:val="20"/>
          <w:b w:val="1"/>
          <w:bCs w:val="1"/>
          <w:color w:val="auto"/>
        </w:rPr>
        <w:t>GroceryCo IPCo”)</w:t>
      </w:r>
      <w:r>
        <w:rPr>
          <w:rFonts w:ascii="Arial" w:cs="Arial" w:eastAsia="Arial" w:hAnsi="Arial"/>
          <w:sz w:val="20"/>
          <w:szCs w:val="20"/>
          <w:color w:val="auto"/>
        </w:rPr>
        <w:t>, and Intercontinental Great Brands LLC, a Delaware limited liability company (“</w:t>
      </w:r>
      <w:r>
        <w:rPr>
          <w:rFonts w:ascii="Arial" w:cs="Arial" w:eastAsia="Arial" w:hAnsi="Arial"/>
          <w:sz w:val="20"/>
          <w:szCs w:val="20"/>
          <w:b w:val="1"/>
          <w:bCs w:val="1"/>
          <w:color w:val="auto"/>
        </w:rPr>
        <w:t>SnackCo IPCo”</w:t>
      </w:r>
      <w:r>
        <w:rPr>
          <w:rFonts w:ascii="Arial" w:cs="Arial" w:eastAsia="Arial" w:hAnsi="Arial"/>
          <w:sz w:val="20"/>
          <w:szCs w:val="20"/>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Background</w:t>
      </w:r>
    </w:p>
    <w:p>
      <w:pPr>
        <w:spacing w:after="0" w:line="222" w:lineRule="exact"/>
        <w:rPr>
          <w:sz w:val="20"/>
          <w:szCs w:val="20"/>
          <w:color w:val="auto"/>
        </w:rPr>
      </w:pPr>
    </w:p>
    <w:p>
      <w:pPr>
        <w:ind w:right="380"/>
        <w:spacing w:after="0" w:line="292" w:lineRule="auto"/>
        <w:rPr>
          <w:sz w:val="20"/>
          <w:szCs w:val="20"/>
          <w:color w:val="auto"/>
        </w:rPr>
      </w:pPr>
      <w:r>
        <w:rPr>
          <w:rFonts w:ascii="Arial" w:cs="Arial" w:eastAsia="Arial" w:hAnsi="Arial"/>
          <w:sz w:val="20"/>
          <w:szCs w:val="20"/>
          <w:color w:val="auto"/>
        </w:rPr>
        <w:t xml:space="preserve">GroceryCo IPCo and SnackCo IPCo are parties to the Master Ownership and License Agreement Regarding Trademarks and Related Intellectual Property dated September 27, 2012 (as amended) (referred to herein as the </w:t>
      </w:r>
      <w:r>
        <w:rPr>
          <w:rFonts w:ascii="Arial" w:cs="Arial" w:eastAsia="Arial" w:hAnsi="Arial"/>
          <w:sz w:val="20"/>
          <w:szCs w:val="20"/>
          <w:b w:val="1"/>
          <w:bCs w:val="1"/>
          <w:color w:val="auto"/>
        </w:rPr>
        <w:t>“Agreement”</w:t>
      </w:r>
      <w:r>
        <w:rPr>
          <w:rFonts w:ascii="Arial" w:cs="Arial" w:eastAsia="Arial" w:hAnsi="Arial"/>
          <w:sz w:val="20"/>
          <w:szCs w:val="20"/>
          <w:color w:val="auto"/>
        </w:rPr>
        <w:t>). The parties now wish to enter into a further amendment of the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of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parties agree as follows:</w:t>
      </w:r>
    </w:p>
    <w:p>
      <w:pPr>
        <w:spacing w:after="0" w:line="210"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w:t>
      </w:r>
    </w:p>
    <w:p>
      <w:pPr>
        <w:spacing w:after="0" w:line="46"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18"/>
          <w:szCs w:val="18"/>
          <w:color w:val="auto"/>
        </w:rPr>
        <w:t>1.1. Section 3.2(e)(i) is hereby deleted in its entirety and replaced with the new Section 3.2(e)(i) as set forth on the attached Exhibit A.</w:t>
      </w:r>
    </w:p>
    <w:p>
      <w:pPr>
        <w:spacing w:after="0" w:line="333"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18"/>
          <w:szCs w:val="18"/>
          <w:color w:val="auto"/>
        </w:rPr>
        <w:t>1.2. Section 3.2(e)(ii) is hereby deleted in its entirety and replaced with the new Section 3.2(e)(ii) as set forth on the attached Exhibit A.</w:t>
      </w:r>
    </w:p>
    <w:p>
      <w:pPr>
        <w:spacing w:after="0" w:line="333"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19"/>
          <w:szCs w:val="19"/>
          <w:color w:val="auto"/>
        </w:rPr>
        <w:t>1.3. Section 3.6(b) is hereby deleted in its entirety and replaced with the new Section 3.6(b) as set forth on the attached Exhibit A.</w:t>
      </w:r>
    </w:p>
    <w:p>
      <w:pPr>
        <w:spacing w:after="0" w:line="315" w:lineRule="exact"/>
        <w:rPr>
          <w:rFonts w:ascii="Arial" w:cs="Arial" w:eastAsia="Arial" w:hAnsi="Arial"/>
          <w:sz w:val="20"/>
          <w:szCs w:val="20"/>
          <w:b w:val="1"/>
          <w:bCs w:val="1"/>
          <w:color w:val="auto"/>
        </w:rPr>
      </w:pPr>
    </w:p>
    <w:p>
      <w:pPr>
        <w:ind w:left="340" w:hanging="332"/>
        <w:spacing w:after="0"/>
        <w:tabs>
          <w:tab w:leader="none" w:pos="34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40" w:lineRule="exact"/>
        <w:rPr>
          <w:rFonts w:ascii="Arial" w:cs="Arial" w:eastAsia="Arial" w:hAnsi="Arial"/>
          <w:sz w:val="20"/>
          <w:szCs w:val="20"/>
          <w:b w:val="1"/>
          <w:bCs w:val="1"/>
          <w:color w:val="auto"/>
        </w:rPr>
      </w:pPr>
    </w:p>
    <w:p>
      <w:pPr>
        <w:ind w:left="720" w:right="420" w:hanging="392"/>
        <w:spacing w:after="0" w:line="309" w:lineRule="auto"/>
        <w:rPr>
          <w:rFonts w:ascii="Arial" w:cs="Arial" w:eastAsia="Arial" w:hAnsi="Arial"/>
          <w:sz w:val="20"/>
          <w:szCs w:val="20"/>
          <w:b w:val="1"/>
          <w:bCs w:val="1"/>
          <w:color w:val="auto"/>
        </w:rPr>
      </w:pPr>
      <w:r>
        <w:rPr>
          <w:rFonts w:ascii="Arial" w:cs="Arial" w:eastAsia="Arial" w:hAnsi="Arial"/>
          <w:sz w:val="20"/>
          <w:szCs w:val="20"/>
          <w:color w:val="auto"/>
        </w:rPr>
        <w:t xml:space="preserve">2.1. </w:t>
      </w:r>
      <w:r>
        <w:rPr>
          <w:rFonts w:ascii="Arial" w:cs="Arial" w:eastAsia="Arial" w:hAnsi="Arial"/>
          <w:sz w:val="20"/>
          <w:szCs w:val="20"/>
          <w:b w:val="1"/>
          <w:bCs w:val="1"/>
          <w:color w:val="auto"/>
        </w:rPr>
        <w:t>Full Force and Effect.</w:t>
      </w:r>
      <w:r>
        <w:rPr>
          <w:rFonts w:ascii="Arial" w:cs="Arial" w:eastAsia="Arial" w:hAnsi="Arial"/>
          <w:sz w:val="20"/>
          <w:szCs w:val="20"/>
          <w:color w:val="auto"/>
        </w:rPr>
        <w:t xml:space="preserve"> Except as expressly provided in this Amendment, the Agreement remains unchanged and in full force and effect.</w:t>
      </w:r>
    </w:p>
    <w:p>
      <w:pPr>
        <w:spacing w:after="0" w:line="191"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Counterparts.</w:t>
      </w:r>
      <w:r>
        <w:rPr>
          <w:rFonts w:ascii="Arial" w:cs="Arial" w:eastAsia="Arial" w:hAnsi="Arial"/>
          <w:sz w:val="20"/>
          <w:szCs w:val="20"/>
          <w:color w:val="auto"/>
        </w:rPr>
        <w:t xml:space="preserve"> This Amendment may be executed in counterparts. Facsimile signatures are binding.</w:t>
      </w:r>
    </w:p>
    <w:p>
      <w:pPr>
        <w:sectPr>
          <w:pgSz w:w="11900" w:h="16838" w:orient="portrait"/>
          <w:cols w:equalWidth="0" w:num="1">
            <w:col w:w="11420"/>
          </w:cols>
          <w:pgMar w:left="240" w:top="360" w:right="239" w:bottom="1440" w:gutter="0" w:footer="0" w:header="0"/>
        </w:sectPr>
      </w:pPr>
    </w:p>
    <w:bookmarkStart w:id="137" w:name="page138"/>
    <w:bookmarkEnd w:id="137"/>
    <w:p>
      <w:pPr>
        <w:spacing w:after="0" w:line="260" w:lineRule="auto"/>
        <w:rPr>
          <w:sz w:val="20"/>
          <w:szCs w:val="20"/>
          <w:color w:val="auto"/>
        </w:rPr>
      </w:pPr>
      <w:r>
        <w:rPr>
          <w:rFonts w:ascii="Arial" w:cs="Arial" w:eastAsia="Arial" w:hAnsi="Arial"/>
          <w:sz w:val="20"/>
          <w:szCs w:val="20"/>
          <w:color w:val="auto"/>
        </w:rPr>
        <w:t>Notwithstanding the date that this Amendment is fully executed by the parties, the parties confirm the effective date of this Amendment is noted above in the first paragraph.</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executed this Amendment as of the dates noted below.</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20"/>
                <w:szCs w:val="20"/>
                <w:color w:val="auto"/>
              </w:rPr>
              <w:t>KRAFT FOODS GROUP BRANDS LLC</w:t>
            </w:r>
          </w:p>
        </w:tc>
        <w:tc>
          <w:tcPr>
            <w:tcW w:w="5120" w:type="dxa"/>
            <w:vAlign w:val="bottom"/>
          </w:tcPr>
          <w:p>
            <w:pPr>
              <w:ind w:left="1180"/>
              <w:spacing w:after="0"/>
              <w:rPr>
                <w:sz w:val="20"/>
                <w:szCs w:val="20"/>
                <w:color w:val="auto"/>
              </w:rPr>
            </w:pPr>
            <w:r>
              <w:rPr>
                <w:rFonts w:ascii="Arial" w:cs="Arial" w:eastAsia="Arial" w:hAnsi="Arial"/>
                <w:sz w:val="20"/>
                <w:szCs w:val="20"/>
                <w:color w:val="auto"/>
                <w:w w:val="96"/>
              </w:rPr>
              <w:t>INTERCONTINENTAL GREAT BRANDS LLC</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5120" w:type="dxa"/>
            <w:vAlign w:val="bottom"/>
          </w:tcPr>
          <w:p>
            <w:pPr>
              <w:ind w:left="1180"/>
              <w:spacing w:after="0"/>
              <w:rPr>
                <w:sz w:val="20"/>
                <w:szCs w:val="20"/>
                <w:color w:val="auto"/>
              </w:rPr>
            </w:pPr>
            <w:r>
              <w:rPr>
                <w:rFonts w:ascii="Arial" w:cs="Arial" w:eastAsia="Arial" w:hAnsi="Arial"/>
                <w:sz w:val="20"/>
                <w:szCs w:val="20"/>
                <w:color w:val="auto"/>
              </w:rPr>
              <w:t>By: Intercontinental Brands LLC</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20"/>
                <w:szCs w:val="20"/>
                <w:color w:val="auto"/>
              </w:rPr>
              <w:t>By: /s/ Matthew A. Griffin</w:t>
            </w:r>
          </w:p>
        </w:tc>
        <w:tc>
          <w:tcPr>
            <w:tcW w:w="5120" w:type="dxa"/>
            <w:vAlign w:val="bottom"/>
          </w:tcPr>
          <w:p>
            <w:pPr>
              <w:ind w:left="1180"/>
              <w:spacing w:after="0"/>
              <w:rPr>
                <w:sz w:val="20"/>
                <w:szCs w:val="20"/>
                <w:color w:val="auto"/>
              </w:rPr>
            </w:pPr>
            <w:r>
              <w:rPr>
                <w:rFonts w:ascii="Arial" w:cs="Arial" w:eastAsia="Arial" w:hAnsi="Arial"/>
                <w:sz w:val="20"/>
                <w:szCs w:val="20"/>
                <w:color w:val="auto"/>
              </w:rPr>
              <w:t>Its sole member</w:t>
            </w:r>
          </w:p>
        </w:tc>
        <w:tc>
          <w:tcPr>
            <w:tcW w:w="0" w:type="dxa"/>
            <w:vAlign w:val="bottom"/>
          </w:tcPr>
          <w:p>
            <w:pPr>
              <w:spacing w:after="0"/>
              <w:rPr>
                <w:sz w:val="1"/>
                <w:szCs w:val="1"/>
                <w:color w:val="auto"/>
              </w:rPr>
            </w:pPr>
          </w:p>
        </w:tc>
      </w:tr>
      <w:tr>
        <w:trPr>
          <w:trHeight w:val="250"/>
        </w:trPr>
        <w:tc>
          <w:tcPr>
            <w:tcW w:w="4520" w:type="dxa"/>
            <w:vAlign w:val="bottom"/>
            <w:vMerge w:val="restart"/>
          </w:tcPr>
          <w:p>
            <w:pPr>
              <w:spacing w:after="0"/>
              <w:rPr>
                <w:sz w:val="20"/>
                <w:szCs w:val="20"/>
                <w:color w:val="auto"/>
              </w:rPr>
            </w:pPr>
            <w:r>
              <w:rPr>
                <w:rFonts w:ascii="Arial" w:cs="Arial" w:eastAsia="Arial" w:hAnsi="Arial"/>
                <w:sz w:val="20"/>
                <w:szCs w:val="20"/>
                <w:color w:val="auto"/>
              </w:rPr>
              <w:t>Its: Assistant Secretary</w:t>
            </w:r>
          </w:p>
        </w:tc>
        <w:tc>
          <w:tcPr>
            <w:tcW w:w="5120" w:type="dxa"/>
            <w:vAlign w:val="bottom"/>
          </w:tcPr>
          <w:p>
            <w:pPr>
              <w:ind w:left="1180"/>
              <w:spacing w:after="0"/>
              <w:rPr>
                <w:sz w:val="20"/>
                <w:szCs w:val="20"/>
                <w:color w:val="auto"/>
              </w:rPr>
            </w:pPr>
            <w:r>
              <w:rPr>
                <w:rFonts w:ascii="Arial" w:cs="Arial" w:eastAsia="Arial" w:hAnsi="Arial"/>
                <w:sz w:val="20"/>
                <w:szCs w:val="20"/>
                <w:color w:val="auto"/>
              </w:rPr>
              <w:t>Name: /s/ Jonas Bruzas</w:t>
            </w: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5120" w:type="dxa"/>
            <w:vAlign w:val="bottom"/>
            <w:vMerge w:val="restart"/>
          </w:tcPr>
          <w:p>
            <w:pPr>
              <w:ind w:left="1180"/>
              <w:spacing w:after="0"/>
              <w:rPr>
                <w:sz w:val="20"/>
                <w:szCs w:val="20"/>
                <w:color w:val="auto"/>
              </w:rPr>
            </w:pPr>
            <w:r>
              <w:rPr>
                <w:rFonts w:ascii="Arial" w:cs="Arial" w:eastAsia="Arial" w:hAnsi="Arial"/>
                <w:sz w:val="20"/>
                <w:szCs w:val="20"/>
                <w:color w:val="auto"/>
              </w:rPr>
              <w:t>Title: Vice President</w:t>
            </w:r>
          </w:p>
        </w:tc>
        <w:tc>
          <w:tcPr>
            <w:tcW w:w="0" w:type="dxa"/>
            <w:vAlign w:val="bottom"/>
          </w:tcPr>
          <w:p>
            <w:pPr>
              <w:spacing w:after="0"/>
              <w:rPr>
                <w:sz w:val="1"/>
                <w:szCs w:val="1"/>
                <w:color w:val="auto"/>
              </w:rPr>
            </w:pPr>
          </w:p>
        </w:tc>
      </w:tr>
      <w:tr>
        <w:trPr>
          <w:trHeight w:val="230"/>
        </w:trPr>
        <w:tc>
          <w:tcPr>
            <w:tcW w:w="4520" w:type="dxa"/>
            <w:vAlign w:val="bottom"/>
            <w:vMerge w:val="restart"/>
          </w:tcPr>
          <w:p>
            <w:pPr>
              <w:spacing w:after="0"/>
              <w:rPr>
                <w:sz w:val="20"/>
                <w:szCs w:val="20"/>
                <w:color w:val="auto"/>
              </w:rPr>
            </w:pPr>
            <w:r>
              <w:rPr>
                <w:rFonts w:ascii="Arial" w:cs="Arial" w:eastAsia="Arial" w:hAnsi="Arial"/>
                <w:sz w:val="20"/>
                <w:szCs w:val="20"/>
                <w:color w:val="auto"/>
              </w:rPr>
              <w:t>Date: October 14, 2019</w:t>
            </w:r>
          </w:p>
        </w:tc>
        <w:tc>
          <w:tcPr>
            <w:tcW w:w="5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5120" w:type="dxa"/>
            <w:vAlign w:val="bottom"/>
            <w:vMerge w:val="restart"/>
          </w:tcPr>
          <w:p>
            <w:pPr>
              <w:ind w:left="1180"/>
              <w:spacing w:after="0"/>
              <w:rPr>
                <w:sz w:val="20"/>
                <w:szCs w:val="20"/>
                <w:color w:val="auto"/>
              </w:rPr>
            </w:pPr>
            <w:r>
              <w:rPr>
                <w:rFonts w:ascii="Arial" w:cs="Arial" w:eastAsia="Arial" w:hAnsi="Arial"/>
                <w:sz w:val="20"/>
                <w:szCs w:val="20"/>
                <w:color w:val="auto"/>
              </w:rPr>
              <w:t>Date: October 28, 2019</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339" w:right="7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3.2(e)(i)</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License of SnackCo Marks Used for Ingredients to GroceryCo IPCo</w:t>
      </w:r>
    </w:p>
    <w:p>
      <w:pPr>
        <w:spacing w:after="0" w:line="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Subject to the terms and conditions of this Agreement, SnackCo IPCo hereby grants to GroceryCo IPCo from the sixth anniversary of the Distribution Date until November 30 , 2019 a non-exclusive, non-sublicensable and nontransferable royalty-free license to use and display in the NA Countries the “Oreo”, “Chips Ahoy!”, “Honey Maid”, “Ritz” (and “Ritz Bits”), “Teddy Grahams,” and “Nilla” SnackCo Marks as an ingredient indicator on retail LUNCHABLES branded meal kits in the same relative size or smaller on the principle display as used on the Distribution Date on which such SnackCo Marks appear as an ingredient indicator on such date in such jurisdictions (or, in the case of “Teddy Grahams” in the manner show in Exhibit B of the First Amendment) including such retail LUNCHABLES branded meal kits that are sold in packaging sizes or flavors that are different from the packaging sizes or flavors used prior to the Distribution Date, and in connection with the production, manufacturing, advertising, promotion, marketing, distribution and sale of such retail LUNCHABLES branded meal kits in such jurisdictions. For the avoidance of doubt, the licenses granted under this Section 3.2(e)(i), shall be subject to Section 2.10. For the avoidance of doubt, this Section 3.2(e)(i) does not apply to the use of the OREO SnackCo Mark on GroceryCo Products in the retail categories of ready-to-eat pudding and dry packaged pudding mix or the retail OREO dessert product in the JELLO No Bake subline described in 3.2(e)(ii).</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3.2(e)(ii)</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License of SnackCo “Oreo Mark” to GroceryCo IP Co</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Subject to the terms and conditions of this Agreement, SnackCo IPCo hereby grants to GroceryCo IPCo from the sixth anniversary of the Distribution Date until November 30, 2019 a non-sublicensable, nontransferable royalty bearing license at three percent (3%) of all net revenues to use and display the OREO SnackCo Mark on GroceryCo Products in the countries listed below in (i) the retail product categories of ready-to-eat pudding and dry packaged pudding mix; and (ii) the retail OREO dessert product in the JELLO No Bake subline and in connection with the production, manufacturing, advertising, promotion, marketing, distribution and sale of such GroceryCo Products in such jurisdictions. The license granted to GroceryCo IPCo in this Section 3.2(e)(ii) shall be exclusive for the retail product categories of ready-to-eat pudding and dry packaged pudding mix. For the avoidance of doubt, the retail product categories of ready-to-eat pudding and dry packaged pudding mix exclude custard, mousse, flan, cake mix, cupcake mix, custard mix, shelf stable frosting, frosting mix, cookie mix and brownie mix, frozen and refrigerated desserts. Further, and for the avoidance of doubt, the license granted under, and the exclusivity described in, this Section 3.2(e)(ii), shall be subject to Section 2.10. GroceryCo IPCo shall pay such royalties on a quarterly basis to SnackCo IPCo as set forth on Schedule O.</w:t>
      </w:r>
    </w:p>
    <w:p>
      <w:pPr>
        <w:spacing w:after="0" w:line="13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exclusive license described in this Section 3.2(e)(ii) is only for the following countries: USA, Canada, Algeria, Angola, Antigua, Bahamas, Bahrain, Barbados, Belize, Bermuda, Cambodia, Cayman Islands, Chile, Colombia, Congo, Costa Rica, Curacao-Netherland West Indies, Dominican Republic, Ethiopia, Gambia, Ghana, Grenada-Windward Islands, Guatemala, Haiti, Honduras, Hong Kong, Jamaica, Kenya, Kuwait, Lebanon, Liberia, Libya ,Malaysia, Nepal, Nigeria, Oman, Panama ,Philippines, Puerto Rico, Singapore, St Kitts – Leeward Islands, St Lucia – Windward Islands, St Maarten, St Vincent and the Grenadines, Suriname, Thailand, Turks &amp; Caicos Islands and United Arab Emirates.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3.6(b)</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License Use of Trademarks in Recipe Titles and Recipe Collections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GroceryCo IPCo may continue to use SnackCo’s OREO and RITZ Trademarks in the titles of recipes or recipe collections in the NA Countries</w:t>
      </w:r>
    </w:p>
    <w:p>
      <w:pPr>
        <w:spacing w:after="0" w:line="3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including recipe video titles – existing on the Distribution Date. By way of example, GroceryCo IPCo may continue to use a recipe title such as “Oreo Cheesecake”. GroceryCo IPCo shall not create new recipes or recipe collections using the OREO or RITZ trademarks without first obtaining the prior written consent of SnackCo. SnackCo grants GroceryCo this license from the sixth anniversary of the Distribution Date until November 30, 2019.</w:t>
      </w:r>
    </w:p>
    <w:p>
      <w:pPr>
        <w:sectPr>
          <w:pgSz w:w="11900" w:h="16838" w:orient="portrait"/>
          <w:cols w:equalWidth="0" w:num="1">
            <w:col w:w="11420"/>
          </w:cols>
          <w:pgMar w:left="240" w:top="333"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As of December 31, 2019, Mondelēz International, Inc. (“Mondelēz International,” the “Company,” “we,” “us” or “our”) had eight classes of securities registered under Section 12 of the Securities Exchange Act of 1934, as amended (the “Exchange Act”): our Class A common stock, without par value, (the “common stock”), our 2.375% Notes due 2021 (the “2021 Euro Notes”), our 1.000% Notes due 2022 (the “2022 Euro Notes”), our 1.625% Notes due 2023 (the “2023 Euro Notes”), our 1.625% Notes due 2027 (the “2027 Euro Notes”), our 2.375% Notes due 2035 (the “2035 Euro Notes” and, together with the 2021 Euro Notes, the 2022 Euro Notes, the 2023 Euro Notes and the 2027 Euro Notes, the “Euro Notes”), our 4.500% Notes due 2035 (the “2035 Sterling Notes”), and our 3.875% Notes due 2045 (the “2045 Sterling Notes” and, together with the 2035 Sterling Notes, the “Sterling Notes”). The Euro Notes and the Sterling Notes are together referred to as the “notes.”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26" w:lineRule="exact"/>
        <w:rPr>
          <w:sz w:val="20"/>
          <w:szCs w:val="20"/>
          <w:color w:val="auto"/>
        </w:rPr>
      </w:pPr>
    </w:p>
    <w:p>
      <w:pPr>
        <w:jc w:val="both"/>
        <w:ind w:right="240" w:firstLine="648"/>
        <w:spacing w:after="0" w:line="250" w:lineRule="auto"/>
        <w:rPr>
          <w:sz w:val="20"/>
          <w:szCs w:val="20"/>
          <w:color w:val="auto"/>
        </w:rPr>
      </w:pPr>
      <w:r>
        <w:rPr>
          <w:rFonts w:ascii="Arial" w:cs="Arial" w:eastAsia="Arial" w:hAnsi="Arial"/>
          <w:sz w:val="22"/>
          <w:szCs w:val="22"/>
          <w:color w:val="auto"/>
        </w:rPr>
        <w:t>We are authorized to issue 5,000,000,000 shares of common stock and 500,000,000 shares of preferred stock, without par value. As of January 31, 2020, there were 1,432,943,006 shares of common stock outstanding and 44,764 shareholders of record, and no shares of preferred stock outstanding. As of December 31, 2019, there were 39,498,687 shares of common stock reserved for outstanding stock options and other equity grants.</w:t>
      </w:r>
    </w:p>
    <w:p>
      <w:pPr>
        <w:spacing w:after="0" w:line="188" w:lineRule="exact"/>
        <w:rPr>
          <w:sz w:val="20"/>
          <w:szCs w:val="20"/>
          <w:color w:val="auto"/>
        </w:rPr>
      </w:pPr>
    </w:p>
    <w:p>
      <w:pPr>
        <w:jc w:val="both"/>
        <w:ind w:right="240" w:firstLine="648"/>
        <w:spacing w:after="0" w:line="287" w:lineRule="auto"/>
        <w:rPr>
          <w:sz w:val="20"/>
          <w:szCs w:val="20"/>
          <w:color w:val="auto"/>
        </w:rPr>
      </w:pPr>
      <w:r>
        <w:rPr>
          <w:rFonts w:ascii="Arial" w:cs="Arial" w:eastAsia="Arial" w:hAnsi="Arial"/>
          <w:sz w:val="21"/>
          <w:szCs w:val="21"/>
          <w:color w:val="auto"/>
        </w:rPr>
        <w:t>The principal stock exchange on which our common stock is listed is The Nasdaq Global Select Market under the symbol “MDLZ.” All outstanding shares of common stock are validly issued, fully paid and nonassessable.</w:t>
      </w:r>
    </w:p>
    <w:p>
      <w:pPr>
        <w:spacing w:after="0" w:line="152" w:lineRule="exact"/>
        <w:rPr>
          <w:sz w:val="20"/>
          <w:szCs w:val="20"/>
          <w:color w:val="auto"/>
        </w:rPr>
      </w:pPr>
    </w:p>
    <w:p>
      <w:pPr>
        <w:ind w:right="240" w:firstLine="648"/>
        <w:spacing w:after="0" w:line="271" w:lineRule="auto"/>
        <w:rPr>
          <w:sz w:val="20"/>
          <w:szCs w:val="20"/>
          <w:color w:val="auto"/>
        </w:rPr>
      </w:pPr>
      <w:r>
        <w:rPr>
          <w:rFonts w:ascii="Arial" w:cs="Arial" w:eastAsia="Arial" w:hAnsi="Arial"/>
          <w:sz w:val="21"/>
          <w:szCs w:val="21"/>
          <w:color w:val="auto"/>
        </w:rPr>
        <w:t>The following description of the terms of our common stock is not complete and is qualified in its entirety by reference to our amended and restated articles of incorporation and our amended and restated by-laws, each of which is incorporated by reference as exhibits to the Annual Report on Form 10-K of which this Exhibit 4.1 is a part.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2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The holders of our common stock are entitled to one vote on all matters submitted for action by our shareholders. There is no provision for cumulative voting with regard to the election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22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Subject to the preferences applicable to any shares of preferred stock outstanding at any time, holders of our common stock are entitled to receive dividends when and as declared by our board of directors from funds legally available therefore and are entitled, in the event of a liquidation, to share ratably in all assets remaining paid after payment of liquidation.</w:t>
      </w:r>
    </w:p>
    <w:p>
      <w:pPr>
        <w:sectPr>
          <w:pgSz w:w="11900" w:h="16838" w:orient="portrait"/>
          <w:cols w:equalWidth="0" w:num="1">
            <w:col w:w="11420"/>
          </w:cols>
          <w:pgMar w:left="240" w:top="115"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b w:val="1"/>
          <w:bCs w:val="1"/>
          <w:color w:val="auto"/>
        </w:rPr>
        <w:t>Other Rights</w:t>
      </w:r>
    </w:p>
    <w:p>
      <w:pPr>
        <w:spacing w:after="0" w:line="226"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The holders of our common stock have no preemptive rights and no rights to convert their common stock into any other securities, and our common stock is not subject to any redemption or sinking fund provisions.</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The power to alter, amend, or repeal the by-laws or adopt new by-laws is vested in the board of directors, but the by-laws may be repealed or changed by the shareholders. New by-laws may be adopted by the shareholders and they may prescribe that any by-laws made by them shall not be altered, amended or repealed by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 of our Articles of Incorporation, our By-Laws and Virginia Law</w:t>
      </w:r>
    </w:p>
    <w:p>
      <w:pPr>
        <w:spacing w:after="0" w:line="226"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Various provisions contained in our amended and restated articles of incorporation, our amended and restated by-laws and Virginia law could delay or discourage some transactions involving an actual or potential change in control of Mondelēz International or our management and may limit the ability of our shareholders to remove current management or approve transactions that our shareholders may deem to be in their best interests. Provisions in our amended and restated articles of incorporation and our amended and restated by-laws:</w:t>
      </w:r>
    </w:p>
    <w:p>
      <w:pPr>
        <w:spacing w:after="0" w:line="192" w:lineRule="exact"/>
        <w:rPr>
          <w:sz w:val="20"/>
          <w:szCs w:val="20"/>
          <w:color w:val="auto"/>
        </w:rPr>
      </w:pPr>
    </w:p>
    <w:p>
      <w:pPr>
        <w:ind w:left="1300" w:right="80" w:hanging="644"/>
        <w:spacing w:after="0" w:line="26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authorize our board of directors to establish one or more series or classes of undesignated preferred stock, the terms of which can be determined by the board of directors at the time of issuance;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do not authorize cumulative voting;</w:t>
      </w:r>
    </w:p>
    <w:p>
      <w:pPr>
        <w:spacing w:after="0" w:line="219" w:lineRule="exact"/>
        <w:rPr>
          <w:rFonts w:ascii="Arial" w:cs="Arial" w:eastAsia="Arial" w:hAnsi="Arial"/>
          <w:sz w:val="22"/>
          <w:szCs w:val="22"/>
          <w:color w:val="auto"/>
        </w:rPr>
      </w:pPr>
    </w:p>
    <w:p>
      <w:pPr>
        <w:ind w:left="1300" w:right="160" w:hanging="644"/>
        <w:spacing w:after="0" w:line="312"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provide that only a majority of the board of directors or the chairman of the board of directors may call a special meeting of the shareholders, except that the board of directors must call a special meeting upon the request from at least 20% of the combined voting power of the outstanding shares of all classes of our capital stock;</w:t>
      </w:r>
    </w:p>
    <w:p>
      <w:pPr>
        <w:spacing w:after="0" w:line="133" w:lineRule="exact"/>
        <w:rPr>
          <w:rFonts w:ascii="Arial" w:cs="Arial" w:eastAsia="Arial" w:hAnsi="Arial"/>
          <w:sz w:val="19"/>
          <w:szCs w:val="19"/>
          <w:color w:val="auto"/>
        </w:rPr>
      </w:pPr>
    </w:p>
    <w:p>
      <w:pPr>
        <w:ind w:left="1300" w:right="140" w:hanging="644"/>
        <w:spacing w:after="0" w:line="26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provide an advanced written notice procedure with respect to shareholder proposals and shareholder nomination of candidates for election as directors; and</w:t>
      </w:r>
    </w:p>
    <w:p>
      <w:pPr>
        <w:spacing w:after="0" w:line="174" w:lineRule="exact"/>
        <w:rPr>
          <w:rFonts w:ascii="Arial" w:cs="Arial" w:eastAsia="Arial" w:hAnsi="Arial"/>
          <w:sz w:val="22"/>
          <w:szCs w:val="22"/>
          <w:color w:val="auto"/>
        </w:rPr>
      </w:pPr>
    </w:p>
    <w:p>
      <w:pPr>
        <w:ind w:left="1300" w:right="440" w:hanging="644"/>
        <w:spacing w:after="0" w:line="26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provide that our directors may fill any vacancies on our board of directors, including vacancies resulting from a board of directors resolution to increase the number of directors.</w:t>
      </w:r>
    </w:p>
    <w:p>
      <w:pPr>
        <w:spacing w:after="0" w:line="175"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In addition, Virginia law contains provisions governing material acquisition transactions (“affiliated transactions”) between us and any holder of more than 10% of any class of its outstanding voting shares (an “interested shareholder”). In general, these provisions prohibit a Virginia corporation from engaging in an affiliated transaction with an interested shareholder for a period of three years following the date such person became an interested shareholder, unless (1) a majority of the disinterested directors and the holders of at least two-thirds of the remaining voting shares approved the affiliated transaction or (2) before the date that the person became an</w:t>
      </w:r>
    </w:p>
    <w:p>
      <w:pPr>
        <w:spacing w:after="0" w:line="194"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58" w:right="279" w:bottom="1440" w:gutter="0" w:footer="0" w:header="0"/>
        </w:sectPr>
      </w:pPr>
    </w:p>
    <w:bookmarkStart w:id="141" w:name="page142"/>
    <w:bookmarkEnd w:id="141"/>
    <w:p>
      <w:pPr>
        <w:ind w:right="100"/>
        <w:spacing w:after="0" w:line="258" w:lineRule="auto"/>
        <w:rPr>
          <w:sz w:val="20"/>
          <w:szCs w:val="20"/>
          <w:color w:val="auto"/>
        </w:rPr>
      </w:pPr>
      <w:r>
        <w:rPr>
          <w:rFonts w:ascii="Arial" w:cs="Arial" w:eastAsia="Arial" w:hAnsi="Arial"/>
          <w:sz w:val="21"/>
          <w:szCs w:val="21"/>
          <w:color w:val="auto"/>
        </w:rPr>
        <w:t>interested shareholder, a majority of the disinterested directors approved the transaction that resulted in the person becoming an interested shareholder. After three years, any such transaction must be at a “fair price,” as statutorily defined, or must be approved by the holders of at least two-thirds of the voting shares, other than those beneficially owned by the interested shareholder or by a majority of the disinterested directors. Affiliated transactions subject to this approval requirement include mergers, share exchanges, material dispositions of corporate assets not in the ordinary course of business, the sale of shares of the corporation or any of its subsidiaries to an interested shareholder having an aggregate fair market value of greater than 5% of the aggregate fair market value of the corporation’s outstanding shares, any dissolution of Mondelēz International proposed by or on behalf of an interested shareholder or any reclassification, including reverse stock splits, recapitalization or merger of Mondelēz International with its subsidiaries, that increases the percentage of voting shares beneficially owned by an interested shareholder by more than 5%.</w:t>
      </w:r>
    </w:p>
    <w:p>
      <w:pPr>
        <w:spacing w:after="0" w:line="186" w:lineRule="exact"/>
        <w:rPr>
          <w:sz w:val="20"/>
          <w:szCs w:val="20"/>
          <w:color w:val="auto"/>
        </w:rPr>
      </w:pPr>
    </w:p>
    <w:p>
      <w:pPr>
        <w:jc w:val="both"/>
        <w:ind w:right="300" w:firstLine="648"/>
        <w:spacing w:after="0" w:line="250" w:lineRule="auto"/>
        <w:rPr>
          <w:sz w:val="20"/>
          <w:szCs w:val="20"/>
          <w:color w:val="auto"/>
        </w:rPr>
      </w:pPr>
      <w:r>
        <w:rPr>
          <w:rFonts w:ascii="Arial" w:cs="Arial" w:eastAsia="Arial" w:hAnsi="Arial"/>
          <w:sz w:val="22"/>
          <w:szCs w:val="22"/>
          <w:color w:val="auto"/>
        </w:rPr>
        <w:t>The shareholders of a Virginia corporation may adopt an amendment to the corporation’s articles of incorporation or by-laws opting out of the provisions of Virginia law governing affiliated transactions. Neither our amended and restated articles of incorporation nor our amended and restated by-laws contain a provision opting out of the provisions of Virginia law governing affiliated transactions.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Virginia law also contains provisions relating to “control share acquisitions,” which are transactions causing the voting strength of any person acquiring beneficial ownership of shares of a Virginia public corporation to meet or exceed certain threshold percentages (20%, 33</w:t>
      </w:r>
      <w:r>
        <w:rPr>
          <w:rFonts w:ascii="Arial" w:cs="Arial" w:eastAsia="Arial" w:hAnsi="Arial"/>
          <w:sz w:val="19"/>
          <w:szCs w:val="19"/>
          <w:color w:val="auto"/>
        </w:rPr>
        <w:t>⅓</w:t>
      </w:r>
      <w:r>
        <w:rPr>
          <w:rFonts w:ascii="Arial" w:cs="Arial" w:eastAsia="Arial" w:hAnsi="Arial"/>
          <w:sz w:val="19"/>
          <w:szCs w:val="19"/>
          <w:color w:val="auto"/>
        </w:rPr>
        <w:t>% or 50%) of the total votes entitled to be cast for the election of directors. Shares acquired in a control share acquisition have no voting rights unless (1) the voting rights are granted by a majority vote of all outstanding shares other than those held by the acquiring person or any officer or employee director of the corporation or (2) the articles of incorporation or by-laws of the corporation provide that these Virginia law provisions do not apply to acquisitions of its shares. The acquiring person may require that a special meeting of the shareholders be held to consider the grant of voting rights to the shares acquired in the control share acquisition. As permitted by Virginia law, our amended and restated articles of incorporation contain a provision opting out of the Virginia anti-takeover law regulating control share acquisitions.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our common stock is EQ Shareowner Services.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564" w:right="29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22"/>
          <w:szCs w:val="22"/>
          <w:b w:val="1"/>
          <w:bCs w:val="1"/>
          <w:color w:val="auto"/>
        </w:rPr>
        <w:t>DESCRIPTION OF NOTES</w:t>
      </w:r>
    </w:p>
    <w:p>
      <w:pPr>
        <w:spacing w:after="0" w:line="22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The following description of the notes is a summary and does not purport to be complete. It is subject to and qualified in its entirety by reference to the indenture, dated as of October 17, 2001 (the “2001 Base Indenture”), between Mondelēz International (formerly known as Kraft Foods Inc.) and Deutsche Bank Trust Company Americas (as successor to The Bank of New York and The Chase Manhattan Bank), as trustee (the “trustee”), as supplemented and modified in respect of the 2021 Euro Notes by the supplemental indenture, dated as of December 11, 2013, under which the 2021 Euro Notes were issued (the 2001 Base Indenture as so supplemented and modified, the “2001 Indenture”), and the indenture dated as of March 6, 2015 (the “2015 Base Indenture”), between Mondelēz International and the trustee, as supplemented and modified in respect of the 2022 Euro Notes, the 2027 Euro Notes and the 2035 Euro Notes and the 2045 Sterling Notes by an officers’ certificate of the Company under Section 301 of the 2015 Base Indenture, dated as of March 6, 2015, as supplemented and modified in respect of the 2035 Sterling Notes by an officers’ certificate of the Company under Section 301 of the 2015 Base Indenture, dated as of November 25, 2015, and as supplemented and modified in respect of the 2023 Euro Notes by an officers’ certificate of the Company under Section 301 of the 2015 Base Indenture, dated as of January 21, 2016 (the 2015 Base Indenture as so supplemented and modified, the “2015 Indenture” and, together with the 2001 Indenture, the “indentures” and each an “indenture”). Each of the 2001 Base Indenture and the 2015 Base Indenture is incorporated by reference as exhibits to the Annual Report on Form 10-K of which this Exhibit 4.1 is a part, and this description is qualified in all respects by reference to the actual text of the indentures. We encourage you to read each indenture for additional information.</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The notes are listed on The Nasdaq Stock Market. The 2021 Euro Notes are listed under the symbol “MDLZ21,” the 2022 Euro Notes are listed under the symbol “MDLZ22,” the 2023 Euro Notes are listed under the symbol “MDLZ23,” the 2027 Euro Notes are listed under the symbol “MDLZ27,” the 2035 Euro Notes are listed under the symbol “MDLZ35,” the 2035 Sterling Notes are listed under the symbol “MDLZ35A,” and the 2045 Sterling Notes are listed under the symbol “MDLZ45.”</w:t>
      </w:r>
    </w:p>
    <w:p>
      <w:pPr>
        <w:spacing w:after="0" w:line="143"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We have issued €1,250,000,000 principal amount of the 2021 Euro Notes (€679,194,000 outstanding), €500,000,000 principal amount of the 2022 Euro Notes, €700,000,000 principal amount of the 2023 Euro Notes, €750,000,000 principal amount of the 2027 Euro Notes, €750,000,000 principal amount of the 2035 Euro Notes (€435,377,000 outstanding), £400,000,000 principal amount of the 2035 Sterling Notes (£94,881,000 outstanding), and £450,000,000 principal amount of the 2045 Sterling Notes (£168,363,000 outstanding).</w:t>
      </w:r>
    </w:p>
    <w:p>
      <w:pPr>
        <w:spacing w:after="0" w:line="192"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Unless an earlier redemption has occurred, the entire principal amount of the 2021 Euro Notes will mature and become due and payable, together with any accrued and unpaid interest thereon, on January 26, 2021. Unless an earlier redemption has occurred, the entire principal amount of the 2022 Euro Notes will mature and become due and payable, together with any accrued and unpaid interest thereon, on March 7, 2022. Unless an earlier redemption has occurred, the entire principal amount of the 2023 Euro Notes will mature and become due and payable, together with any accrued and unpaid interest thereon, on January 20, 2023. Unless an</w:t>
      </w:r>
    </w:p>
    <w:p>
      <w:pPr>
        <w:spacing w:after="0" w:line="194"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814" w:right="279" w:bottom="1440" w:gutter="0" w:footer="0" w:header="0"/>
        </w:sectPr>
      </w:pPr>
    </w:p>
    <w:bookmarkStart w:id="143" w:name="page144"/>
    <w:bookmarkEnd w:id="143"/>
    <w:p>
      <w:pPr>
        <w:ind w:right="200"/>
        <w:spacing w:after="0" w:line="292" w:lineRule="auto"/>
        <w:rPr>
          <w:sz w:val="20"/>
          <w:szCs w:val="20"/>
          <w:color w:val="auto"/>
        </w:rPr>
      </w:pPr>
      <w:r>
        <w:rPr>
          <w:rFonts w:ascii="Arial" w:cs="Arial" w:eastAsia="Arial" w:hAnsi="Arial"/>
          <w:sz w:val="19"/>
          <w:szCs w:val="19"/>
          <w:color w:val="auto"/>
        </w:rPr>
        <w:t>earlier redemption has occurred, the entire principal amount of the 2027 Euro Notes will mature and become due and payable, together with any accrued and unpaid interest thereon, on March 8, 2027. Unless an earlier redemption has occurred, the entire principal amount of the 2035 Euro Notes will mature and become due and payable, together with any accrued and unpaid interest thereon, on March 6, 2035. Unless an earlier redemption has occurred, the entire principal amount of the 2035 Sterling Notes will mature and become due and payable, together with any accrued and unpaid interest thereon, on December 3, 2035. Unless an earlier redemption has occurred, the entire principal amount of the 2045 Sterling Notes will mature and become due and payable, together with any accrued and unpaid interest thereon, on March 6, 2045.</w:t>
      </w:r>
    </w:p>
    <w:p>
      <w:pPr>
        <w:spacing w:after="0" w:line="151" w:lineRule="exact"/>
        <w:rPr>
          <w:sz w:val="20"/>
          <w:szCs w:val="20"/>
          <w:color w:val="auto"/>
        </w:rPr>
      </w:pPr>
    </w:p>
    <w:p>
      <w:pPr>
        <w:ind w:right="200" w:firstLine="648"/>
        <w:spacing w:after="0" w:line="290" w:lineRule="auto"/>
        <w:rPr>
          <w:sz w:val="20"/>
          <w:szCs w:val="20"/>
          <w:color w:val="auto"/>
        </w:rPr>
      </w:pPr>
      <w:r>
        <w:rPr>
          <w:rFonts w:ascii="Arial" w:cs="Arial" w:eastAsia="Arial" w:hAnsi="Arial"/>
          <w:sz w:val="19"/>
          <w:szCs w:val="19"/>
          <w:color w:val="auto"/>
        </w:rPr>
        <w:t>We issued the notes in fully registered form only and in minimum denominations of €100,000 and integral multiples of €1,000 in excess thereof, with respect to the Euro Notes, and in minimum denominations of £100,000 and integral multiples of £1,000 in excess thereof, with respect to the Sterling Notes. We may issue definitive notes in the limited circumstances set forth below. If we issue definitive notes, principal of and interest on such notes will be payable in the manner described below, the transfer of the notes will be registrable, and the notes will be exchangeable for notes bearing identical terms and provisions, at the office of the transfer agent and registrar for the notes. The paying agent for the 2021 Euro Notes is Deutsche Bank AG, London Branch and the paying agent for the 2022 Euro Notes, 2023 Euro Notes, 2027 Euro Notes, 2035 Euro Notes, 2035 Sterling Notes and 2045 Sterling Notes is Deutsche Bank Trust Company Americas.</w:t>
      </w:r>
    </w:p>
    <w:p>
      <w:pPr>
        <w:spacing w:after="0" w:line="157"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“Business day” means any day, other than a Saturday or Sunday, that is neither a legal holiday nor a day on which commercial banks are authorized or required by law, regulation or executive order to close in New York or the place of payment, provided such day is also a London banking day and is a day on which the Trans-European Automated Real-time Gross Settlement Express Transfer (TARGET2) System, or any successor thereto, operates.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on the Notes</w:t>
      </w:r>
    </w:p>
    <w:p>
      <w:pPr>
        <w:spacing w:after="0" w:line="226"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The 2021 Euro Notes bear interest at a rate of 2.375% per year, the 2022 Euro Notes bear interest at a rate of 1.000% per year, the 2023 Euro Notes bear interest at a rate of 1.625% per year, the 2027 Euro Notes bear interest at a rate of 1.625% per year, the 2035 Euro Notes bear interest at a rate of 2.375% per year, the 2035 Sterling Notes bear interest at a rate of 4.500% per year, and the 2045 Sterling Notes bear interest at a rate of 3.875% per year.</w:t>
      </w:r>
    </w:p>
    <w:p>
      <w:pPr>
        <w:spacing w:after="0" w:line="17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Interest on the 2021 Euro Notes is payable annually in arrears on January 26 of each year, interest on the 2022 Euro Notes is payable annually in arrears on March 7 of each year, interest on the 2023 Euro Notes is payable annually in arrears on January 20 of each year, interest on the 2027 Euro Notes is payable annually in arrears on March 8 of each year, interest on the 2035 Euro Notes is payable annually in arrears on March 6 of each year, interest on the 2035 Sterling Notes is payable annually in arrears on December 3 of each year, and interest on the 2045 Sterling Notes is payable annually in arrears on March 6 of each year; provided that if any such date (other than the maturity date or a date fixed for redemption) is not a business day, the interest payment date will be postponed to the next succeeding business day, and no interest will</w:t>
      </w:r>
    </w:p>
    <w:p>
      <w:pPr>
        <w:spacing w:after="0" w:line="151"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4" w:right="239" w:bottom="1440" w:gutter="0" w:footer="0" w:header="0"/>
        </w:sectPr>
      </w:pPr>
    </w:p>
    <w:bookmarkStart w:id="144" w:name="page145"/>
    <w:bookmarkEnd w:id="144"/>
    <w:p>
      <w:pPr>
        <w:ind w:right="320"/>
        <w:spacing w:after="0" w:line="263" w:lineRule="auto"/>
        <w:rPr>
          <w:sz w:val="20"/>
          <w:szCs w:val="20"/>
          <w:color w:val="auto"/>
        </w:rPr>
      </w:pPr>
      <w:r>
        <w:rPr>
          <w:rFonts w:ascii="Arial" w:cs="Arial" w:eastAsia="Arial" w:hAnsi="Arial"/>
          <w:sz w:val="22"/>
          <w:szCs w:val="22"/>
          <w:color w:val="auto"/>
        </w:rPr>
        <w:t>accrue as a result of such delayed payment on amounts payable from and after such interest payment date to the next succeeding business day.</w:t>
      </w:r>
    </w:p>
    <w:p>
      <w:pPr>
        <w:spacing w:after="0" w:line="175" w:lineRule="exact"/>
        <w:rPr>
          <w:sz w:val="20"/>
          <w:szCs w:val="20"/>
          <w:color w:val="auto"/>
        </w:rPr>
      </w:pPr>
    </w:p>
    <w:p>
      <w:pPr>
        <w:ind w:right="260" w:firstLine="648"/>
        <w:spacing w:after="0" w:line="265" w:lineRule="auto"/>
        <w:rPr>
          <w:sz w:val="20"/>
          <w:szCs w:val="20"/>
          <w:color w:val="auto"/>
        </w:rPr>
      </w:pPr>
      <w:r>
        <w:rPr>
          <w:rFonts w:ascii="Arial" w:cs="Arial" w:eastAsia="Arial" w:hAnsi="Arial"/>
          <w:sz w:val="21"/>
          <w:szCs w:val="21"/>
          <w:color w:val="auto"/>
        </w:rPr>
        <w:t>Interest on the notes is computed on the basis of the actual number of days in the period for which interest is being calculated and the actual number of days from and including the last date on which interest was paid on the applicable series of notes to, but excluding, the next scheduled interest payment date. This payment convention is referred to as ACTUAL/ACTUAL (ICMA) as defined in the rulebook of the International Capital Market Association.</w:t>
      </w:r>
    </w:p>
    <w:p>
      <w:pPr>
        <w:spacing w:after="0" w:line="176" w:lineRule="exact"/>
        <w:rPr>
          <w:sz w:val="20"/>
          <w:szCs w:val="20"/>
          <w:color w:val="auto"/>
        </w:rPr>
      </w:pPr>
    </w:p>
    <w:p>
      <w:pPr>
        <w:ind w:right="580" w:firstLine="648"/>
        <w:spacing w:after="0" w:line="343" w:lineRule="auto"/>
        <w:rPr>
          <w:sz w:val="20"/>
          <w:szCs w:val="20"/>
          <w:color w:val="auto"/>
        </w:rPr>
      </w:pPr>
      <w:r>
        <w:rPr>
          <w:rFonts w:ascii="Arial" w:cs="Arial" w:eastAsia="Arial" w:hAnsi="Arial"/>
          <w:sz w:val="19"/>
          <w:szCs w:val="19"/>
          <w:color w:val="auto"/>
        </w:rPr>
        <w:t>We will pay or cause to be paid interest to persons in whose names the notes are registered at the close of business the business day before the relevant interest payment date (or to the applicable depositary, as the case may be).</w:t>
      </w:r>
    </w:p>
    <w:p>
      <w:pPr>
        <w:spacing w:after="0" w:line="105"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If the maturity date or a date fixed for redemption is not a business day, then payment of interest or principal need not be made on such date, but may be made on the next succeeding business day, in each case with the same force and effect as if made on the scheduled maturity date or such date fixed for redemption, and no interest shall accrue as a result of such delayed payment on amounts payable from and after the scheduled maturity date or such redemption date, as the case may be, to the next succeeding business day.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in Euro</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principal, premium, if any, and interest payments in respect of the Euro Notes are made in euro.</w:t>
      </w:r>
    </w:p>
    <w:p>
      <w:pPr>
        <w:spacing w:after="0" w:line="22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If the euro is unavailable to us due to the imposition of exchange controls or other circumstances beyond our control or the euro is no longer used by the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such currency is again available to us or so used. The amount payable on any date in euro will be converted into U.S. dollars on the basis of the most recently available market exchange rate for the euro. Any payments in respect of the Euro Notes so made in U.S. dollars will not constitute an event of default under the terms of the applicable series of Euro Notes or the applicable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in Sterling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principal, premium, if any, and interest payments in respect of the Sterling Notes are made in sterling.</w:t>
      </w: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If the United Kingdom adopts euro, in lieu of sterling, as its lawful currency, the Sterling Notes will be redenominated in euro on a date determined by us, in our sole discretion, with a principal amount for each Sterling Note equal to the principal amount of that Sterling Note in sterling, converted into euro at the rate established by the applicable law; provided that, if we determine after consultation with the paying agent that the then current market practice in respect of redenomination into euro of internationally offered securities is different from the provisions</w:t>
      </w:r>
    </w:p>
    <w:p>
      <w:pPr>
        <w:spacing w:after="0" w:line="19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4" w:right="239" w:bottom="1440" w:gutter="0" w:footer="0" w:header="0"/>
        </w:sectPr>
      </w:pPr>
    </w:p>
    <w:bookmarkStart w:id="145" w:name="page146"/>
    <w:bookmarkEnd w:id="145"/>
    <w:p>
      <w:pPr>
        <w:jc w:val="both"/>
        <w:ind w:right="240"/>
        <w:spacing w:after="0" w:line="253" w:lineRule="auto"/>
        <w:rPr>
          <w:sz w:val="20"/>
          <w:szCs w:val="20"/>
          <w:color w:val="auto"/>
        </w:rPr>
      </w:pPr>
      <w:r>
        <w:rPr>
          <w:rFonts w:ascii="Arial" w:cs="Arial" w:eastAsia="Arial" w:hAnsi="Arial"/>
          <w:sz w:val="22"/>
          <w:szCs w:val="22"/>
          <w:color w:val="auto"/>
        </w:rPr>
        <w:t>described above, such provisions will be deemed to be amended so as to comply with such market practice and we will promptly notify the trustee or the paying agent of such deemed amendment. We will give 30 days’ notice of the redenomination date to the paying agent, the trustee, Euroclear and Clearstream.</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If sterling (or, in the event such notes are redenominated into euro, euro) is unavailable to us due to the imposition of exchange controls or other circumstances beyond our control (or, once redenominated into euro, the euro is no longer used by the member states of the European Monetary Union that have adopted the euro as their currency or for the settlement of transactions by public institutions of or within the international banking community), then all payments in respect of the Sterling Notes will be made in U.S. dollars until sterling (or euro, as the case may be) is again available to us or so used. The amount payable on any date in sterling (or, in the event such notes are redenominated into euro, euro) will be converted into U.S. dollars on the basis of the most recently available market exchange rate for sterling (or euro, as the case may be). Any payments in respect of the Sterling Notes so made in U.S. dollars will not constitute an event of default under the terms of the applicable series of Sterling Notes or the applicable indenture.</w:t>
      </w:r>
    </w:p>
    <w:p>
      <w:pPr>
        <w:spacing w:after="0" w:line="180"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“Market exchange rate” means the noon buying rate in The City of New York for cable transfers of euro or sterling (as the case may be) as certified for customs purposes (or, if not so certified, as otherwise determined) by the Federal Reserve Bank of New York.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The notes are our direct unsecured obligations and will rank equally with all of our other unsecured debt. The indentures do not limit the amount of debt we may issue and provide that additional notes may be issued up to the aggregate principal amount authorized by a board resolution.</w:t>
      </w:r>
    </w:p>
    <w:p>
      <w:pPr>
        <w:spacing w:after="0" w:line="186" w:lineRule="exact"/>
        <w:rPr>
          <w:sz w:val="20"/>
          <w:szCs w:val="20"/>
          <w:color w:val="auto"/>
        </w:rPr>
      </w:pPr>
    </w:p>
    <w:p>
      <w:pPr>
        <w:jc w:val="both"/>
        <w:ind w:right="220" w:firstLine="648"/>
        <w:spacing w:after="0" w:line="271" w:lineRule="auto"/>
        <w:rPr>
          <w:sz w:val="20"/>
          <w:szCs w:val="20"/>
          <w:color w:val="auto"/>
        </w:rPr>
      </w:pPr>
      <w:r>
        <w:rPr>
          <w:rFonts w:ascii="Arial" w:cs="Arial" w:eastAsia="Arial" w:hAnsi="Arial"/>
          <w:sz w:val="21"/>
          <w:szCs w:val="21"/>
          <w:color w:val="auto"/>
        </w:rPr>
        <w:t>We will not be required to make any mandatory redemption or sinking fund payments with respect to the notes. However, under certain circumstances, we may be required to offer to purchase notes as described under “—Change of Control” below. We may at any time and from time to time purchase notes in the open market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w:t>
      </w:r>
    </w:p>
    <w:p>
      <w:pPr>
        <w:spacing w:after="0" w:line="22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If a Change of Control Triggering Event (as defined below) occurs, unless we have exercised our right to redeem the notes upon the occurrence of specified events as described below under “—Redemption for Tax Reasons,” holders of notes will have the right to require us to repurchase all or any part (equal to €100,000 or an integral multiple of €1,000 in excess thereof for the Euro Notes, or equal to £100,000 or an integral multiple of £1,000 in excess thereof for the Sterling Notes) of their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the date of purchase (the “Change of Control Payment”). Within 30 days following any Change of Control</w:t>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564" w:right="259" w:bottom="1440" w:gutter="0" w:footer="0" w:header="0"/>
        </w:sectPr>
      </w:pPr>
    </w:p>
    <w:bookmarkStart w:id="146" w:name="page147"/>
    <w:bookmarkEnd w:id="146"/>
    <w:p>
      <w:pPr>
        <w:ind w:right="60"/>
        <w:spacing w:after="0" w:line="289" w:lineRule="auto"/>
        <w:rPr>
          <w:sz w:val="20"/>
          <w:szCs w:val="20"/>
          <w:color w:val="auto"/>
        </w:rPr>
      </w:pPr>
      <w:r>
        <w:rPr>
          <w:rFonts w:ascii="Arial" w:cs="Arial" w:eastAsia="Arial" w:hAnsi="Arial"/>
          <w:sz w:val="19"/>
          <w:szCs w:val="19"/>
          <w:color w:val="auto"/>
        </w:rPr>
        <w:t>Triggering Event, we will be required to mail a notice to holders of notes (with a copy to the trustee) describing the transaction or transactions that constitute the Change of Control Triggering Event and offering to repurchase the notes on the date specified in the notice, which date will be no earlier than 30 days and no later than 60 days from the date such notice is mailed (the “Change of Control Payment Date”), pursuant to the procedures required by the notes and described in such notice. 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Change of Control Payment Date, we will be required, to the extent lawful, to:</w:t>
      </w:r>
    </w:p>
    <w:p>
      <w:pPr>
        <w:spacing w:after="0" w:line="220"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accept for payment all notes or portions of notes properly tendered pursuant to the Change of Control Offer;</w:t>
      </w:r>
    </w:p>
    <w:p>
      <w:pPr>
        <w:spacing w:after="0" w:line="231" w:lineRule="exact"/>
        <w:rPr>
          <w:rFonts w:ascii="Arial" w:cs="Arial" w:eastAsia="Arial" w:hAnsi="Arial"/>
          <w:sz w:val="21"/>
          <w:szCs w:val="21"/>
          <w:color w:val="auto"/>
        </w:rPr>
      </w:pPr>
    </w:p>
    <w:p>
      <w:pPr>
        <w:ind w:left="1300" w:right="180" w:hanging="644"/>
        <w:spacing w:after="0" w:line="26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purchased.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paying agent will promptly mail to each holder of notes properly tendered the purchase price for the notes, and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trustee will promptly authenticate and mail (or cause to be transferred by book-entry) to each holder a new note equal in principal</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amount to any unpurchased portion of any notes surrendered; provided that each new note will be in a principal amount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€100,000 or an integral multiple of €1,000 in excess thereof for the Euro Notes, and of £100,000 or an integral multiple of £1,000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 excess thereof for the Sterling Notes.</w:t>
      </w:r>
    </w:p>
    <w:p>
      <w:pPr>
        <w:spacing w:after="0" w:line="202"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We will not be required to make an offer to repurchase the notes upon a Change of Control Triggering Event if a third party makes such an offer in the manner, at the times and otherwise in compliance with the requirements for an offer made by us and such third party purchases all notes properly tendered and not withdrawn under its offer.</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Our ability to pay cash to holders of notes following the occurrence of a Change of Control Triggering Event may be limited by our then-existing financial resources. Therefore, sufficient funds may not be available when necessary to make any required repurchases.</w:t>
      </w:r>
    </w:p>
    <w:p>
      <w:pPr>
        <w:spacing w:after="0" w:line="18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For purposes of the foregoing discussion of a repurchase at the option of holders of the notes, the following definitions are applicable:</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64" w:right="239" w:bottom="1440" w:gutter="0" w:footer="0" w:header="0"/>
        </w:sectPr>
      </w:pPr>
    </w:p>
    <w:bookmarkStart w:id="147" w:name="page148"/>
    <w:bookmarkEnd w:id="147"/>
    <w:p>
      <w:pPr>
        <w:ind w:firstLine="648"/>
        <w:spacing w:after="0" w:line="287" w:lineRule="auto"/>
        <w:rPr>
          <w:sz w:val="20"/>
          <w:szCs w:val="20"/>
          <w:color w:val="auto"/>
        </w:rPr>
      </w:pPr>
      <w:r>
        <w:rPr>
          <w:rFonts w:ascii="Arial" w:cs="Arial" w:eastAsia="Arial" w:hAnsi="Arial"/>
          <w:sz w:val="19"/>
          <w:szCs w:val="19"/>
          <w:color w:val="auto"/>
        </w:rPr>
        <w:t>“Below Investment Grade Rating Event” means the applicable series of notes is rated below an Investment Grade Rating by each of the Rating Agencies (with respect to the 2021 Euro Notes) or by each of Moody’s and S&amp;P (with respect to the 2022 Euro Notes, the 2023 Euro Notes, the 2027 Euro Notes, the 2035 Euro Notes, the 2035 Sterling Notes, and the 2045 Sterling Notes) on any date from the date of the public notice of an arrangement that could result in a Change of Control (as defined below) until the end of the 60-day period following public notice of the occurrence of the Change of Control (which 60-day period shall be extended so long as the rating of such notes is under publicly announced consideration for possible downgrade by any of the Rating Agencies); provided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trustee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200" w:lineRule="exact"/>
        <w:rPr>
          <w:sz w:val="20"/>
          <w:szCs w:val="20"/>
          <w:color w:val="auto"/>
        </w:rPr>
      </w:pPr>
    </w:p>
    <w:p>
      <w:pPr>
        <w:spacing w:after="0" w:line="21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“Change of Control” means the occurrence of any of the following: (i) the direct or indirect sale, transfer, conveyance or other disposition (other than by way of merger or consolidation), in one or a series of related transactions, of all or substantially all of the properties or assets of Mondelēz International and its subsidiaries taken as a whole to any Person (as defined below) or group of related persons for purposes of Section 13(d) of the Exchange Act (a “Group”) other than Mondelēz International or one of its subsidiaries; (ii) the approval by the holders of our common stock of any plan or proposal for the liquidation or dissolution of Mondelēz International (whether or not otherwise in compliance with the provisions of the applicable indenture); (iii) the consummation of any transaction (including, without limitation, any merger or consolidation) the result of which is that any Person or Group becomes the beneficial owner, directly or indirectly, of more than 50% of the then outstanding number of shares of Mondelēz International’s voting stock; or (iv) the first day on which a majority of the members of Mondelēz International’s Board of Directors are not Continuing Directors (as defined below).</w:t>
      </w:r>
    </w:p>
    <w:p>
      <w:pPr>
        <w:spacing w:after="0" w:line="160" w:lineRule="exact"/>
        <w:rPr>
          <w:sz w:val="20"/>
          <w:szCs w:val="20"/>
          <w:color w:val="auto"/>
        </w:rPr>
      </w:pPr>
    </w:p>
    <w:p>
      <w:pPr>
        <w:ind w:right="260" w:firstLine="648"/>
        <w:spacing w:after="0" w:line="294" w:lineRule="auto"/>
        <w:rPr>
          <w:sz w:val="20"/>
          <w:szCs w:val="20"/>
          <w:color w:val="auto"/>
        </w:rPr>
      </w:pPr>
      <w:r>
        <w:rPr>
          <w:rFonts w:ascii="Arial" w:cs="Arial" w:eastAsia="Arial" w:hAnsi="Arial"/>
          <w:sz w:val="19"/>
          <w:szCs w:val="19"/>
          <w:color w:val="auto"/>
        </w:rPr>
        <w:t>The definition of Change of Control includes a phrase relating to the direct or indirect sale, lease, transfer, conveyance or other disposition of “all or substantially all” of the properties or assets of Mondelēz International and its subsidiaries taken as a whole. Although there is a limited body of case law interpreting the phrase “substantially all,” there is no precise established definition of the phrase under applicable law. Accordingly, the ability of a holder of notes to require Mondelēz International to repurchase its notes as a result of a sale, lease, transfer, conveyance or other disposition of less than all of the assets of Mondelēz International and its subsidiaries taken as a whole to another Person or Group may be uncertain.</w:t>
      </w:r>
    </w:p>
    <w:p>
      <w:pPr>
        <w:spacing w:after="0" w:line="15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“Change of Control Triggering Event” means the occurrence of both a Change of Control and a Below Investment Grade Rating Event.</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564" w:right="259" w:bottom="1440" w:gutter="0" w:footer="0" w:header="0"/>
        </w:sectPr>
      </w:pPr>
    </w:p>
    <w:bookmarkStart w:id="148" w:name="page149"/>
    <w:bookmarkEnd w:id="148"/>
    <w:p>
      <w:pPr>
        <w:ind w:right="200" w:firstLine="648"/>
        <w:spacing w:after="0" w:line="247" w:lineRule="auto"/>
        <w:rPr>
          <w:sz w:val="20"/>
          <w:szCs w:val="20"/>
          <w:color w:val="auto"/>
        </w:rPr>
      </w:pPr>
      <w:r>
        <w:rPr>
          <w:rFonts w:ascii="Arial" w:cs="Arial" w:eastAsia="Arial" w:hAnsi="Arial"/>
          <w:sz w:val="22"/>
          <w:szCs w:val="22"/>
          <w:color w:val="auto"/>
        </w:rPr>
        <w:t>“Continuing Directors” means, as of any date of determination, any member of the Board of Directors of Mondelēz International who (i) was a member of such Board of Directors on the date of the issuance of the applicable series of notes; or (ii) was nominated for election or elected to such Board of Directors with the approval of a majority of the Continuing Directors who were members of such Board of Directors at the time of such nomination or election (either by a specific vote or by approval of Mondelēz International’s proxy statement in which such member was named as a nominee for election as a director, without objection to such nomination).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“Fitch” means Fitch, Inc.</w:t>
      </w:r>
    </w:p>
    <w:p>
      <w:pPr>
        <w:spacing w:after="0" w:line="220" w:lineRule="exact"/>
        <w:rPr>
          <w:sz w:val="20"/>
          <w:szCs w:val="20"/>
          <w:color w:val="auto"/>
        </w:rPr>
      </w:pPr>
    </w:p>
    <w:p>
      <w:pPr>
        <w:ind w:right="900" w:firstLine="648"/>
        <w:spacing w:after="0" w:line="343" w:lineRule="auto"/>
        <w:rPr>
          <w:sz w:val="20"/>
          <w:szCs w:val="20"/>
          <w:color w:val="auto"/>
        </w:rPr>
      </w:pPr>
      <w:r>
        <w:rPr>
          <w:rFonts w:ascii="Arial" w:cs="Arial" w:eastAsia="Arial" w:hAnsi="Arial"/>
          <w:sz w:val="19"/>
          <w:szCs w:val="19"/>
          <w:color w:val="auto"/>
        </w:rPr>
        <w:t>“Investment Grade Rating” means a rating equal to or higher than BBB- (or the equivalent) by Fitch, Baa3 (or the equivalent) by Moody’s (as defined below) and BBB- (or the equivalent) by S&amp;P (as defined below), respectively.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“Moody’s” means Moody’s Investors Service,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“Person” has the meaning set forth in each indenture and includes a “person” as used in Section 13(d)(3) of the Exchange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202"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9"/>
          <w:szCs w:val="19"/>
          <w:color w:val="auto"/>
        </w:rPr>
        <w:t>“Rating Agencies” means (i) each of Fitch, Moody’s and S&amp;P; and (ii) if any of Fitch,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 resolution of our Board of Directors) as a replacement agency for Fitch, Moody’s or S&amp;P, or all of them, as the case may be.</w:t>
      </w:r>
    </w:p>
    <w:p>
      <w:pPr>
        <w:spacing w:after="0" w:line="143" w:lineRule="exact"/>
        <w:rPr>
          <w:sz w:val="20"/>
          <w:szCs w:val="20"/>
          <w:color w:val="auto"/>
        </w:rPr>
      </w:pPr>
    </w:p>
    <w:p>
      <w:pPr>
        <w:ind w:right="2100" w:firstLine="648"/>
        <w:spacing w:after="0" w:line="448" w:lineRule="auto"/>
        <w:rPr>
          <w:sz w:val="20"/>
          <w:szCs w:val="20"/>
          <w:color w:val="auto"/>
        </w:rPr>
      </w:pPr>
      <w:r>
        <w:rPr>
          <w:rFonts w:ascii="Arial" w:cs="Arial" w:eastAsia="Arial" w:hAnsi="Arial"/>
          <w:sz w:val="22"/>
          <w:szCs w:val="22"/>
          <w:color w:val="auto"/>
        </w:rPr>
        <w:t xml:space="preserve">“S&amp;P” means Standard &amp; Poor’s Ratings Services, a division of The McGraw-Hill Companies, Inc. </w:t>
      </w:r>
      <w:r>
        <w:rPr>
          <w:rFonts w:ascii="Arial" w:cs="Arial" w:eastAsia="Arial" w:hAnsi="Arial"/>
          <w:sz w:val="22"/>
          <w:szCs w:val="22"/>
          <w:b w:val="1"/>
          <w:bCs w:val="1"/>
          <w:color w:val="auto"/>
        </w:rPr>
        <w:t>Payment of Additional Amounts</w:t>
      </w:r>
    </w:p>
    <w:p>
      <w:pPr>
        <w:spacing w:after="0" w:line="1"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All payments by us or our paying agents will be made free and clear of and without withholding or deduction for or on account of any present or future tax, assessment or other governmental charge imposed by the United States, unless the withholding or deduction of such amounts is required by law or the official interpretation or administration thereof.</w:t>
      </w:r>
    </w:p>
    <w:p>
      <w:pPr>
        <w:spacing w:after="0" w:line="168"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color w:val="auto"/>
        </w:rPr>
        <w:t>We will, subject to the exceptions and limitations set forth below, pay to the beneficial owner of any 2021 Euro Note that is a Non-U.S. Holder or is a partnership that is not created or organized in or under the laws of the United States or any state or political subdivision thereof such additional amounts as may be necessary to ensure that every net payment on such note, after deduction or withholding by us or any of our paying agents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However, we will not pay additional amounts if the beneficial owner is subject to taxation solely</w:t>
      </w:r>
    </w:p>
    <w:p>
      <w:pPr>
        <w:spacing w:after="0" w:line="151"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564" w:right="25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for reasons other than its ownership of such note, nor will we pay additional amounts for or on account of:</w:t>
      </w:r>
    </w:p>
    <w:p>
      <w:pPr>
        <w:spacing w:after="0" w:line="193" w:lineRule="exact"/>
        <w:rPr>
          <w:sz w:val="20"/>
          <w:szCs w:val="20"/>
          <w:color w:val="auto"/>
        </w:rPr>
      </w:pPr>
    </w:p>
    <w:p>
      <w:pPr>
        <w:ind w:left="660" w:firstLine="645"/>
        <w:spacing w:after="0" w:line="247" w:lineRule="auto"/>
        <w:tabs>
          <w:tab w:leader="none" w:pos="2196"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is imposed or withheld solely by reason of the existence of any present or former connection (other than the mere fact of being a beneficial owner of such note)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such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154" w:lineRule="exact"/>
        <w:rPr>
          <w:rFonts w:ascii="Arial" w:cs="Arial" w:eastAsia="Arial" w:hAnsi="Arial"/>
          <w:sz w:val="19"/>
          <w:szCs w:val="19"/>
          <w:color w:val="auto"/>
        </w:rPr>
      </w:pPr>
    </w:p>
    <w:p>
      <w:pPr>
        <w:ind w:left="660" w:right="140" w:firstLine="645"/>
        <w:spacing w:after="0" w:line="241" w:lineRule="auto"/>
        <w:tabs>
          <w:tab w:leader="none" w:pos="2209"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present in, or engaged in a trade or business in, the United States, (ii) being treated as having been present in, or engaged in a trade or business in, the United States, or</w:t>
      </w:r>
    </w:p>
    <w:p>
      <w:pPr>
        <w:spacing w:after="0" w:line="1" w:lineRule="exact"/>
        <w:rPr>
          <w:rFonts w:ascii="Arial" w:cs="Arial" w:eastAsia="Arial" w:hAnsi="Arial"/>
          <w:sz w:val="19"/>
          <w:szCs w:val="19"/>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having or having had a permanent establishment in the United States;</w:t>
      </w:r>
    </w:p>
    <w:p>
      <w:pPr>
        <w:spacing w:after="0" w:line="161" w:lineRule="exact"/>
        <w:rPr>
          <w:rFonts w:ascii="Arial" w:cs="Arial" w:eastAsia="Arial" w:hAnsi="Arial"/>
          <w:sz w:val="22"/>
          <w:szCs w:val="22"/>
          <w:color w:val="auto"/>
        </w:rPr>
      </w:pPr>
    </w:p>
    <w:p>
      <w:pPr>
        <w:ind w:left="660" w:right="140" w:firstLine="645"/>
        <w:spacing w:after="0" w:line="249" w:lineRule="auto"/>
        <w:tabs>
          <w:tab w:leader="none" w:pos="2196"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with respect to the United States a personal holding company, a controlled foreign corporation, a passive foreign investment company, a foreign private foundation or other foreign tax-exempt organization, or being a corporation that accumulates earnings to avoid U.S. federal income tax;</w:t>
      </w:r>
    </w:p>
    <w:p>
      <w:pPr>
        <w:spacing w:after="0" w:line="152" w:lineRule="exact"/>
        <w:rPr>
          <w:rFonts w:ascii="Arial" w:cs="Arial" w:eastAsia="Arial" w:hAnsi="Arial"/>
          <w:sz w:val="19"/>
          <w:szCs w:val="19"/>
          <w:color w:val="auto"/>
        </w:rPr>
      </w:pPr>
    </w:p>
    <w:p>
      <w:pPr>
        <w:ind w:left="660" w:right="200" w:firstLine="645"/>
        <w:spacing w:after="0" w:line="268" w:lineRule="auto"/>
        <w:tabs>
          <w:tab w:leader="none" w:pos="2209"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Internal Revenue Code of 1986, as amended (the “Code”);</w:t>
      </w:r>
    </w:p>
    <w:p>
      <w:pPr>
        <w:spacing w:after="0" w:line="132" w:lineRule="exact"/>
        <w:rPr>
          <w:rFonts w:ascii="Arial" w:cs="Arial" w:eastAsia="Arial" w:hAnsi="Arial"/>
          <w:sz w:val="19"/>
          <w:szCs w:val="19"/>
          <w:color w:val="auto"/>
        </w:rPr>
      </w:pPr>
    </w:p>
    <w:p>
      <w:pPr>
        <w:ind w:left="660" w:right="260" w:firstLine="645"/>
        <w:spacing w:after="0" w:line="234" w:lineRule="auto"/>
        <w:tabs>
          <w:tab w:leader="none" w:pos="2196"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158" w:lineRule="exact"/>
        <w:rPr>
          <w:rFonts w:ascii="Arial" w:cs="Arial" w:eastAsia="Arial" w:hAnsi="Arial"/>
          <w:sz w:val="21"/>
          <w:szCs w:val="21"/>
          <w:color w:val="auto"/>
        </w:rPr>
      </w:pPr>
    </w:p>
    <w:p>
      <w:pPr>
        <w:ind w:left="660" w:right="40" w:firstLine="645"/>
        <w:spacing w:after="0" w:line="232" w:lineRule="auto"/>
        <w:tabs>
          <w:tab w:leader="none" w:pos="2172"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any tax, assessment or other governmental charge that is payable by any method other than withholding or deduction by us or any paying agent from payments in respect of such note;</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564" w:right="259" w:bottom="1440" w:gutter="0" w:footer="0" w:header="0"/>
        </w:sectPr>
      </w:pPr>
    </w:p>
    <w:bookmarkStart w:id="150" w:name="page151"/>
    <w:bookmarkEnd w:id="150"/>
    <w:p>
      <w:pPr>
        <w:ind w:left="660" w:right="160" w:firstLine="645"/>
        <w:spacing w:after="0" w:line="232" w:lineRule="auto"/>
        <w:tabs>
          <w:tab w:leader="none" w:pos="220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gift, estate, inheritance, sales, transfer, personal property or excise tax or any similar tax, assessment or other governmental charge;</w:t>
      </w:r>
    </w:p>
    <w:p>
      <w:pPr>
        <w:spacing w:after="0" w:line="159" w:lineRule="exact"/>
        <w:rPr>
          <w:rFonts w:ascii="Arial" w:cs="Arial" w:eastAsia="Arial" w:hAnsi="Arial"/>
          <w:sz w:val="22"/>
          <w:szCs w:val="22"/>
          <w:color w:val="auto"/>
        </w:rPr>
      </w:pPr>
    </w:p>
    <w:p>
      <w:pPr>
        <w:ind w:left="660" w:right="200" w:firstLine="645"/>
        <w:spacing w:after="0" w:line="223" w:lineRule="auto"/>
        <w:tabs>
          <w:tab w:leader="none" w:pos="220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tax, assessment or other governmental charge required to be withheld by any paying agent from any payment in respect of any such note if such payment can be made without such withholding by at least one other paying agent;</w:t>
      </w:r>
    </w:p>
    <w:p>
      <w:pPr>
        <w:spacing w:after="0" w:line="159" w:lineRule="exact"/>
        <w:rPr>
          <w:rFonts w:ascii="Arial" w:cs="Arial" w:eastAsia="Arial" w:hAnsi="Arial"/>
          <w:sz w:val="22"/>
          <w:szCs w:val="22"/>
          <w:color w:val="auto"/>
        </w:rPr>
      </w:pPr>
    </w:p>
    <w:p>
      <w:pPr>
        <w:ind w:left="660" w:right="380" w:firstLine="645"/>
        <w:spacing w:after="0" w:line="223" w:lineRule="auto"/>
        <w:tabs>
          <w:tab w:leader="none" w:pos="21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159" w:lineRule="exact"/>
        <w:rPr>
          <w:rFonts w:ascii="Arial" w:cs="Arial" w:eastAsia="Arial" w:hAnsi="Arial"/>
          <w:sz w:val="22"/>
          <w:szCs w:val="22"/>
          <w:color w:val="auto"/>
        </w:rPr>
      </w:pPr>
    </w:p>
    <w:p>
      <w:pPr>
        <w:ind w:left="660" w:right="80" w:firstLine="645"/>
        <w:spacing w:after="0" w:line="252" w:lineRule="auto"/>
        <w:tabs>
          <w:tab w:leader="none" w:pos="21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tax, assessment or other governmental charge imposed as a result of the failure of the holder or beneficial owner of such note to comply with a request to comply with applicable certification, information, documentation or other reporting requirements concerning the nationality, residence, identity or connection with the United States of the holder or beneficial owner of such note, if such compliance is required by statute or regulation of the United States as a precondition to relief or exemption from such tax, assessment or other governmental charge;</w:t>
      </w:r>
    </w:p>
    <w:p>
      <w:pPr>
        <w:spacing w:after="0" w:line="149" w:lineRule="exact"/>
        <w:rPr>
          <w:rFonts w:ascii="Arial" w:cs="Arial" w:eastAsia="Arial" w:hAnsi="Arial"/>
          <w:sz w:val="19"/>
          <w:szCs w:val="19"/>
          <w:color w:val="auto"/>
        </w:rPr>
      </w:pPr>
    </w:p>
    <w:p>
      <w:pPr>
        <w:ind w:left="660" w:firstLine="645"/>
        <w:spacing w:after="0" w:line="232" w:lineRule="auto"/>
        <w:tabs>
          <w:tab w:leader="none" w:pos="220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tax, assessment or other governmental charge imposed by reason of the failure of the beneficial owner to fulfill the statement requirements of Section 871(h) or Section 881(c) of the Code;</w:t>
      </w:r>
    </w:p>
    <w:p>
      <w:pPr>
        <w:spacing w:after="0" w:line="159" w:lineRule="exact"/>
        <w:rPr>
          <w:rFonts w:ascii="Arial" w:cs="Arial" w:eastAsia="Arial" w:hAnsi="Arial"/>
          <w:sz w:val="22"/>
          <w:szCs w:val="22"/>
          <w:color w:val="auto"/>
        </w:rPr>
      </w:pPr>
    </w:p>
    <w:p>
      <w:pPr>
        <w:ind w:left="660" w:right="360" w:firstLine="645"/>
        <w:spacing w:after="0" w:line="232" w:lineRule="auto"/>
        <w:tabs>
          <w:tab w:leader="none" w:pos="21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tax, assessment or other governmental charge imposed pursuant to the provisions of Sections 1471 through 1474 of the Code; or</w:t>
      </w:r>
    </w:p>
    <w:p>
      <w:pPr>
        <w:spacing w:after="0" w:line="159" w:lineRule="exact"/>
        <w:rPr>
          <w:rFonts w:ascii="Arial" w:cs="Arial" w:eastAsia="Arial" w:hAnsi="Arial"/>
          <w:sz w:val="22"/>
          <w:szCs w:val="22"/>
          <w:color w:val="auto"/>
        </w:rPr>
      </w:pPr>
    </w:p>
    <w:p>
      <w:pPr>
        <w:ind w:left="2260" w:hanging="955"/>
        <w:spacing w:after="0"/>
        <w:tabs>
          <w:tab w:leader="none" w:pos="22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combination of items (a) through (l) above.</w:t>
      </w:r>
    </w:p>
    <w:p>
      <w:pPr>
        <w:spacing w:after="0" w:line="206"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We will, subject to the exceptions and limitations set forth below, pay to the beneficial owner of any 2022 Euro Note, 2023 Euro Note, 2027 Euro Note, 2035 Euro Note, 2035 Sterling Note, or 2045 Sterling Note that is a Non-U.S. Holder or is a partnership that is not created or organized in or under the laws of the United States or any state or political subdivision thereof such additional amounts as may be necessary to ensure that every net payment on such note, after deduction or withholding by us or any of our paying agents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absent such deduction or withholding. However, we will not pay additional amounts if the beneficial owner is subject to taxation solely for reasons other than its ownership of such note, nor will we pay additional amounts for or on account of:</w:t>
      </w:r>
    </w:p>
    <w:p>
      <w:pPr>
        <w:spacing w:after="0" w:line="180" w:lineRule="exact"/>
        <w:rPr>
          <w:sz w:val="20"/>
          <w:szCs w:val="20"/>
          <w:color w:val="auto"/>
        </w:rPr>
      </w:pPr>
    </w:p>
    <w:p>
      <w:pPr>
        <w:ind w:left="660" w:right="100" w:firstLine="645"/>
        <w:spacing w:after="0" w:line="320" w:lineRule="auto"/>
        <w:tabs>
          <w:tab w:leader="none" w:pos="17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is imposed or withheld solely by reason of the existence of any present or former connection (other than the mere fact of being a beneficial owner of such note) between the beneficial owner (or between a fiduciary, settlor, beneficiary or person holding a power over such beneficial</w:t>
      </w:r>
    </w:p>
    <w:p>
      <w:pPr>
        <w:spacing w:after="0" w:line="12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537" w:right="259" w:bottom="1440" w:gutter="0" w:footer="0" w:header="0"/>
        </w:sectPr>
      </w:pPr>
    </w:p>
    <w:bookmarkStart w:id="151" w:name="page152"/>
    <w:bookmarkEnd w:id="151"/>
    <w:p>
      <w:pPr>
        <w:spacing w:after="0" w:line="248" w:lineRule="auto"/>
        <w:rPr>
          <w:sz w:val="20"/>
          <w:szCs w:val="20"/>
          <w:color w:val="auto"/>
        </w:rPr>
      </w:pPr>
      <w:r>
        <w:rPr>
          <w:rFonts w:ascii="Arial" w:cs="Arial" w:eastAsia="Arial" w:hAnsi="Arial"/>
          <w:sz w:val="22"/>
          <w:szCs w:val="22"/>
          <w:color w:val="auto"/>
        </w:rPr>
        <w:t>owner, if the beneficial owner is an estate or trust, or a partner, member or shareholder of the beneficial owner, if the beneficial owner is a partnership, limited liability company or corporation) of such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192" w:lineRule="exact"/>
        <w:rPr>
          <w:sz w:val="20"/>
          <w:szCs w:val="20"/>
          <w:color w:val="auto"/>
        </w:rPr>
      </w:pPr>
    </w:p>
    <w:p>
      <w:pPr>
        <w:ind w:firstLine="645"/>
        <w:spacing w:after="0" w:line="300" w:lineRule="auto"/>
        <w:tabs>
          <w:tab w:leader="none" w:pos="10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treated as present in, or engaged in a trade or business in, the United States or (ii) having or having had a permanent establishment in the United States;</w:t>
      </w:r>
    </w:p>
    <w:p>
      <w:pPr>
        <w:spacing w:after="0" w:line="147" w:lineRule="exact"/>
        <w:rPr>
          <w:rFonts w:ascii="Arial" w:cs="Arial" w:eastAsia="Arial" w:hAnsi="Arial"/>
          <w:sz w:val="19"/>
          <w:szCs w:val="19"/>
          <w:color w:val="auto"/>
        </w:rPr>
      </w:pPr>
    </w:p>
    <w:p>
      <w:pPr>
        <w:ind w:firstLine="645"/>
        <w:spacing w:after="0" w:line="297" w:lineRule="auto"/>
        <w:tabs>
          <w:tab w:leader="none" w:pos="1068"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treated as, for U.S. federal income tax purposes, a personal holding company, a controlled foreign corporation, a passive foreign investment company, a foreign private foundation or other foreign tax-exempt organization, or being a corporation that accumulates earnings to avoid U.S. federal income tax;</w:t>
      </w:r>
    </w:p>
    <w:p>
      <w:pPr>
        <w:spacing w:after="0" w:line="146" w:lineRule="exact"/>
        <w:rPr>
          <w:rFonts w:ascii="Arial" w:cs="Arial" w:eastAsia="Arial" w:hAnsi="Arial"/>
          <w:sz w:val="19"/>
          <w:szCs w:val="19"/>
          <w:color w:val="auto"/>
        </w:rPr>
      </w:pPr>
    </w:p>
    <w:p>
      <w:pPr>
        <w:ind w:right="40" w:firstLine="645"/>
        <w:spacing w:after="0" w:line="260" w:lineRule="auto"/>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Code;</w:t>
      </w:r>
    </w:p>
    <w:p>
      <w:pPr>
        <w:spacing w:after="0" w:line="177" w:lineRule="exact"/>
        <w:rPr>
          <w:rFonts w:ascii="Arial" w:cs="Arial" w:eastAsia="Arial" w:hAnsi="Arial"/>
          <w:sz w:val="22"/>
          <w:szCs w:val="22"/>
          <w:color w:val="auto"/>
        </w:rPr>
      </w:pPr>
    </w:p>
    <w:p>
      <w:pPr>
        <w:ind w:right="260" w:firstLine="645"/>
        <w:spacing w:after="0" w:line="278" w:lineRule="auto"/>
        <w:tabs>
          <w:tab w:leader="none" w:pos="1068"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160" w:lineRule="exact"/>
        <w:rPr>
          <w:rFonts w:ascii="Arial" w:cs="Arial" w:eastAsia="Arial" w:hAnsi="Arial"/>
          <w:sz w:val="21"/>
          <w:szCs w:val="21"/>
          <w:color w:val="auto"/>
        </w:rPr>
      </w:pPr>
    </w:p>
    <w:p>
      <w:pPr>
        <w:ind w:right="500" w:firstLine="645"/>
        <w:spacing w:after="0" w:line="276" w:lineRule="auto"/>
        <w:tabs>
          <w:tab w:leader="none" w:pos="1044"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tax, assessment or other governmental charge that is payable by any method other than withholding or deduction by us or any paying agent from payments in respect of such note;</w:t>
      </w:r>
    </w:p>
    <w:p>
      <w:pPr>
        <w:spacing w:after="0" w:line="160" w:lineRule="exact"/>
        <w:rPr>
          <w:rFonts w:ascii="Arial" w:cs="Arial" w:eastAsia="Arial" w:hAnsi="Arial"/>
          <w:sz w:val="22"/>
          <w:szCs w:val="22"/>
          <w:color w:val="auto"/>
        </w:rPr>
      </w:pPr>
    </w:p>
    <w:p>
      <w:pPr>
        <w:ind w:right="960" w:firstLine="645"/>
        <w:spacing w:after="0" w:line="276" w:lineRule="auto"/>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gift, estate, inheritance, sales, transfer, wealth, personal property or excise tax or any similar tax, assessment or other governmental charge;</w:t>
      </w:r>
    </w:p>
    <w:p>
      <w:pPr>
        <w:spacing w:after="0" w:line="160" w:lineRule="exact"/>
        <w:rPr>
          <w:rFonts w:ascii="Arial" w:cs="Arial" w:eastAsia="Arial" w:hAnsi="Arial"/>
          <w:sz w:val="22"/>
          <w:szCs w:val="22"/>
          <w:color w:val="auto"/>
        </w:rPr>
      </w:pPr>
    </w:p>
    <w:p>
      <w:pPr>
        <w:ind w:right="360" w:firstLine="645"/>
        <w:spacing w:after="0" w:line="260" w:lineRule="auto"/>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tax, assessment or other governmental charge required to be withheld by any paying agent from any payment in respect of any such note if such payment can be made without such withholding by at least one other paying agent;</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0"/>
          </w:cols>
          <w:pgMar w:left="900" w:top="564" w:right="259" w:bottom="1440" w:gutter="0" w:footer="0" w:header="0"/>
        </w:sectPr>
      </w:pPr>
    </w:p>
    <w:bookmarkStart w:id="152" w:name="page153"/>
    <w:bookmarkEnd w:id="152"/>
    <w:p>
      <w:pPr>
        <w:ind w:left="660" w:right="120" w:firstLine="645"/>
        <w:spacing w:after="0" w:line="260" w:lineRule="auto"/>
        <w:tabs>
          <w:tab w:leader="none" w:pos="1692"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177" w:lineRule="exact"/>
        <w:rPr>
          <w:rFonts w:ascii="Arial" w:cs="Arial" w:eastAsia="Arial" w:hAnsi="Arial"/>
          <w:sz w:val="22"/>
          <w:szCs w:val="22"/>
          <w:color w:val="auto"/>
        </w:rPr>
      </w:pPr>
    </w:p>
    <w:p>
      <w:pPr>
        <w:ind w:left="660" w:right="180" w:firstLine="645"/>
        <w:spacing w:after="0" w:line="297" w:lineRule="auto"/>
        <w:tabs>
          <w:tab w:leader="none" w:pos="1692"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tax, assessment or other governmental charge imposed as a result of the failure of the holder or beneficial owner of such note to comply with a request to comply with applicable certification, information, documentation or other reporting requirements concerning the nationality, residence, identity or connection with the United States of the holder or beneficial owner of such note, if such compliance is required by statute or regulation of the United States or any taxing authority therein or by an applicable income tax treaty to which the United States is a party as a precondition to relief or exemption from such tax, assessment or other governmental charge;</w:t>
      </w:r>
    </w:p>
    <w:p>
      <w:pPr>
        <w:spacing w:after="0" w:line="146" w:lineRule="exact"/>
        <w:rPr>
          <w:rFonts w:ascii="Arial" w:cs="Arial" w:eastAsia="Arial" w:hAnsi="Arial"/>
          <w:sz w:val="19"/>
          <w:szCs w:val="19"/>
          <w:color w:val="auto"/>
        </w:rPr>
      </w:pPr>
    </w:p>
    <w:p>
      <w:pPr>
        <w:ind w:left="660" w:right="240" w:firstLine="645"/>
        <w:spacing w:after="0" w:line="276" w:lineRule="auto"/>
        <w:tabs>
          <w:tab w:leader="none" w:pos="1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tax, assessment or other governmental charge imposed by reason of the failure of the beneficial owner to fulfill the statement requirements of Section 871(h) or Section 881(c) of the Code;</w:t>
      </w:r>
    </w:p>
    <w:p>
      <w:pPr>
        <w:spacing w:after="0" w:line="160" w:lineRule="exact"/>
        <w:rPr>
          <w:rFonts w:ascii="Arial" w:cs="Arial" w:eastAsia="Arial" w:hAnsi="Arial"/>
          <w:sz w:val="22"/>
          <w:szCs w:val="22"/>
          <w:color w:val="auto"/>
        </w:rPr>
      </w:pPr>
    </w:p>
    <w:p>
      <w:pPr>
        <w:ind w:left="660" w:firstLine="645"/>
        <w:spacing w:after="0" w:line="254" w:lineRule="auto"/>
        <w:tabs>
          <w:tab w:leader="none" w:pos="1692"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tax, assessment or other governmental charge imposed by reason of the holder or beneficial owner of such note being or having been treated as a bank receiving payments on an extension of credit made pursuant to a loan agreement entered into in the ordinary course of its trade or business, as described in section 881(c)(3)(A) of the Code or any successor provisions;</w:t>
      </w:r>
    </w:p>
    <w:p>
      <w:pPr>
        <w:spacing w:after="0" w:line="185" w:lineRule="exact"/>
        <w:rPr>
          <w:rFonts w:ascii="Arial" w:cs="Arial" w:eastAsia="Arial" w:hAnsi="Arial"/>
          <w:sz w:val="22"/>
          <w:szCs w:val="22"/>
          <w:color w:val="auto"/>
        </w:rPr>
      </w:pPr>
    </w:p>
    <w:p>
      <w:pPr>
        <w:jc w:val="both"/>
        <w:ind w:left="660" w:right="20" w:firstLine="645"/>
        <w:spacing w:after="0" w:line="260" w:lineRule="auto"/>
        <w:tabs>
          <w:tab w:leader="none" w:pos="18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withholding or deduction that is imposed on a payment to a holder or beneficial owner and that is required to be made pursuant to any law implementing or complying with, or introduced in order to conform to, any European Union Directive on the taxation of savings;</w:t>
      </w:r>
    </w:p>
    <w:p>
      <w:pPr>
        <w:spacing w:after="0" w:line="177" w:lineRule="exact"/>
        <w:rPr>
          <w:rFonts w:ascii="Arial" w:cs="Arial" w:eastAsia="Arial" w:hAnsi="Arial"/>
          <w:sz w:val="22"/>
          <w:szCs w:val="22"/>
          <w:color w:val="auto"/>
        </w:rPr>
      </w:pPr>
    </w:p>
    <w:p>
      <w:pPr>
        <w:ind w:left="660" w:right="20" w:firstLine="645"/>
        <w:spacing w:after="0" w:line="264" w:lineRule="auto"/>
        <w:tabs>
          <w:tab w:leader="none" w:pos="174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tax, assessment or other governmental charge imposed under Sections 1471 through 1474 of the Code as of the issue date (or any amended or successor provision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(or related laws or official administrative practices) implementing the foregoing; or</w:t>
      </w:r>
    </w:p>
    <w:p>
      <w:pPr>
        <w:spacing w:after="0" w:line="175" w:lineRule="exact"/>
        <w:rPr>
          <w:rFonts w:ascii="Arial" w:cs="Arial" w:eastAsia="Arial" w:hAnsi="Arial"/>
          <w:sz w:val="21"/>
          <w:szCs w:val="21"/>
          <w:color w:val="auto"/>
        </w:rPr>
      </w:pPr>
    </w:p>
    <w:p>
      <w:pPr>
        <w:ind w:left="1740" w:hanging="435"/>
        <w:spacing w:after="0"/>
        <w:tabs>
          <w:tab w:leader="none" w:pos="1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combination of items (a) through (n) above.</w:t>
      </w:r>
    </w:p>
    <w:p>
      <w:pPr>
        <w:spacing w:after="0" w:line="233"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In addition, we will not pay additional amounts to a beneficial owner of a note that is a fiduciary, partnership, limited liability company or other fiscally transparent entity, or to a beneficial owner of a note that is not the sole beneficial owner of such note, as the case may be. This exception, however, will apply only to the extent that a beneficiary or settlor with respect to the fiduciary, or a beneficial owner, partner or member of the partnership, limited liability company or other fiscally transparent entity, would not have been entitled to the payment of an</w:t>
      </w:r>
    </w:p>
    <w:p>
      <w:pPr>
        <w:spacing w:after="0" w:line="19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564" w:right="259" w:bottom="1440" w:gutter="0" w:footer="0" w:header="0"/>
        </w:sectPr>
      </w:pPr>
    </w:p>
    <w:bookmarkStart w:id="153" w:name="page154"/>
    <w:bookmarkEnd w:id="153"/>
    <w:p>
      <w:pPr>
        <w:ind w:right="80"/>
        <w:spacing w:after="0" w:line="297" w:lineRule="auto"/>
        <w:rPr>
          <w:sz w:val="20"/>
          <w:szCs w:val="20"/>
          <w:color w:val="auto"/>
        </w:rPr>
      </w:pPr>
      <w:r>
        <w:rPr>
          <w:rFonts w:ascii="Arial" w:cs="Arial" w:eastAsia="Arial" w:hAnsi="Arial"/>
          <w:sz w:val="19"/>
          <w:szCs w:val="19"/>
          <w:color w:val="auto"/>
        </w:rPr>
        <w:t>additional amount had the beneficiary, settlor, beneficial owner, partner or member received directly its beneficial or distributive share of the payment. For purposes of this paragraph, the term “beneficial owner” includes any person holding a note on behalf of or for the account of a beneficial owner.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47" w:lineRule="exact"/>
        <w:rPr>
          <w:sz w:val="20"/>
          <w:szCs w:val="20"/>
          <w:color w:val="auto"/>
        </w:rPr>
      </w:pPr>
    </w:p>
    <w:p>
      <w:pPr>
        <w:ind w:right="720" w:firstLine="648"/>
        <w:spacing w:after="0" w:line="343" w:lineRule="auto"/>
        <w:rPr>
          <w:sz w:val="20"/>
          <w:szCs w:val="20"/>
          <w:color w:val="auto"/>
        </w:rPr>
      </w:pPr>
      <w:r>
        <w:rPr>
          <w:rFonts w:ascii="Arial" w:cs="Arial" w:eastAsia="Arial" w:hAnsi="Arial"/>
          <w:sz w:val="19"/>
          <w:szCs w:val="19"/>
          <w:color w:val="auto"/>
        </w:rPr>
        <w:t>The term “Non-U.S. Holder” means any beneficial owner of a note that is not a U.S. Holder and is not a partnership (including any entity or arrangement properly classified as a partnership for U.S. federal income tax purposes).</w:t>
      </w:r>
    </w:p>
    <w:p>
      <w:pPr>
        <w:spacing w:after="0" w:line="10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term “U.S. Holder” means a beneficial owner of a note that is for U.S. federal income tax purposes: an individual citizen or resident of the United States; a corporation created or organized in or under the laws of the United States or any state or political subdivision thereof; an estate, the income of which is subject to U.S. federal income tax regardless of its source; or a trust, if (i) a U.S. court is able to exercise primary supervision over the trust’s administration and one or more “United States persons” (as defined in the Code) have the authority to control all substantial decisions of the trust, or (ii) the trust has in effect a valid election to be treated as a “United States person” (as defined in the Code).</w:t>
      </w:r>
    </w:p>
    <w:p>
      <w:pPr>
        <w:spacing w:after="0" w:line="180"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2"/>
          <w:szCs w:val="22"/>
          <w:color w:val="auto"/>
        </w:rPr>
        <w:t>We undertake that, to the extent permitted by law, we will maintain a paying agent (with respect to the 2021 Euro Notes, in a Member State of the European Union (if any)) that will not require withholding or deduction of tax pursuant to European Council Directive 2003/48/EC on the taxation of savings income or any law implementing or complying with, or introduced to conform to, such European Council Directive.</w:t>
      </w:r>
    </w:p>
    <w:p>
      <w:pPr>
        <w:spacing w:after="0" w:line="188"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with respect to payments on the notes.</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If we are required to pay additional amounts with respect to the notes, we will notify the trustee and paying agent pursuant to an officers’ certificate that specifies the additional amounts payable. If the trustee and the paying agent do not receive such an officers’ certificate, the trustee and paying agent will be fully protected in assuming that no such additional amounts are payable.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26" w:lineRule="exact"/>
        <w:rPr>
          <w:sz w:val="20"/>
          <w:szCs w:val="20"/>
          <w:color w:val="auto"/>
        </w:rPr>
      </w:pPr>
    </w:p>
    <w:p>
      <w:pPr>
        <w:jc w:val="both"/>
        <w:ind w:right="100" w:firstLine="648"/>
        <w:spacing w:after="0" w:line="265" w:lineRule="auto"/>
        <w:rPr>
          <w:sz w:val="20"/>
          <w:szCs w:val="20"/>
          <w:color w:val="auto"/>
        </w:rPr>
      </w:pPr>
      <w:r>
        <w:rPr>
          <w:rFonts w:ascii="Arial" w:cs="Arial" w:eastAsia="Arial" w:hAnsi="Arial"/>
          <w:sz w:val="21"/>
          <w:szCs w:val="21"/>
          <w:color w:val="auto"/>
        </w:rPr>
        <w:t>Prior to December 7, 2021 (the date that is three months prior to the scheduled maturity date for the 2022 Euro Notes), we may, at our option, redeem the 2022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2022 Euro Notes</w:t>
      </w:r>
    </w:p>
    <w:p>
      <w:pPr>
        <w:spacing w:after="0" w:line="176"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564" w:right="259" w:bottom="1440" w:gutter="0" w:footer="0" w:header="0"/>
        </w:sectPr>
      </w:pPr>
    </w:p>
    <w:bookmarkStart w:id="154" w:name="page155"/>
    <w:bookmarkEnd w:id="154"/>
    <w:p>
      <w:pPr>
        <w:ind w:right="60"/>
        <w:spacing w:after="0" w:line="312" w:lineRule="auto"/>
        <w:rPr>
          <w:sz w:val="20"/>
          <w:szCs w:val="20"/>
          <w:color w:val="auto"/>
        </w:rPr>
      </w:pPr>
      <w:r>
        <w:rPr>
          <w:rFonts w:ascii="Arial" w:cs="Arial" w:eastAsia="Arial" w:hAnsi="Arial"/>
          <w:sz w:val="19"/>
          <w:szCs w:val="19"/>
          <w:color w:val="auto"/>
        </w:rPr>
        <w:t>to be redeemed and (ii) the sum of the present values of the Remaining Scheduled Payments (as defined below) discounted to the redemption date, on an annual basis (ACTUAL/ACTUAL (ICMA)), at a rate equal to the applicable Treasury Rate (as defined below) plus 15 basis points plus, in either case, accrued and unpaid interest, if any, thereon to, but excluding, the redemption date.</w:t>
      </w:r>
    </w:p>
    <w:p>
      <w:pPr>
        <w:spacing w:after="0" w:line="134"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Prior to October 20, 2022 (the date that is three months prior to the scheduled maturity date for the 2023 Euro Notes), we may, at our option, redeem the 2023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2023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5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Prior to December 8, 2026 (the date that is three months prior to the scheduled maturity date for the 2027 Euro Notes), we may, at our option, redeem the 2027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2027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5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Prior to December 6, 2034 (the date that is three months prior to the scheduled maturity date for the 2035 Euro Notes), we may, at our option, redeem the 2035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2035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51"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Prior to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the greater of (i) 100% of the principal amount of the 2035 Sterling Notes to be redeemed and (ii) the sum of the present values of the Remaining</w:t>
      </w:r>
    </w:p>
    <w:p>
      <w:pPr>
        <w:spacing w:after="0" w:line="19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00"/>
          </w:cols>
          <w:pgMar w:left="240" w:top="564" w:right="359" w:bottom="1440" w:gutter="0" w:footer="0" w:header="0"/>
        </w:sectPr>
      </w:pPr>
    </w:p>
    <w:bookmarkStart w:id="155" w:name="page156"/>
    <w:bookmarkEnd w:id="155"/>
    <w:p>
      <w:pPr>
        <w:jc w:val="both"/>
        <w:spacing w:after="0" w:line="253" w:lineRule="auto"/>
        <w:rPr>
          <w:sz w:val="20"/>
          <w:szCs w:val="20"/>
          <w:color w:val="auto"/>
        </w:rPr>
      </w:pPr>
      <w:r>
        <w:rPr>
          <w:rFonts w:ascii="Arial" w:cs="Arial" w:eastAsia="Arial" w:hAnsi="Arial"/>
          <w:sz w:val="22"/>
          <w:szCs w:val="22"/>
          <w:color w:val="auto"/>
        </w:rPr>
        <w:t>Scheduled Payments (as defined below) discounted to the redemption date, on an annual basis (ACTUAL/ACTUAL (ICMA)), at a rate equal to the applicable Treasury Rate (as defined below) plus 30 basis points plus, in either case, accrued and unpaid interest, if any, thereon to, but excluding, the redemption date.</w:t>
      </w:r>
    </w:p>
    <w:p>
      <w:pPr>
        <w:spacing w:after="0" w:line="186"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Prior to December 6, 2044 (the date that is three months prior to the scheduled maturity date for the 2045 Sterling Notes), we may, at our option, redeem the 2045 Sterling Notes, in whole at any time or in part from time to time (in £1,000 increments, provided that any remaining principal amount thereof shall be at least the minimum authorized denomination thereof), at a redemption price equal to the greater of (i) 100% of the principal amount of the 2045 Sterling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5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On or after December 7, 2021 (the date that is three months prior to the scheduled maturity date for the 2022 Euro Notes), we may, at our option, redeem the 2022 Euro Notes, in whole at any time or in part from time to time (in €1,000 increments, provided that any remaining principal amount thereof shall be at least the minimum authorized denomination thereof) at a redemption price equal to 100% of the principal amount of the 2022 Euro Notes to be redeemed, plus accrued and unpaid interest, if any, thereon to, but excluding, the redemption date.</w:t>
      </w:r>
    </w:p>
    <w:p>
      <w:pPr>
        <w:spacing w:after="0" w:line="192"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On or after October 20, 2022 (the date that is three months prior to the scheduled maturity date for the 2023 Euro Notes), we may, at our option, redeem the 2023 Euro Notes, in whole at any time or in part from time to time (in €1,000 increments, provided that any remaining principal amount thereof shall be at least the minimum authorized denomination thereof) at a redemption price equal to 100% of the principal amount of the 2023 Euro Notes to be redeemed, plus accrued and unpaid interest, if any, thereon to, but excluding, the redemption date.</w:t>
      </w:r>
    </w:p>
    <w:p>
      <w:pPr>
        <w:spacing w:after="0" w:line="192"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On or after December 8, 2026 (the date that is three months prior to the scheduled maturity date for the 2027 Euro Notes), we may, at our option, redeem the 2027 Euro Notes, in whole at any time or in part from time to time (in €1,000 increments, provided that any remaining principal amount thereof shall be at least the minimum authorized denomination thereof) at a redemption price equal to 100% of the principal amount of the 2027 Euro Notes to be redeemed, plus accrued and unpaid interest, if any, thereon to, but excluding, the redemption date.</w:t>
      </w:r>
    </w:p>
    <w:p>
      <w:pPr>
        <w:spacing w:after="0" w:line="192" w:lineRule="exact"/>
        <w:rPr>
          <w:sz w:val="20"/>
          <w:szCs w:val="20"/>
          <w:color w:val="auto"/>
        </w:rPr>
      </w:pPr>
    </w:p>
    <w:p>
      <w:pPr>
        <w:ind w:right="200" w:firstLine="648"/>
        <w:spacing w:after="0" w:line="265" w:lineRule="auto"/>
        <w:rPr>
          <w:sz w:val="20"/>
          <w:szCs w:val="20"/>
          <w:color w:val="auto"/>
        </w:rPr>
      </w:pPr>
      <w:r>
        <w:rPr>
          <w:rFonts w:ascii="Arial" w:cs="Arial" w:eastAsia="Arial" w:hAnsi="Arial"/>
          <w:sz w:val="21"/>
          <w:szCs w:val="21"/>
          <w:color w:val="auto"/>
        </w:rPr>
        <w:t>On or after December 6, 2034 (the date that is three months prior to the scheduled maturity date for the 2035 Euro Notes), we may, at our option, redeem the 2035 Euro Notes, in whole at any time or in part from time to time (in €1,000 increments, provided that any remaining principal amount thereof shall be at least the minimum authorized denomination thereof) at a redemption price equal to 100% of the principal amount of the 2035 Euro Notes to</w:t>
      </w:r>
    </w:p>
    <w:p>
      <w:pPr>
        <w:spacing w:after="0" w:line="176"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564" w:right="25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be redeemed, plus accrued and unpaid interest, if any, thereon to, but excluding, the redemption date.</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On or after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100% of the principal amount of the 2035 Sterling Notes to be redeemed, plus accrued and unpaid interest, if any, thereon to, but excluding, the redemption date.</w:t>
      </w:r>
    </w:p>
    <w:p>
      <w:pPr>
        <w:spacing w:after="0" w:line="176"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On or after December 6, 2044 (the date that is three months prior to the scheduled maturity date for the 2045 Sterling Notes), we may, at our option, redeem the 2045 Sterling Notes, in whole at any time or in part from time to time (in £1,000 increments, provided that any remaining principal amount thereof shall be at least the minimum authorized denomination thereof) at a redemption price equal to 100% of the principal amount of the 2045 Sterling Notes to be redeemed, plus accrued and unpaid interest, if any, thereon to, but excluding, the redemption date.</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“Independent Investment Bank” means one of the Reference Bond Dealers that we appoint as the Independent Investment Bank from time to time.</w:t>
      </w:r>
    </w:p>
    <w:p>
      <w:pPr>
        <w:spacing w:after="0" w:line="17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“Treasury Rate” means the price, expressed as a percentage (rounded to three decimal places, 0.0005 being rounded upwards), at which the gross redemption yield on the applicable series of notes, if they were to be purchased at such price on the third business day prior to the date fixed for redemption, would be equal to the gross redemption yield on such business day of the Reference Bond (as defined below) on the basis of the middle market price of the Reference Bond prevailing at 11:00 a.m. (London time) on such dealing day as determined by us or the Independent Investment Bank.</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“Reference Bond” means, with respect to the 2022 Euro Notes, 2023 Euro Notes, 2027 Euro Notes, and 2035 Euro Notes, in relation to any Treasury Rate calculation, a German government bond whose maturity is closest to the maturity of the applicable series of notes, or if we or the Independent Investment Bank considers that such similar bond is not in issue, such other German government bond as we or the Independent Investment Bank, with the advice of three brokers of, and/or market makers in, German government bonds selected by us or the Independent Investment Bank, determine to be appropriate for determining the Treasury Rate, and, with respect to the Sterling Notes, in relation to any Treasury Rate calculation, a United Kingdom government bond whose maturity is closest to the maturity of the notes, or if we or the Independent Investment Bank considers that such similar bond is not in issue, such other United Kingdom government bond as we or the Independent Investment Bank, with the advice of three brokers of, and/or market makers in, United Kingdom government bonds selected by us or the Independent Investment Bank, determine to be appropriate for determining the Treasury Rate.</w:t>
      </w:r>
    </w:p>
    <w:p>
      <w:pPr>
        <w:spacing w:after="0" w:line="160"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“Reference Bond Dealer” means, (i) with respect to the 2022 Euro Notes, the 2027 Euro Notes, and the 2035 Euro Notes, (A) each of Credit Suisse Securities (Europe) Limited,</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564" w:right="259" w:bottom="1440" w:gutter="0" w:footer="0" w:header="0"/>
        </w:sectPr>
      </w:pPr>
    </w:p>
    <w:bookmarkStart w:id="157" w:name="page158"/>
    <w:bookmarkEnd w:id="157"/>
    <w:p>
      <w:pPr>
        <w:ind w:right="40"/>
        <w:spacing w:after="0" w:line="287" w:lineRule="auto"/>
        <w:rPr>
          <w:sz w:val="20"/>
          <w:szCs w:val="20"/>
          <w:color w:val="auto"/>
        </w:rPr>
      </w:pPr>
      <w:r>
        <w:rPr>
          <w:rFonts w:ascii="Arial" w:cs="Arial" w:eastAsia="Arial" w:hAnsi="Arial"/>
          <w:sz w:val="19"/>
          <w:szCs w:val="19"/>
          <w:color w:val="auto"/>
        </w:rPr>
        <w:t>Deutsche Bank AG, London Branch, The Royal Bank of Scotland plc and Société Générale (or their respective affiliates that are Primary Bond Dealers), and their respective successors and (B) any other broker of, and/or market maker in, German government bonds (a “Primary Bond Dealer”) selected by us; (ii) with respect to the 2023 Euro Notes (A) each of BNP Paribas, Deutsche Bank AG, London Branch and Merrill Lynch International (or their respective affiliates that are Primary Bond Dealers), and their respective successors and (B) any other broker of, and/or market maker in, German government bonds (a “Primary Bond Dealer”) selected by us; (iii) with respect to the 2035 Sterling Notes, (A) each of Barclays Bank PLC, Goldman, Sachs &amp; Co., and HSBC Bank plc (or their respective affiliates that are Primary Bond Dealers), and their respective successors and (B) any other broker of, and/or market maker in, United Kingdom government bonds (a “Primary Bond Dealer”) selected by us; and (iv) with respect to the 2045 Sterling Notes (A) each of Credit Suisse Securities (Europe) Limited, Deutsche Bank AG, London Branch, The Royal Bank of Scotland plc and Société Générale (or their respective affiliates that are Primary Bond Dealers), and their respective successors and (B) any other broker of, and/or market maker in, United Kingdom government bonds (a “Primary Bond Dealer”) selected by us.</w:t>
      </w:r>
    </w:p>
    <w:p>
      <w:pPr>
        <w:spacing w:after="0" w:line="200" w:lineRule="exact"/>
        <w:rPr>
          <w:sz w:val="20"/>
          <w:szCs w:val="20"/>
          <w:color w:val="auto"/>
        </w:rPr>
      </w:pPr>
    </w:p>
    <w:p>
      <w:pPr>
        <w:spacing w:after="0" w:line="221" w:lineRule="exact"/>
        <w:rPr>
          <w:sz w:val="20"/>
          <w:szCs w:val="20"/>
          <w:color w:val="auto"/>
        </w:rPr>
      </w:pPr>
    </w:p>
    <w:p>
      <w:pPr>
        <w:ind w:right="360" w:firstLine="648"/>
        <w:spacing w:after="0" w:line="248" w:lineRule="auto"/>
        <w:rPr>
          <w:sz w:val="20"/>
          <w:szCs w:val="20"/>
          <w:color w:val="auto"/>
        </w:rPr>
      </w:pPr>
      <w:r>
        <w:rPr>
          <w:rFonts w:ascii="Arial" w:cs="Arial" w:eastAsia="Arial" w:hAnsi="Arial"/>
          <w:sz w:val="22"/>
          <w:szCs w:val="22"/>
          <w:color w:val="auto"/>
        </w:rPr>
        <w:t>“Remaining Scheduled Payments” means, with respect to the applicable note to be redeemed, the remaining scheduled payments of principal of and interest on the relevant note that would be due after the related redemption date but for the redemption. If that redemption date is not an interest payment date with respect to a note, the amount of the next succeeding scheduled interest payment on the relevant note will be reduced by the amount of interest accrued on the applicable note to, but excluding, the redemption date.</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If money sufficient to pay the redemption price on the applicable notes (or portions thereof) to be redeemed on the applicable redemption date is deposited with the paying agent on or before the applicable redemption date and certain other conditions are satisfied, then on and after such redemption date, interest will cease to accrue on such notes (or such portion thereof) called for redemption.</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We will, or will cause the trustee or paying agent on our behalf to, mail notice of a redemption to holders of the applicable notes to be redeemed by first-class mail (or otherwise transmit in accordance with applicable procedures of Euroclear/Clearstream) at least 30 and not more than 60 days prior to the date fixed for redemption. Unless we default in payment of the redemption price, on and after the redemption date, interest will cease to accrue on the applicable notes or portions thereof called for redemption. On or before the applicable redemption date, we will deposit with the paying agent or set aside, segregate and hold in trust (if we are acting as paying agent), funds sufficient to pay the redemption price of, and accrued and unpaid interest on, such notes to be redeemed on that redemption date. If fewer than all of the notes of any series are to be redeemed, the paying agent will select, not more than 60 days prior to the redemption date, the particular notes or portions thereof for redemption from the outstanding notes of such series not previously called by such method as the paying agent deems fair and appropriate and in accordance with the applicable procedures of the depositary; provided, however, that no notes of a principal amount of €100,000 or less for the Euro Notes and £100,000 or less for the Sterling Notes shall be redeemed in part. After the redemption date, holders of notes which were</w:t>
      </w:r>
    </w:p>
    <w:p>
      <w:pPr>
        <w:spacing w:after="0" w:line="15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80"/>
          </w:cols>
          <w:pgMar w:left="240" w:top="564" w:right="279" w:bottom="1440" w:gutter="0" w:footer="0" w:header="0"/>
        </w:sectPr>
      </w:pPr>
    </w:p>
    <w:bookmarkStart w:id="158" w:name="page159"/>
    <w:bookmarkEnd w:id="158"/>
    <w:p>
      <w:pPr>
        <w:spacing w:after="0" w:line="263" w:lineRule="auto"/>
        <w:rPr>
          <w:sz w:val="20"/>
          <w:szCs w:val="20"/>
          <w:color w:val="auto"/>
        </w:rPr>
      </w:pPr>
      <w:r>
        <w:rPr>
          <w:rFonts w:ascii="Arial" w:cs="Arial" w:eastAsia="Arial" w:hAnsi="Arial"/>
          <w:sz w:val="22"/>
          <w:szCs w:val="22"/>
          <w:color w:val="auto"/>
        </w:rPr>
        <w:t>redeemed will have no rights with respect to the notes except the right to receive the redemption price and any unpaid interest to the redemption date.</w:t>
      </w:r>
    </w:p>
    <w:p>
      <w:pPr>
        <w:spacing w:after="0" w:line="175"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We may at any time, and from time to time, purchase notes of any series at any price or prices in the open market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for Tax Reasons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We may redeem a series of notes prior to maturity in whole, but not in part, on not more than 60 days’ notice and not less than 30 days’ notice (with written notice to the trustee no less than 15 days (or such shorter period as agreed by the trustee) prior to the sending of such redemption notice in the event the trustee is engaged by us to send such notice or cause such notice to be sent in our name and at our expense) at a redemption price equal to the principal amount of such notes plus any accrued interest and additional amounts to, but not including, the date fixed for redemption if:</w:t>
      </w:r>
    </w:p>
    <w:p>
      <w:pPr>
        <w:spacing w:after="0" w:line="176" w:lineRule="exact"/>
        <w:rPr>
          <w:sz w:val="20"/>
          <w:szCs w:val="20"/>
          <w:color w:val="auto"/>
        </w:rPr>
      </w:pPr>
    </w:p>
    <w:p>
      <w:pPr>
        <w:ind w:left="1300" w:right="100" w:hanging="644"/>
        <w:spacing w:after="0" w:line="260" w:lineRule="auto"/>
        <w:tabs>
          <w:tab w:leader="none" w:pos="130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as a result of a change in or amendment to the tax laws, regulations or rulings of the United States or any political subdivision or taxing authority of or in the United States or any change in official position regarding the application or interpretation of such laws, regulations or rulings (including a holding by a court of competent jurisdiction in the United States) that is announced or becomes effective on or after the date of the issuance of such notes we have or will become obligated to pay additional amounts with respect to the notes as described above under “—Payment of Additional Amounts,” and we, in our business judgment, determine that such obligations cannot be avoided by the use of reasonable measures available to us; or</w:t>
      </w:r>
    </w:p>
    <w:p>
      <w:pPr>
        <w:spacing w:after="0" w:line="181" w:lineRule="exact"/>
        <w:rPr>
          <w:rFonts w:ascii="Arial" w:cs="Arial" w:eastAsia="Arial" w:hAnsi="Arial"/>
          <w:sz w:val="21"/>
          <w:szCs w:val="21"/>
          <w:color w:val="auto"/>
        </w:rPr>
      </w:pPr>
    </w:p>
    <w:p>
      <w:pPr>
        <w:ind w:left="1300" w:right="20" w:hanging="644"/>
        <w:spacing w:after="0" w:line="259" w:lineRule="auto"/>
        <w:tabs>
          <w:tab w:leader="none" w:pos="1300" w:val="left"/>
        </w:tabs>
        <w:numPr>
          <w:ilvl w:val="0"/>
          <w:numId w:val="70"/>
        </w:numPr>
        <w:rPr>
          <w:rFonts w:ascii="Arial" w:cs="Arial" w:eastAsia="Arial" w:hAnsi="Arial"/>
          <w:sz w:val="21"/>
          <w:szCs w:val="21"/>
          <w:color w:val="auto"/>
        </w:rPr>
      </w:pPr>
      <w:r>
        <w:rPr>
          <w:rFonts w:ascii="Arial" w:cs="Arial" w:eastAsia="Arial" w:hAnsi="Arial"/>
          <w:sz w:val="21"/>
          <w:szCs w:val="21"/>
          <w:color w:val="auto"/>
        </w:rPr>
        <w:t>on or after the date of the issuance of such notes, any action is taken by a taxing authority of, or any decision has been rendered by a court of competent jurisdiction in, the United States or any political subdivision of or in the United States, including any of those actions specified above, whether or not such action was taken or decision was rendered with respect to us, or any change, amendment, application or interpretation is officially proposed, which, in any such case, in the written opinion of independent legal counsel of recognized standing, will result in a material probability that we will become obligated to pay additional amounts with respect to the notes, and we, in our business judgment, determine that such obligations cannot be avoided by the use of reasonable measures available to us.</w:t>
      </w:r>
    </w:p>
    <w:p>
      <w:pPr>
        <w:spacing w:after="0" w:line="184"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If we exercise our option to redeem the notes, we will deliver to the trustee a certificate signed by an authorized officer stating that we are entitled to redeem the notes and an opinion of independent tax counsel selected by us to the effect that the circumstances described in the above bullets exist. The trustee and paying agents will accept and will be entitled to conclusively rely upon such officer’s certificate and opinion of counsel as sufficient evidence of the satisfaction of the conditions precedent described above for us to exercise our right to redeem the notes, which determination will be conclusive and binding on the holders of the notes.</w:t>
      </w:r>
    </w:p>
    <w:p>
      <w:pPr>
        <w:spacing w:after="0" w:line="194"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64"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Further Issues</w:t>
      </w:r>
    </w:p>
    <w:p>
      <w:pPr>
        <w:spacing w:after="0" w:line="226"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We may, without the consent of the holders of any series of notes, issue additional notes having the same ranking and the same interest rate, maturity and other terms as the notes of such series (except for the issue date, issue price, and, in some cases, the first payment of interest or interest accruing prior to the issue date of such additional notes). The additional notes may only be issued if they would be fungible with the notes of such series for U.S. federal income tax purposes. Any additional notes having such similar terms, together with the applicable series of notes described herein, will constitute a single series of notes under the applicable indenture. No additional notes may be issued if an event of default has occurred with respect to the applicable series of notes.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System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Global Clearance and Settlement</w:t>
      </w:r>
    </w:p>
    <w:p>
      <w:pPr>
        <w:spacing w:after="0" w:line="22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Each series of notes has been issued in the form of one or more global notes (the “Global Notes”) in fully registered form, without coupons, and deposited with a common depositary for, and in respect of interests held through, Euroclear Bank S.A./N.V., as operator of the Euroclear System (“Euroclear”), and Clearstream Banking, société anonyme (“Clearstream”). Except as described herein, certificates will not be issued in exchange for beneficial interests in the Global Notes.</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Except as set forth below, the Global Notes may be transferred, in whole and not in part, only to Euroclear or Clearstream or their respective nominees.</w:t>
      </w:r>
    </w:p>
    <w:p>
      <w:pPr>
        <w:spacing w:after="0" w:line="175"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Beneficial interests in the Global Notes are represented, and transfers of such beneficial interests are effected, through accounts of financial institutions acting on behalf of beneficial owners as direct or indirect participants in Euroclear or Clearstream. Those beneficial interests in the Global Notes are in denominations of €100,000 and integral multiples of €1,000 in excess thereof for the Euro Notes and £100,000 and integral multiples of £1,000 in excess thereof for the Sterling Notes. Investors may hold notes directly through Euroclear or Clearstream, if they are participants in such systems, or indirectly through organizations that are participants in such systems.</w:t>
      </w:r>
    </w:p>
    <w:p>
      <w:pPr>
        <w:spacing w:after="0" w:line="18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9"/>
          <w:szCs w:val="19"/>
          <w:color w:val="auto"/>
        </w:rPr>
        <w:t>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applicable indenture, including for purposes of receiving any reports delivered by us or the trustee pursuant to the applicable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applicable indenture. Under existing industry practices, if we request any action of holders of the notes or a beneficial owner desires to give or take any action which a holder is entitled to give or take under the applicable indenture, the clearing systems would authorize their participants</w:t>
      </w:r>
    </w:p>
    <w:p>
      <w:pPr>
        <w:spacing w:after="0" w:line="157"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58" w:right="239" w:bottom="1440" w:gutter="0" w:footer="0" w:header="0"/>
        </w:sectPr>
      </w:pPr>
    </w:p>
    <w:bookmarkStart w:id="160" w:name="page161"/>
    <w:bookmarkEnd w:id="160"/>
    <w:p>
      <w:pPr>
        <w:ind w:right="40"/>
        <w:spacing w:after="0" w:line="260" w:lineRule="auto"/>
        <w:rPr>
          <w:sz w:val="20"/>
          <w:szCs w:val="20"/>
          <w:color w:val="auto"/>
        </w:rPr>
      </w:pPr>
      <w:r>
        <w:rPr>
          <w:rFonts w:ascii="Arial" w:cs="Arial" w:eastAsia="Arial" w:hAnsi="Arial"/>
          <w:sz w:val="21"/>
          <w:szCs w:val="21"/>
          <w:color w:val="auto"/>
        </w:rPr>
        <w:t>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are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18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Persons who are not Euroclear or Clearstream participants may beneficially own notes held by the common depositary for Euroclear and Clearstream only through direct or indirect participants in Euroclear and Clearstream. So long as the common depositary for Euroclear and Clearstream is the registered owner of the Global Note, the common depositary for all purposes will be considered the sole holder of the notes represented by the Global Note under the applicable indenture and the Global Notes.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Certificated Notes</w:t>
      </w:r>
    </w:p>
    <w:p>
      <w:pPr>
        <w:spacing w:after="0" w:line="22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If the applicable depositary is at any time unwilling or unable to continue as depositary for any of the Global Notes and a successor depositary is not appointed by us within 90 days,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 to have the notes represented by the Global Notes and, in 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Any notes so issued in definitive form will be issued as registered in minimum denominations of €100,000 and integral multiples of €1,000 thereafter for the Euro Notes, and £100,000 and integral multiples of £1,000 thereafter for the Sterling Notes, unless otherwise specified by us. Our definitive form of the notes can be transferred by presentation for registration to the registrar at its office and must be duly endorsed by the holder or his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 notes.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Merger or Sale</w:t>
      </w:r>
    </w:p>
    <w:p>
      <w:pPr>
        <w:spacing w:after="0" w:line="22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We have agreed not to consolidate with or merge into any other corporation or convey or transfer our properties and assets substantially as an entirety to any person, unless:</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564" w:right="259" w:bottom="1440" w:gutter="0" w:footer="0" w:header="0"/>
        </w:sectPr>
      </w:pPr>
    </w:p>
    <w:bookmarkStart w:id="161" w:name="page162"/>
    <w:bookmarkEnd w:id="161"/>
    <w:p>
      <w:pPr>
        <w:ind w:left="1300" w:right="360" w:hanging="644"/>
        <w:spacing w:after="0" w:line="263"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successor is a corporation organized under the laws of the United States, any state of the United States or the District of Columbia;</w:t>
      </w:r>
    </w:p>
    <w:p>
      <w:pPr>
        <w:spacing w:after="0" w:line="174" w:lineRule="exact"/>
        <w:rPr>
          <w:rFonts w:ascii="Arial" w:cs="Arial" w:eastAsia="Arial" w:hAnsi="Arial"/>
          <w:sz w:val="22"/>
          <w:szCs w:val="22"/>
          <w:color w:val="auto"/>
        </w:rPr>
      </w:pPr>
    </w:p>
    <w:p>
      <w:pPr>
        <w:ind w:left="1300" w:right="380" w:hanging="644"/>
        <w:spacing w:after="0" w:line="312" w:lineRule="auto"/>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successor corporation expressly assumes by a supplemental indenture to each indenture the due and punctual payment of the principal of, and any premium and interest on, all the debt securities issued thereunder and the performance of every covenant in each indenture that we would otherwise have to perform or observe;</w:t>
      </w:r>
    </w:p>
    <w:p>
      <w:pPr>
        <w:spacing w:after="0" w:line="133" w:lineRule="exact"/>
        <w:rPr>
          <w:rFonts w:ascii="Arial" w:cs="Arial" w:eastAsia="Arial" w:hAnsi="Arial"/>
          <w:sz w:val="19"/>
          <w:szCs w:val="19"/>
          <w:color w:val="auto"/>
        </w:rPr>
      </w:pPr>
    </w:p>
    <w:p>
      <w:pPr>
        <w:ind w:left="1300" w:right="520" w:hanging="644"/>
        <w:spacing w:after="0" w:line="263"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immediately after the effective date of the transaction, no event of default has occurred and is continuing under either indenture; and</w:t>
      </w:r>
    </w:p>
    <w:p>
      <w:pPr>
        <w:spacing w:after="0" w:line="174" w:lineRule="exact"/>
        <w:rPr>
          <w:rFonts w:ascii="Arial" w:cs="Arial" w:eastAsia="Arial" w:hAnsi="Arial"/>
          <w:sz w:val="22"/>
          <w:szCs w:val="22"/>
          <w:color w:val="auto"/>
        </w:rPr>
      </w:pPr>
    </w:p>
    <w:p>
      <w:pPr>
        <w:ind w:left="1300" w:right="100" w:hanging="644"/>
        <w:spacing w:after="0" w:line="253"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we deliver to the trustee an officers’ certificate and an opinion of counsel under each indenture, each stating that the consolidation, merger, conveyance or transfer and the applicable supplemental indenture comply with these provisions.</w:t>
      </w:r>
    </w:p>
    <w:p>
      <w:pPr>
        <w:spacing w:after="0" w:line="186" w:lineRule="exact"/>
        <w:rPr>
          <w:sz w:val="20"/>
          <w:szCs w:val="20"/>
          <w:color w:val="auto"/>
        </w:rPr>
      </w:pPr>
    </w:p>
    <w:p>
      <w:pPr>
        <w:ind w:right="460" w:firstLine="648"/>
        <w:spacing w:after="0" w:line="343" w:lineRule="auto"/>
        <w:rPr>
          <w:sz w:val="20"/>
          <w:szCs w:val="20"/>
          <w:color w:val="auto"/>
        </w:rPr>
      </w:pPr>
      <w:r>
        <w:rPr>
          <w:rFonts w:ascii="Arial" w:cs="Arial" w:eastAsia="Arial" w:hAnsi="Arial"/>
          <w:sz w:val="19"/>
          <w:szCs w:val="19"/>
          <w:color w:val="auto"/>
        </w:rPr>
        <w:t>The successor corporation will assume all our obligations under each indenture as if it were an original party to each indenture. After assuming such obligations, the successor corporation will have all our rights and powers under the indentures.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Waivers Under the Indentures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Under each indenture, the holders of a majority in aggregate principal amount of the outstanding notes of any series, may on behalf of all holders of that series:</w:t>
      </w:r>
    </w:p>
    <w:p>
      <w:pPr>
        <w:spacing w:after="0" w:line="17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waive our compliance with certain covenants of the applicable indenture;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waive any past default under the applicable indenture, except: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default in the payment of the principal of, or any premium or interest on, any notes of the series; and</w:t>
      </w:r>
    </w:p>
    <w:p>
      <w:pPr>
        <w:spacing w:after="0" w:line="219" w:lineRule="exact"/>
        <w:rPr>
          <w:rFonts w:ascii="Arial" w:cs="Arial" w:eastAsia="Arial" w:hAnsi="Arial"/>
          <w:sz w:val="22"/>
          <w:szCs w:val="22"/>
          <w:color w:val="auto"/>
        </w:rPr>
      </w:pPr>
    </w:p>
    <w:p>
      <w:pPr>
        <w:ind w:left="1300" w:right="120" w:hanging="644"/>
        <w:spacing w:after="0" w:line="263"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default under any provision of the applicable indenture which itself cannot be modified without the consent of the holders of each affected note of the series.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When we use the term “Event of Default” in each indenture with respect to a particular series of notes, we mean any of the following:</w:t>
      </w:r>
    </w:p>
    <w:p>
      <w:pPr>
        <w:spacing w:after="0" w:line="175"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we fail to pay interest on any note of that series for 30 days after payment was due;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we fail to make payment of the principal of, or any premium on, any note of that series when due;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we fail to make any sinking fund payment when due with respect to notes of that series;</w:t>
      </w:r>
    </w:p>
    <w:p>
      <w:pPr>
        <w:spacing w:after="0" w:line="220"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64" w:right="239" w:bottom="1440" w:gutter="0" w:footer="0" w:header="0"/>
        </w:sectPr>
      </w:pPr>
    </w:p>
    <w:bookmarkStart w:id="162" w:name="page163"/>
    <w:bookmarkEnd w:id="162"/>
    <w:p>
      <w:pPr>
        <w:jc w:val="both"/>
        <w:ind w:left="1300" w:right="180" w:hanging="644"/>
        <w:spacing w:after="0" w:line="253"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we fail to perform any other covenant or warranty in the applicable indenture and this failure continues for 90 days after we receive written notice of it from the trustee or holders of 25% in principal amount of the outstanding notes of that series (with a copy to the trustee);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we or a court take certain actions relating to bankruptcy, insolvency or reorganization of our company; or</w:t>
      </w:r>
    </w:p>
    <w:p>
      <w:pPr>
        <w:spacing w:after="0" w:line="231" w:lineRule="exact"/>
        <w:rPr>
          <w:rFonts w:ascii="Arial" w:cs="Arial" w:eastAsia="Arial" w:hAnsi="Arial"/>
          <w:sz w:val="21"/>
          <w:szCs w:val="21"/>
          <w:color w:val="auto"/>
        </w:rPr>
      </w:pPr>
    </w:p>
    <w:p>
      <w:pPr>
        <w:ind w:left="1300" w:right="200" w:hanging="644"/>
        <w:spacing w:after="0" w:line="263"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other event of default that may be specified for the notes of the series or in the board resolution with respect to the notes of that series.</w:t>
      </w:r>
    </w:p>
    <w:p>
      <w:pPr>
        <w:spacing w:after="0" w:line="17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A default with respect to a single series of notes under an indenture will not necessarily constitute a default with respect to any other series of notes issued under such indenture or any other series of notes issued under the other indenture. A default under our other indebtedness will not be a default under either indenture. The trustee may withhold notice to the holders of notes of any default and shall be fully protected in so withholding, except for defaults that involve our failure to pay principal or interest, if it determines in good faith that the withholding of notice is in the interest of the holders.</w:t>
      </w:r>
    </w:p>
    <w:p>
      <w:pPr>
        <w:spacing w:after="0" w:line="14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an Event of Default for any series of notes occurs and continues (other than an Event of Default involving our bankruptcy, insolvency or reorganization), either the trustee or the holders of at least 25% in aggregate principal amount of the outstanding notes of the affected series may require us upon notice in writing to us, to immediately repay the entire principal, of all the notes of such series together with accrued interest on the notes.</w:t>
      </w:r>
    </w:p>
    <w:p>
      <w:pPr>
        <w:spacing w:after="0" w:line="188" w:lineRule="exact"/>
        <w:rPr>
          <w:sz w:val="20"/>
          <w:szCs w:val="20"/>
          <w:color w:val="auto"/>
        </w:rPr>
      </w:pPr>
    </w:p>
    <w:p>
      <w:pPr>
        <w:ind w:right="600" w:firstLine="648"/>
        <w:spacing w:after="0" w:line="253" w:lineRule="auto"/>
        <w:rPr>
          <w:sz w:val="20"/>
          <w:szCs w:val="20"/>
          <w:color w:val="auto"/>
        </w:rPr>
      </w:pPr>
      <w:r>
        <w:rPr>
          <w:rFonts w:ascii="Arial" w:cs="Arial" w:eastAsia="Arial" w:hAnsi="Arial"/>
          <w:sz w:val="22"/>
          <w:szCs w:val="22"/>
          <w:color w:val="auto"/>
        </w:rPr>
        <w:t>If an Event of Default occurs which involves our bankruptcy, insolvency or reorganization, then all unpaid principal amounts and accrued interest on all notes of each series will immediately become due and payable, without any action by the trustee or any holder of notes.</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Subject to certain conditions, the holders of a majority in principal amount of the outstanding notes of a series may rescind a declaration of acceleration if all Events of Default, besides the failure to pay principal or interest due solely because of the declaration of acceleration, have been cured or waived.</w:t>
      </w:r>
    </w:p>
    <w:p>
      <w:pPr>
        <w:spacing w:after="0" w:line="186"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Other than its duties in case of a default, the trustee is not obligated to exercise any of its rights or powers under the applicable indenture at the request, order or direction of any holders, unless the holders offer the trustee indemnity or security reasonably satisfactory to it. The holders of a majority in principal amount outstanding of any series of notes may, subject to certain limitations, direct the time, method and place of conducting any proceeding for any remedy available to the trustee, or exercising any power conferred upon the trustee, for any series of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indenture requires us to file each year with the trustee, an officer’s certificate that states that:</w:t>
      </w:r>
    </w:p>
    <w:p>
      <w:pPr>
        <w:spacing w:after="0" w:line="220"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64" w:right="239" w:bottom="1440" w:gutter="0" w:footer="0" w:header="0"/>
        </w:sectPr>
      </w:pPr>
    </w:p>
    <w:bookmarkStart w:id="163" w:name="page164"/>
    <w:bookmarkEnd w:id="163"/>
    <w:p>
      <w:pPr>
        <w:ind w:left="1300" w:hanging="644"/>
        <w:spacing w:after="0"/>
        <w:tabs>
          <w:tab w:leader="none" w:pos="13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signing officer has supervised a review of the activities and performance under the applicable indenture; and</w:t>
      </w:r>
    </w:p>
    <w:p>
      <w:pPr>
        <w:spacing w:after="0" w:line="254" w:lineRule="exact"/>
        <w:rPr>
          <w:rFonts w:ascii="Arial" w:cs="Arial" w:eastAsia="Arial" w:hAnsi="Arial"/>
          <w:sz w:val="19"/>
          <w:szCs w:val="19"/>
          <w:color w:val="auto"/>
        </w:rPr>
      </w:pPr>
    </w:p>
    <w:p>
      <w:pPr>
        <w:ind w:left="1300" w:right="740" w:hanging="644"/>
        <w:spacing w:after="0" w:line="263" w:lineRule="auto"/>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the best of his or her knowledge, based on the review, we comply with all conditions and covenants of the applicable indenture.</w:t>
      </w:r>
    </w:p>
    <w:p>
      <w:pPr>
        <w:spacing w:after="0" w:line="175"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The 2015 Indenture requires us to file with the trustee, an officer’s certificate within 30 days of any officer becoming aware of any default specifying such default or Event of Default and what action we are taking or propose to take with respect thereto.</w:t>
      </w:r>
    </w:p>
    <w:p>
      <w:pPr>
        <w:spacing w:after="0" w:line="10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 If a court requires a conversion to be made on a date other than a judgment date, the indentures require us to pay additional amounts necessary to ensure that the amount paid in U.S. dollars to a holder is equal to the amount due in such foreign currency.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w:t>
      </w:r>
    </w:p>
    <w:p>
      <w:pPr>
        <w:spacing w:after="0" w:line="22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We will pay the principal of, and any premium and interest on, fully registered notes at the place or places that we will designate for such purposes. We will make payment to the persons in whose names the notes are registered on the close of business on the day or days that we will specify in accordance with the applicable indenture. We will pay the principal of, and any premium on, registered notes only against surrender of those notes. Any other payments will be made as set forth in the applicable series of notes and described herein.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Restrictive Covenants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indenture includes the following restrictive covenants: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Limitations on Liens</w:t>
      </w:r>
    </w:p>
    <w:p>
      <w:pPr>
        <w:spacing w:after="0" w:line="220" w:lineRule="exact"/>
        <w:rPr>
          <w:sz w:val="20"/>
          <w:szCs w:val="20"/>
          <w:color w:val="auto"/>
        </w:rPr>
      </w:pPr>
    </w:p>
    <w:p>
      <w:pPr>
        <w:ind w:right="320" w:firstLine="648"/>
        <w:spacing w:after="0" w:line="248" w:lineRule="auto"/>
        <w:rPr>
          <w:sz w:val="20"/>
          <w:szCs w:val="20"/>
          <w:color w:val="auto"/>
        </w:rPr>
      </w:pPr>
      <w:r>
        <w:rPr>
          <w:rFonts w:ascii="Arial" w:cs="Arial" w:eastAsia="Arial" w:hAnsi="Arial"/>
          <w:sz w:val="22"/>
          <w:szCs w:val="22"/>
          <w:color w:val="auto"/>
        </w:rPr>
        <w:t>Each indenture limits the amount of liens that we or our Subsidiaries may incur or otherwise create in order to secure indebtedness for borrowed money, upon any Principal Facility or any shares of capital stock that any of our Subsidiaries owning any Principal Facility has issued to us or any of our Subsidiaries. If we or any of our Subsidiaries incur such liens, then we will secure the notes to the same extent and in the same proportion as the debt that is secured by such liens. This covenant does not apply, however, to any of the following:</w:t>
      </w:r>
    </w:p>
    <w:p>
      <w:pPr>
        <w:spacing w:after="0" w:line="192" w:lineRule="exact"/>
        <w:rPr>
          <w:sz w:val="20"/>
          <w:szCs w:val="20"/>
          <w:color w:val="auto"/>
        </w:rPr>
      </w:pPr>
    </w:p>
    <w:p>
      <w:pPr>
        <w:jc w:val="both"/>
        <w:ind w:left="1300" w:right="40" w:hanging="644"/>
        <w:spacing w:after="0" w:line="312"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the case of a Principal Facility, liens incurred in connection with the issuance by a state or its political subdivision of any securities the interest on which is exempt from United States federal income taxes by virtue of Section 103 of the Internal Revenue Code or any other laws and regulations in effect at the time of such issuance;</w:t>
      </w:r>
    </w:p>
    <w:p>
      <w:pPr>
        <w:spacing w:after="0" w:line="134"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564" w:right="239" w:bottom="1440" w:gutter="0" w:footer="0" w:header="0"/>
        </w:sectPr>
      </w:pPr>
    </w:p>
    <w:bookmarkStart w:id="164" w:name="page165"/>
    <w:bookmarkEnd w:id="164"/>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liens existing on the date of the applicable indenture;</w:t>
      </w:r>
    </w:p>
    <w:p>
      <w:pPr>
        <w:spacing w:after="0" w:line="219" w:lineRule="exact"/>
        <w:rPr>
          <w:rFonts w:ascii="Arial" w:cs="Arial" w:eastAsia="Arial" w:hAnsi="Arial"/>
          <w:sz w:val="22"/>
          <w:szCs w:val="22"/>
          <w:color w:val="auto"/>
        </w:rPr>
      </w:pPr>
    </w:p>
    <w:p>
      <w:pPr>
        <w:ind w:left="1300" w:right="20" w:hanging="644"/>
        <w:spacing w:after="0" w:line="294" w:lineRule="auto"/>
        <w:tabs>
          <w:tab w:leader="none" w:pos="13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liens on property or shares of capital stock existing at the time we or any of our Subsidiaries acquire such property or shares of capital stock, including through a merger, share exchange or consolidation, or securing the payment of all or part of the purchase price, construction or improvement of such property incurred prior to, during, or within 180 days after the later of the acquisition, completion of construction or improvement or commencement of full operation of such property or within 180 days after the acquisition of such shares for the purpose of financing all or a portion of such purchase of the property or construction or improvement on it; or</w:t>
      </w:r>
    </w:p>
    <w:p>
      <w:pPr>
        <w:spacing w:after="0" w:line="149" w:lineRule="exact"/>
        <w:rPr>
          <w:rFonts w:ascii="Arial" w:cs="Arial" w:eastAsia="Arial" w:hAnsi="Arial"/>
          <w:sz w:val="19"/>
          <w:szCs w:val="19"/>
          <w:color w:val="auto"/>
        </w:rPr>
      </w:pPr>
    </w:p>
    <w:p>
      <w:pPr>
        <w:ind w:left="1300" w:hanging="644"/>
        <w:spacing w:after="0" w:line="253"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liens for the sole purpose of extending, renewing or replacing all or a part of the indebtedness secured by any lien referred to in the previous bullet points or in this bullet point if the extension, removal and replacement is limited to all or a part of the property secured by the original lien.</w:t>
      </w:r>
    </w:p>
    <w:p>
      <w:pPr>
        <w:spacing w:after="0" w:line="186"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2"/>
          <w:szCs w:val="22"/>
          <w:color w:val="auto"/>
        </w:rPr>
        <w:t>Notwithstanding the foregoing, we and/or any of our Subsidiaries may incur liens that would otherwise be subject to the restriction described above, without securing the notes issued under the applicable indenture equally and ratably, if the aggregate value of all outstanding indebtedness secured by the liens and the value of Sale and Leaseback Transactions does not at the time exceed the greater of:</w:t>
      </w:r>
    </w:p>
    <w:p>
      <w:pPr>
        <w:spacing w:after="0" w:line="188"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10% of our Consolidated Net Tangible Assets;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10% of our Consolidated Capitalization.</w:t>
      </w:r>
    </w:p>
    <w:p>
      <w:pPr>
        <w:spacing w:after="0" w:line="220"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22"/>
          <w:szCs w:val="22"/>
          <w:color w:val="auto"/>
        </w:rPr>
        <w:t>“Consolidated Net Tangible Assets” means the excess of all assets over current liabilities appearing on our most recent quarterly or annual consolidated balance sheet, less goodwill and other intangible assets and the minority interests of others in Subsidiaries.</w:t>
      </w:r>
    </w:p>
    <w:p>
      <w:pPr>
        <w:spacing w:after="0" w:line="186"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“Consolidated Capitalization” means the total of all of the assets appearing on our most recent quarterly or annual consolidated balance sheet, less:</w:t>
      </w:r>
    </w:p>
    <w:p>
      <w:pPr>
        <w:spacing w:after="0" w:line="175" w:lineRule="exact"/>
        <w:rPr>
          <w:sz w:val="20"/>
          <w:szCs w:val="20"/>
          <w:color w:val="auto"/>
        </w:rPr>
      </w:pPr>
    </w:p>
    <w:p>
      <w:pPr>
        <w:ind w:left="1300" w:right="60" w:hanging="644"/>
        <w:spacing w:after="0" w:line="253" w:lineRule="auto"/>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current liabilities, including liabilities for indebtedness maturing more than 12 months from the date of the original creation thereof, but maturing within 12 months from the date of our most recent quarterly or annual consolidated balance sheet;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deferred income tax liabilities reflected in such consolidated balance sheet.</w:t>
      </w:r>
    </w:p>
    <w:p>
      <w:pPr>
        <w:spacing w:after="0" w:line="22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“Subsidiaries” means any corporation of which at least a majority of all outstanding stock having ordinary voting power in the election of directors of such corporation is at the time, directly or indirectly, owned by us or by one or more Subsidiaries or by us and one or more Subsidiaries.</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00"/>
          </w:cols>
          <w:pgMar w:left="240" w:top="564" w:right="359" w:bottom="1440" w:gutter="0" w:footer="0" w:header="0"/>
        </w:sectPr>
      </w:pPr>
    </w:p>
    <w:bookmarkStart w:id="165" w:name="page166"/>
    <w:bookmarkEnd w:id="165"/>
    <w:p>
      <w:pPr>
        <w:ind w:firstLine="648"/>
        <w:spacing w:after="0" w:line="294" w:lineRule="auto"/>
        <w:rPr>
          <w:sz w:val="20"/>
          <w:szCs w:val="20"/>
          <w:color w:val="auto"/>
        </w:rPr>
      </w:pPr>
      <w:r>
        <w:rPr>
          <w:rFonts w:ascii="Arial" w:cs="Arial" w:eastAsia="Arial" w:hAnsi="Arial"/>
          <w:sz w:val="19"/>
          <w:szCs w:val="19"/>
          <w:color w:val="auto"/>
        </w:rPr>
        <w:t>“Principal Facility” means all real property owned and operated by us or any Subsidiary located within the United States and constituting part of any manufacturing plant or distribution facility, including all attached plumbing, electrical, ventilating, heating, cooling, lighting and other utility systems, ducts and pipes but excluding trade fixtures (unless their removal would cause substantial damage to the manufacturing plant or distribution facility), business machinery, equipment, motorized vehicles, tools, supplies and materials, security systems, cameras, inventory and other personal property and materials. However, no manufacturing plant or distribution facility will be a Principal Facility unless its net book value exceeds 0.25% of Consolidated Capitalization.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Sale and Leaseback Transactions</w:t>
      </w:r>
    </w:p>
    <w:p>
      <w:pPr>
        <w:spacing w:after="0" w:line="220"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A Sale and Leaseback Transaction of any Principal Facility is prohibited, unless within 180 days of the effective date of the arrangement, an amount equal to the greater of the proceeds of the sale or the fair value of the property (“value”) is applied to the retirement of long-term non-subordinated indebtedness for money borrowed with more than one year stated maturity, including the notes, except that such sales and leasebacks are permitted to the extent that the “value” thereof plus the other secured debt referred to in the section entitled “</w:t>
      </w:r>
      <w:r>
        <w:rPr>
          <w:rFonts w:ascii="Arial" w:cs="Arial" w:eastAsia="Arial" w:hAnsi="Arial"/>
          <w:sz w:val="19"/>
          <w:szCs w:val="19"/>
          <w:i w:val="1"/>
          <w:iCs w:val="1"/>
          <w:color w:val="auto"/>
        </w:rPr>
        <w:t>Limitations on Liens</w:t>
      </w:r>
      <w:r>
        <w:rPr>
          <w:rFonts w:ascii="Arial" w:cs="Arial" w:eastAsia="Arial" w:hAnsi="Arial"/>
          <w:sz w:val="19"/>
          <w:szCs w:val="19"/>
          <w:color w:val="auto"/>
        </w:rPr>
        <w:t>” above does not exceed the amount stated therein.</w:t>
      </w:r>
    </w:p>
    <w:p>
      <w:pPr>
        <w:spacing w:after="0" w:line="147"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A “Sale and Leaseback Transaction” means the sale or transfer of a Principal Facility with the intention of taking back a lease of the property, except a lease for a temporary period of less than 3 years, including renewals, with the intent that the use by us or any Subsidiary will be discontinued on or before the expiration of such period.</w:t>
      </w:r>
    </w:p>
    <w:p>
      <w:pPr>
        <w:spacing w:after="0" w:line="18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There are no other restrictive covenants in the indentures. The indentures do not require us to maintain any financial ratios, minimum levels of net worth or liquidity or restrict the payment of dividends, the making of other distributions on our capital stock or the redemption or purchase of our capital stock. Moreover, the indentures do not contain any provision requiring us to repurchase or redeem any notes or modify the terms thereof or afford the holders thereof any other protection in the event of our change of control, any highly leveraged transaction or any other event involving us that may materially adversely affect our creditworthiness or the value of the notes.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Defeasance</w:t>
      </w:r>
    </w:p>
    <w:p>
      <w:pPr>
        <w:spacing w:after="0" w:line="22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In some circumstances, we may elect to discharge our obligations on the notes through full defeasance or covenant defeasance. We can terminate all of our obligations under the applicable indenture with respect to a series of notes, other than the obligation to pay the principal of, and any premium and interest on, the relevant series of notes and certain other obligations, at any time by:</w:t>
      </w:r>
    </w:p>
    <w:p>
      <w:pPr>
        <w:spacing w:after="0" w:line="188" w:lineRule="exact"/>
        <w:rPr>
          <w:sz w:val="20"/>
          <w:szCs w:val="20"/>
          <w:color w:val="auto"/>
        </w:rPr>
      </w:pPr>
    </w:p>
    <w:p>
      <w:pPr>
        <w:ind w:left="1300" w:right="640" w:hanging="644"/>
        <w:spacing w:after="0" w:line="287" w:lineRule="auto"/>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depositing money or United States government obligations with the trustee in an amount sufficient to pay the principal of, and any premium and interest on, such notes to their maturity; and</w:t>
      </w:r>
    </w:p>
    <w:p>
      <w:pPr>
        <w:spacing w:after="0" w:line="15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80"/>
          </w:cols>
          <w:pgMar w:left="240" w:top="564" w:right="279" w:bottom="1440" w:gutter="0" w:footer="0" w:header="0"/>
        </w:sectPr>
      </w:pPr>
    </w:p>
    <w:bookmarkStart w:id="166" w:name="page167"/>
    <w:bookmarkEnd w:id="166"/>
    <w:p>
      <w:pPr>
        <w:ind w:left="1300" w:right="160" w:hanging="644"/>
        <w:spacing w:after="0" w:line="253" w:lineRule="auto"/>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complying with certain other conditions, including delivery to the trustee of an opinion of counsel to the effect that holders of such notes will not recognize income, gain or loss for United States federal income tax purposes as a result of our defeasance.</w:t>
      </w:r>
    </w:p>
    <w:p>
      <w:pPr>
        <w:spacing w:after="0" w:line="186"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In addition, we can terminate all of our obligations, with minor exceptions, under the applicable indenture with respect to a series of notes, including the obligation to pay the principal of, and any premium and interest on, the relevant series of notes, at any time by:</w:t>
      </w:r>
    </w:p>
    <w:p>
      <w:pPr>
        <w:spacing w:after="0" w:line="186" w:lineRule="exact"/>
        <w:rPr>
          <w:sz w:val="20"/>
          <w:szCs w:val="20"/>
          <w:color w:val="auto"/>
        </w:rPr>
      </w:pPr>
    </w:p>
    <w:p>
      <w:pPr>
        <w:ind w:left="1300" w:right="660" w:hanging="644"/>
        <w:spacing w:after="0" w:line="287" w:lineRule="auto"/>
        <w:tabs>
          <w:tab w:leader="none" w:pos="1300" w:val="left"/>
        </w:tabs>
        <w:numPr>
          <w:ilvl w:val="0"/>
          <w:numId w:val="82"/>
        </w:numPr>
        <w:rPr>
          <w:rFonts w:ascii="Arial" w:cs="Arial" w:eastAsia="Arial" w:hAnsi="Arial"/>
          <w:sz w:val="21"/>
          <w:szCs w:val="21"/>
          <w:color w:val="auto"/>
        </w:rPr>
      </w:pPr>
      <w:r>
        <w:rPr>
          <w:rFonts w:ascii="Arial" w:cs="Arial" w:eastAsia="Arial" w:hAnsi="Arial"/>
          <w:sz w:val="21"/>
          <w:szCs w:val="21"/>
          <w:color w:val="auto"/>
        </w:rPr>
        <w:t>depositing money or United States government obligations with the trustee in an amount sufficient to pay the principal of, and the interest and any premium on, such notes to their maturity; and</w:t>
      </w:r>
    </w:p>
    <w:p>
      <w:pPr>
        <w:spacing w:after="0" w:line="151" w:lineRule="exact"/>
        <w:rPr>
          <w:rFonts w:ascii="Arial" w:cs="Arial" w:eastAsia="Arial" w:hAnsi="Arial"/>
          <w:sz w:val="21"/>
          <w:szCs w:val="21"/>
          <w:color w:val="auto"/>
        </w:rPr>
      </w:pPr>
    </w:p>
    <w:p>
      <w:pPr>
        <w:ind w:left="1300" w:right="140" w:hanging="644"/>
        <w:spacing w:after="0" w:line="265" w:lineRule="auto"/>
        <w:tabs>
          <w:tab w:leader="none" w:pos="1300" w:val="left"/>
        </w:tabs>
        <w:numPr>
          <w:ilvl w:val="0"/>
          <w:numId w:val="82"/>
        </w:numPr>
        <w:rPr>
          <w:rFonts w:ascii="Arial" w:cs="Arial" w:eastAsia="Arial" w:hAnsi="Arial"/>
          <w:sz w:val="21"/>
          <w:szCs w:val="21"/>
          <w:color w:val="auto"/>
        </w:rPr>
      </w:pPr>
      <w:r>
        <w:rPr>
          <w:rFonts w:ascii="Arial" w:cs="Arial" w:eastAsia="Arial" w:hAnsi="Arial"/>
          <w:sz w:val="21"/>
          <w:szCs w:val="21"/>
          <w:color w:val="auto"/>
        </w:rPr>
        <w:t>complying with certain other conditions, including delivery to the trustee of an opinion of counsel stating that there has been a ruling by the Internal Revenue Service, or a change in the United States federal tax law since the date of the applicable indenture, to the effect that holders of such notes will not recognize income, gain or loss for United States federal income tax purposes as a result of our defeasance.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Unclaimed Moneys</w:t>
      </w:r>
    </w:p>
    <w:p>
      <w:pPr>
        <w:spacing w:after="0" w:line="226"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Moneys deposited with the trustee or any paying agent for the payment of principal of, or any premium and interest on, any notes that remain unclaimed for two years will be repaid to us at our written request, unless the law requires otherwise. If this happens and a holder wants to claim these moneys, the holder must look to us and not to the trustee or paying agent.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Indentures Not Requiring Consent of Holders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Without the consent of any holders of debt securities issued thereunder, we and the trustee may supplement either indenture, among other things, to:</w:t>
      </w:r>
    </w:p>
    <w:p>
      <w:pPr>
        <w:spacing w:after="0" w:line="175"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pledge property to the trustee as security for the debt securities issued thereunder;</w:t>
      </w:r>
    </w:p>
    <w:p>
      <w:pPr>
        <w:spacing w:after="0" w:line="219" w:lineRule="exact"/>
        <w:rPr>
          <w:rFonts w:ascii="Arial" w:cs="Arial" w:eastAsia="Arial" w:hAnsi="Arial"/>
          <w:sz w:val="22"/>
          <w:szCs w:val="22"/>
          <w:color w:val="auto"/>
        </w:rPr>
      </w:pPr>
    </w:p>
    <w:p>
      <w:pPr>
        <w:ind w:left="1300" w:right="320" w:hanging="644"/>
        <w:spacing w:after="0" w:line="263" w:lineRule="auto"/>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reflect that another entity has succeeded us and assumed the covenants and obligations of us under the applicable indenture and the debt securities issued thereunder;</w:t>
      </w:r>
    </w:p>
    <w:p>
      <w:pPr>
        <w:spacing w:after="0" w:line="174" w:lineRule="exact"/>
        <w:rPr>
          <w:rFonts w:ascii="Arial" w:cs="Arial" w:eastAsia="Arial" w:hAnsi="Arial"/>
          <w:sz w:val="22"/>
          <w:szCs w:val="22"/>
          <w:color w:val="auto"/>
        </w:rPr>
      </w:pPr>
    </w:p>
    <w:p>
      <w:pPr>
        <w:ind w:left="1300" w:right="220" w:hanging="644"/>
        <w:spacing w:after="0" w:line="312" w:lineRule="auto"/>
        <w:tabs>
          <w:tab w:leader="none" w:pos="13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cure any ambiguity or inconsistency in the applicable indenture or in the debt securities issued thereunder or make any other provisions with respect to matters or questions arising under the applicable indenture, as long as the interests of the holders of the debt securities issued thereunder are not adversely affected in any material respect;</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issue and establish the form and terms of any series of debt securities as provided in the applicable indenture;</w:t>
      </w:r>
    </w:p>
    <w:p>
      <w:pPr>
        <w:spacing w:after="0" w:line="254"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564" w:right="259" w:bottom="1440" w:gutter="0" w:footer="0" w:header="0"/>
        </w:sectPr>
      </w:pPr>
    </w:p>
    <w:bookmarkStart w:id="167" w:name="page168"/>
    <w:bookmarkEnd w:id="167"/>
    <w:p>
      <w:pPr>
        <w:jc w:val="both"/>
        <w:ind w:left="1300" w:right="200" w:hanging="644"/>
        <w:spacing w:after="0" w:line="25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add to our covenants further covenants for the benefit of the holders of debt securities, and if the covenants are for the benefit of less than all series of debt securities issued under such indenture, stating which series are entitled to benefit;</w:t>
      </w:r>
    </w:p>
    <w:p>
      <w:pPr>
        <w:spacing w:after="0" w:line="185" w:lineRule="exact"/>
        <w:rPr>
          <w:rFonts w:ascii="Arial" w:cs="Arial" w:eastAsia="Arial" w:hAnsi="Arial"/>
          <w:sz w:val="22"/>
          <w:szCs w:val="22"/>
          <w:color w:val="auto"/>
        </w:rPr>
      </w:pPr>
    </w:p>
    <w:p>
      <w:pPr>
        <w:ind w:left="1300" w:right="160" w:hanging="644"/>
        <w:spacing w:after="0" w:line="26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add any additional event of default and if the new event of default applies to fewer than all series of debt securities issued under such indenture, stating to which series it applies;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change the trustee or provide for an additional trustee;</w:t>
      </w:r>
    </w:p>
    <w:p>
      <w:pPr>
        <w:spacing w:after="0" w:line="219"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provide additional provisions for bearer debt securities so long as the action does not adversely affect the interests of holders of any debt securities issued under the applicable indenture in any material respect;</w:t>
      </w:r>
    </w:p>
    <w:p>
      <w:pPr>
        <w:spacing w:after="0" w:line="151" w:lineRule="exact"/>
        <w:rPr>
          <w:rFonts w:ascii="Arial" w:cs="Arial" w:eastAsia="Arial" w:hAnsi="Arial"/>
          <w:sz w:val="21"/>
          <w:szCs w:val="21"/>
          <w:color w:val="auto"/>
        </w:rPr>
      </w:pPr>
    </w:p>
    <w:p>
      <w:pPr>
        <w:ind w:left="1300" w:right="400" w:hanging="644"/>
        <w:spacing w:after="0" w:line="25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with respect to the 2015 Indenture only, add guarantees with respect to the securities of a series or confirm and evidence the release, termination or discharge of any such guarantee when such release is permitted by the 2015 Indenture; or</w:t>
      </w:r>
    </w:p>
    <w:p>
      <w:pPr>
        <w:spacing w:after="0" w:line="185" w:lineRule="exact"/>
        <w:rPr>
          <w:rFonts w:ascii="Arial" w:cs="Arial" w:eastAsia="Arial" w:hAnsi="Arial"/>
          <w:sz w:val="22"/>
          <w:szCs w:val="22"/>
          <w:color w:val="auto"/>
        </w:rPr>
      </w:pPr>
    </w:p>
    <w:p>
      <w:pPr>
        <w:ind w:left="1300" w:right="380" w:hanging="644"/>
        <w:spacing w:after="0" w:line="26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modify the applicable indenture as may be necessary or desirable in accordance with amendments to the Trustee Indenture Act of 1939.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Indentures Requiring Consent of Holders</w:t>
      </w:r>
    </w:p>
    <w:p>
      <w:pPr>
        <w:spacing w:after="0" w:line="226"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With the consent of the holders of a majority in principal amount of each series of the debt securities issued thereunder that would be affected by a modification of an indenture, each indenture permits us and the trustee to supplement such indenture or modify in any way the terms of such indenture or the rights of the holders of the debt securities of such series. However, without the consent of each holder of all of the debt securities affected by that modification, we and the trustee may not:</w:t>
      </w:r>
    </w:p>
    <w:p>
      <w:pPr>
        <w:spacing w:after="0" w:line="143" w:lineRule="exact"/>
        <w:rPr>
          <w:sz w:val="20"/>
          <w:szCs w:val="20"/>
          <w:color w:val="auto"/>
        </w:rPr>
      </w:pPr>
    </w:p>
    <w:p>
      <w:pPr>
        <w:ind w:left="1300" w:right="300" w:hanging="644"/>
        <w:spacing w:after="0" w:line="263"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modify the maturity date of, or reduce the principal of, or premium on, or change the stated final maturity of, any debt security;</w:t>
      </w:r>
    </w:p>
    <w:p>
      <w:pPr>
        <w:spacing w:after="0" w:line="174" w:lineRule="exact"/>
        <w:rPr>
          <w:rFonts w:ascii="Arial" w:cs="Arial" w:eastAsia="Arial" w:hAnsi="Arial"/>
          <w:sz w:val="22"/>
          <w:szCs w:val="22"/>
          <w:color w:val="auto"/>
        </w:rPr>
      </w:pPr>
    </w:p>
    <w:p>
      <w:pPr>
        <w:ind w:left="1300" w:right="740" w:hanging="644"/>
        <w:spacing w:after="0" w:line="263"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on any debt security or, in the case of OID debt securities, reduce the rate of accretion of the OID;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change any of our obligations to pay additional amounts under the applicable indenture;</w:t>
      </w:r>
    </w:p>
    <w:p>
      <w:pPr>
        <w:spacing w:after="0" w:line="219" w:lineRule="exact"/>
        <w:rPr>
          <w:rFonts w:ascii="Arial" w:cs="Arial" w:eastAsia="Arial" w:hAnsi="Arial"/>
          <w:sz w:val="22"/>
          <w:szCs w:val="22"/>
          <w:color w:val="auto"/>
        </w:rPr>
      </w:pPr>
    </w:p>
    <w:p>
      <w:pPr>
        <w:ind w:left="1300" w:right="200" w:hanging="644"/>
        <w:spacing w:after="0" w:line="343" w:lineRule="auto"/>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reduce or alter the method of computation of any amount payable upon redemption, repayment or purchase of any debt security by us, or the time when the redemption, repayment or purchase may be made;</w:t>
      </w:r>
    </w:p>
    <w:p>
      <w:pPr>
        <w:spacing w:after="0" w:line="104" w:lineRule="exact"/>
        <w:rPr>
          <w:rFonts w:ascii="Arial" w:cs="Arial" w:eastAsia="Arial" w:hAnsi="Arial"/>
          <w:sz w:val="19"/>
          <w:szCs w:val="19"/>
          <w:color w:val="auto"/>
        </w:rPr>
      </w:pPr>
    </w:p>
    <w:p>
      <w:pPr>
        <w:ind w:left="1300" w:right="40" w:hanging="644"/>
        <w:spacing w:after="0" w:line="263"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make the principal or interest on any debt security payable in a currency other than that stated in the debt security or change the place of payment;</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80"/>
          </w:cols>
          <w:pgMar w:left="240" w:top="564" w:right="279" w:bottom="1440" w:gutter="0" w:footer="0" w:header="0"/>
        </w:sectPr>
      </w:pPr>
    </w:p>
    <w:bookmarkStart w:id="168" w:name="page169"/>
    <w:bookmarkEnd w:id="168"/>
    <w:p>
      <w:pPr>
        <w:jc w:val="both"/>
        <w:ind w:left="1300" w:right="20" w:hanging="644"/>
        <w:spacing w:after="0" w:line="25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reduce the amount of principal due on an OID debt security upon acceleration of maturity or provable in bankruptcy or reduce the amount payable under the terms of an indexed debt security upon acceleration of maturity or provable in bankruptcy;</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impair any right of repayment or purchase at the option of any holder of debt securities;</w:t>
      </w:r>
    </w:p>
    <w:p>
      <w:pPr>
        <w:spacing w:after="0" w:line="219" w:lineRule="exact"/>
        <w:rPr>
          <w:rFonts w:ascii="Arial" w:cs="Arial" w:eastAsia="Arial" w:hAnsi="Arial"/>
          <w:sz w:val="22"/>
          <w:szCs w:val="22"/>
          <w:color w:val="auto"/>
        </w:rPr>
      </w:pPr>
    </w:p>
    <w:p>
      <w:pPr>
        <w:ind w:left="1300" w:hanging="644"/>
        <w:spacing w:after="0" w:line="25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reduce the right of any holder of debt securities to receive or sue for payment of the principal or interest on a debt security that would be due and payable at the maturity thereof or upon redemption or adversely affect any applicable right to convert or exchange any debt securities into other securities; or</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debt securities of any series required to supplement the applicable indenture or to waive any of its provisions.</w:t>
      </w:r>
    </w:p>
    <w:p>
      <w:pPr>
        <w:spacing w:after="0" w:line="175"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A supplemental indenture that modifies or eliminates a provision intended to benefit the holders of one series of debt securities issued thereunder will not affect the rights under the applicable indenture of holders of other series of debt securities issued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Notices to holders of the notes will be sent by mail or email to the registered holders, or otherwise in accordance with the procedures of the applicable depositary.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Concerning the Trustee</w:t>
      </w:r>
    </w:p>
    <w:p>
      <w:pPr>
        <w:spacing w:after="0" w:line="2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The trustee has performed and will perform other services for us and certain of our subsidiaries in the normal course of its business.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Registrar and Transfer Agent</w:t>
      </w:r>
    </w:p>
    <w:p>
      <w:pPr>
        <w:spacing w:after="0" w:line="22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Registrar and Transfer Agent for the 2021 Euro Notes is Deutsche Bank Luxembourg S.A. The Registrar and Transfer Agent for the 2022 Euro Notes, 2023 Euro Notes, 2027 Euro Notes, 2035 Euro Notes, 2035 Sterling Notes and 2045 Sterling Notes is Deutsche Bank Trust Company Americas.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indentures and the notes are governed by and construed in accordance with, the laws of the State of New York.</w:t>
      </w:r>
    </w:p>
    <w:p>
      <w:pPr>
        <w:spacing w:after="0" w:line="200" w:lineRule="exact"/>
        <w:rPr>
          <w:sz w:val="20"/>
          <w:szCs w:val="20"/>
          <w:color w:val="auto"/>
        </w:rPr>
      </w:pPr>
    </w:p>
    <w:p>
      <w:pPr>
        <w:spacing w:after="0" w:line="311"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80"/>
          </w:cols>
          <w:pgMar w:left="240" w:top="564" w:right="279" w:bottom="1440" w:gutter="0" w:footer="0" w:header="0"/>
        </w:sectPr>
      </w:pPr>
    </w:p>
    <w:bookmarkStart w:id="169" w:name="page170"/>
    <w:bookmarkEnd w:id="169"/>
    <w:p>
      <w:pPr>
        <w:ind w:left="10460"/>
        <w:spacing w:after="0"/>
        <w:rPr>
          <w:sz w:val="20"/>
          <w:szCs w:val="20"/>
          <w:color w:val="auto"/>
        </w:rPr>
      </w:pPr>
      <w:r>
        <w:rPr>
          <w:rFonts w:ascii="Arial" w:cs="Arial" w:eastAsia="Arial" w:hAnsi="Arial"/>
          <w:sz w:val="17"/>
          <w:szCs w:val="17"/>
          <w:b w:val="1"/>
          <w:bCs w:val="1"/>
          <w:color w:val="auto"/>
        </w:rPr>
        <w:t>Exhibit 21.1</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Mondelēz International, Inc.</w:t>
            </w:r>
          </w:p>
        </w:tc>
      </w:tr>
      <w:tr>
        <w:trPr>
          <w:trHeight w:val="270"/>
        </w:trPr>
        <w:tc>
          <w:tcPr>
            <w:tcW w:w="4200" w:type="dxa"/>
            <w:vAlign w:val="bottom"/>
          </w:tcPr>
          <w:p>
            <w:pPr>
              <w:spacing w:after="0"/>
              <w:rPr>
                <w:sz w:val="23"/>
                <w:szCs w:val="23"/>
                <w:color w:val="auto"/>
              </w:rPr>
            </w:pPr>
          </w:p>
        </w:tc>
        <w:tc>
          <w:tcPr>
            <w:tcW w:w="7220" w:type="dxa"/>
            <w:vAlign w:val="bottom"/>
          </w:tcPr>
          <w:p>
            <w:pPr>
              <w:ind w:left="240"/>
              <w:spacing w:after="0"/>
              <w:rPr>
                <w:sz w:val="20"/>
                <w:szCs w:val="20"/>
                <w:color w:val="auto"/>
              </w:rPr>
            </w:pPr>
            <w:r>
              <w:rPr>
                <w:rFonts w:ascii="Arial" w:cs="Arial" w:eastAsia="Arial" w:hAnsi="Arial"/>
                <w:sz w:val="18"/>
                <w:szCs w:val="18"/>
                <w:b w:val="1"/>
                <w:bCs w:val="1"/>
                <w:color w:val="auto"/>
              </w:rPr>
              <w:t>Subsidiaries - December 31, 2019</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Entity Name</w:t>
            </w:r>
          </w:p>
        </w:tc>
        <w:tc>
          <w:tcPr>
            <w:tcW w:w="7220" w:type="dxa"/>
            <w:vAlign w:val="bottom"/>
          </w:tcPr>
          <w:p>
            <w:pPr>
              <w:ind w:left="4960"/>
              <w:spacing w:after="0"/>
              <w:rPr>
                <w:sz w:val="20"/>
                <w:szCs w:val="20"/>
                <w:color w:val="auto"/>
              </w:rPr>
            </w:pPr>
            <w:r>
              <w:rPr>
                <w:rFonts w:ascii="Arial" w:cs="Arial" w:eastAsia="Arial" w:hAnsi="Arial"/>
                <w:sz w:val="18"/>
                <w:szCs w:val="18"/>
                <w:b w:val="1"/>
                <w:bCs w:val="1"/>
                <w:color w:val="auto"/>
              </w:rPr>
              <w:t>Country</w:t>
            </w:r>
          </w:p>
        </w:tc>
      </w:tr>
      <w:tr>
        <w:trPr>
          <w:trHeight w:val="27"/>
        </w:trPr>
        <w:tc>
          <w:tcPr>
            <w:tcW w:w="420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LU Algerie S.p.A.</w:t>
            </w:r>
          </w:p>
        </w:tc>
        <w:tc>
          <w:tcPr>
            <w:tcW w:w="7220" w:type="dxa"/>
            <w:vAlign w:val="bottom"/>
          </w:tcPr>
          <w:p>
            <w:pPr>
              <w:ind w:left="4960"/>
              <w:spacing w:after="0"/>
              <w:rPr>
                <w:sz w:val="20"/>
                <w:szCs w:val="20"/>
                <w:color w:val="auto"/>
              </w:rPr>
            </w:pPr>
            <w:r>
              <w:rPr>
                <w:rFonts w:ascii="Arial" w:cs="Arial" w:eastAsia="Arial" w:hAnsi="Arial"/>
                <w:sz w:val="18"/>
                <w:szCs w:val="18"/>
                <w:color w:val="auto"/>
              </w:rPr>
              <w:t>Algeria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Argentina S.A.</w:t>
            </w:r>
          </w:p>
        </w:tc>
        <w:tc>
          <w:tcPr>
            <w:tcW w:w="7220" w:type="dxa"/>
            <w:vAlign w:val="bottom"/>
          </w:tcPr>
          <w:p>
            <w:pPr>
              <w:ind w:left="4960"/>
              <w:spacing w:after="0"/>
              <w:rPr>
                <w:sz w:val="20"/>
                <w:szCs w:val="20"/>
                <w:color w:val="auto"/>
              </w:rPr>
            </w:pPr>
            <w:r>
              <w:rPr>
                <w:rFonts w:ascii="Arial" w:cs="Arial" w:eastAsia="Arial" w:hAnsi="Arial"/>
                <w:sz w:val="18"/>
                <w:szCs w:val="18"/>
                <w:color w:val="auto"/>
              </w:rPr>
              <w:t>Argentina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Nabisco Inversiones S.R.L.</w:t>
            </w:r>
          </w:p>
        </w:tc>
        <w:tc>
          <w:tcPr>
            <w:tcW w:w="7220" w:type="dxa"/>
            <w:vAlign w:val="bottom"/>
          </w:tcPr>
          <w:p>
            <w:pPr>
              <w:ind w:left="4960"/>
              <w:spacing w:after="0"/>
              <w:rPr>
                <w:sz w:val="20"/>
                <w:szCs w:val="20"/>
                <w:color w:val="auto"/>
              </w:rPr>
            </w:pPr>
            <w:r>
              <w:rPr>
                <w:rFonts w:ascii="Arial" w:cs="Arial" w:eastAsia="Arial" w:hAnsi="Arial"/>
                <w:sz w:val="18"/>
                <w:szCs w:val="18"/>
                <w:color w:val="auto"/>
              </w:rPr>
              <w:t>Argentina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Van Mar SA</w:t>
            </w:r>
          </w:p>
        </w:tc>
        <w:tc>
          <w:tcPr>
            <w:tcW w:w="7220" w:type="dxa"/>
            <w:vAlign w:val="bottom"/>
          </w:tcPr>
          <w:p>
            <w:pPr>
              <w:ind w:left="4960"/>
              <w:spacing w:after="0"/>
              <w:rPr>
                <w:sz w:val="20"/>
                <w:szCs w:val="20"/>
                <w:color w:val="auto"/>
              </w:rPr>
            </w:pPr>
            <w:r>
              <w:rPr>
                <w:rFonts w:ascii="Arial" w:cs="Arial" w:eastAsia="Arial" w:hAnsi="Arial"/>
                <w:sz w:val="18"/>
                <w:szCs w:val="18"/>
                <w:color w:val="auto"/>
              </w:rPr>
              <w:t>Argentina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Cadbury Marketing Services Pty Limited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KF (Australia)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Lanes Biscuits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Australia (Foods)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Australia Group Co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Australia Group Investments LP</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Australia Holdings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Australia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Australia Services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w w:val="98"/>
              </w:rPr>
              <w:t>Mondelez New Zealand Holdings (Australia) Pty. Ltd.</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Australia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Mirabell Salzburger Confiserie-und Bisquit GmbH</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Austria Services GmbH</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Oesterreich GmbH</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Oesterreich Production GmbH</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Salzburger Suesswarenfabrik K.G.</w:t>
            </w:r>
          </w:p>
        </w:tc>
        <w:tc>
          <w:tcPr>
            <w:tcW w:w="7220" w:type="dxa"/>
            <w:vAlign w:val="bottom"/>
          </w:tcPr>
          <w:p>
            <w:pPr>
              <w:ind w:left="4960"/>
              <w:spacing w:after="0"/>
              <w:rPr>
                <w:sz w:val="20"/>
                <w:szCs w:val="20"/>
                <w:color w:val="auto"/>
              </w:rPr>
            </w:pPr>
            <w:r>
              <w:rPr>
                <w:rFonts w:ascii="Arial" w:cs="Arial" w:eastAsia="Arial" w:hAnsi="Arial"/>
                <w:sz w:val="18"/>
                <w:szCs w:val="18"/>
                <w:color w:val="auto"/>
              </w:rPr>
              <w:t>Austria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Bahrain Biscuits WLL</w:t>
            </w:r>
          </w:p>
        </w:tc>
        <w:tc>
          <w:tcPr>
            <w:tcW w:w="7220" w:type="dxa"/>
            <w:vAlign w:val="bottom"/>
          </w:tcPr>
          <w:p>
            <w:pPr>
              <w:ind w:left="4960"/>
              <w:spacing w:after="0"/>
              <w:rPr>
                <w:sz w:val="20"/>
                <w:szCs w:val="20"/>
                <w:color w:val="auto"/>
              </w:rPr>
            </w:pPr>
            <w:r>
              <w:rPr>
                <w:rFonts w:ascii="Arial" w:cs="Arial" w:eastAsia="Arial" w:hAnsi="Arial"/>
                <w:sz w:val="18"/>
                <w:szCs w:val="18"/>
                <w:color w:val="auto"/>
              </w:rPr>
              <w:t>Bahrain</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Bahrain W.L.L.</w:t>
            </w:r>
          </w:p>
        </w:tc>
        <w:tc>
          <w:tcPr>
            <w:tcW w:w="7220" w:type="dxa"/>
            <w:vAlign w:val="bottom"/>
          </w:tcPr>
          <w:p>
            <w:pPr>
              <w:ind w:left="4960"/>
              <w:spacing w:after="0"/>
              <w:rPr>
                <w:sz w:val="20"/>
                <w:szCs w:val="20"/>
                <w:color w:val="auto"/>
              </w:rPr>
            </w:pPr>
            <w:r>
              <w:rPr>
                <w:rFonts w:ascii="Arial" w:cs="Arial" w:eastAsia="Arial" w:hAnsi="Arial"/>
                <w:sz w:val="18"/>
                <w:szCs w:val="18"/>
                <w:color w:val="auto"/>
              </w:rPr>
              <w:t>Bahrain</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Bangladesh Private Limited</w:t>
            </w:r>
          </w:p>
        </w:tc>
        <w:tc>
          <w:tcPr>
            <w:tcW w:w="7220" w:type="dxa"/>
            <w:vAlign w:val="bottom"/>
          </w:tcPr>
          <w:p>
            <w:pPr>
              <w:ind w:left="4960"/>
              <w:spacing w:after="0"/>
              <w:rPr>
                <w:sz w:val="20"/>
                <w:szCs w:val="20"/>
                <w:color w:val="auto"/>
              </w:rPr>
            </w:pPr>
            <w:r>
              <w:rPr>
                <w:rFonts w:ascii="Arial" w:cs="Arial" w:eastAsia="Arial" w:hAnsi="Arial"/>
                <w:sz w:val="18"/>
                <w:szCs w:val="18"/>
                <w:color w:val="auto"/>
              </w:rPr>
              <w:t>Bangladesh</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Confibel SPRL</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Kraft Foods Belgium Intellectual Property</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Belgium Biscuits Production NV</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Belgium BVBA</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Belgium Chocolate Production BVBA</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Belgium Manufacturing Services BVBA</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Belgium Services BVBA</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Namur Production SPRL</w:t>
            </w:r>
          </w:p>
        </w:tc>
        <w:tc>
          <w:tcPr>
            <w:tcW w:w="7220" w:type="dxa"/>
            <w:vAlign w:val="bottom"/>
          </w:tcPr>
          <w:p>
            <w:pPr>
              <w:ind w:left="4960"/>
              <w:spacing w:after="0"/>
              <w:rPr>
                <w:sz w:val="20"/>
                <w:szCs w:val="20"/>
                <w:color w:val="auto"/>
              </w:rPr>
            </w:pPr>
            <w:r>
              <w:rPr>
                <w:rFonts w:ascii="Arial" w:cs="Arial" w:eastAsia="Arial" w:hAnsi="Arial"/>
                <w:sz w:val="18"/>
                <w:szCs w:val="18"/>
                <w:color w:val="auto"/>
              </w:rPr>
              <w:t>Belgium</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de Alimentos Bolivia S.R.L.</w:t>
            </w:r>
          </w:p>
        </w:tc>
        <w:tc>
          <w:tcPr>
            <w:tcW w:w="7220" w:type="dxa"/>
            <w:vAlign w:val="bottom"/>
          </w:tcPr>
          <w:p>
            <w:pPr>
              <w:ind w:left="4960"/>
              <w:spacing w:after="0"/>
              <w:rPr>
                <w:sz w:val="20"/>
                <w:szCs w:val="20"/>
                <w:color w:val="auto"/>
              </w:rPr>
            </w:pPr>
            <w:r>
              <w:rPr>
                <w:rFonts w:ascii="Arial" w:cs="Arial" w:eastAsia="Arial" w:hAnsi="Arial"/>
                <w:sz w:val="18"/>
                <w:szCs w:val="18"/>
                <w:color w:val="auto"/>
              </w:rPr>
              <w:t>Bolivia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Cadbury Botswana (Proprietary) Limited</w:t>
            </w:r>
          </w:p>
        </w:tc>
        <w:tc>
          <w:tcPr>
            <w:tcW w:w="7220" w:type="dxa"/>
            <w:vAlign w:val="bottom"/>
          </w:tcPr>
          <w:p>
            <w:pPr>
              <w:ind w:left="4960"/>
              <w:spacing w:after="0"/>
              <w:rPr>
                <w:sz w:val="20"/>
                <w:szCs w:val="20"/>
                <w:color w:val="auto"/>
              </w:rPr>
            </w:pPr>
            <w:r>
              <w:rPr>
                <w:rFonts w:ascii="Arial" w:cs="Arial" w:eastAsia="Arial" w:hAnsi="Arial"/>
                <w:sz w:val="18"/>
                <w:szCs w:val="18"/>
                <w:color w:val="auto"/>
              </w:rPr>
              <w:t>Botswana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Brasil Ltda.</w:t>
            </w:r>
          </w:p>
        </w:tc>
        <w:tc>
          <w:tcPr>
            <w:tcW w:w="7220" w:type="dxa"/>
            <w:vAlign w:val="bottom"/>
          </w:tcPr>
          <w:p>
            <w:pPr>
              <w:ind w:left="4960"/>
              <w:spacing w:after="0"/>
              <w:rPr>
                <w:sz w:val="20"/>
                <w:szCs w:val="20"/>
                <w:color w:val="auto"/>
              </w:rPr>
            </w:pPr>
            <w:r>
              <w:rPr>
                <w:rFonts w:ascii="Arial" w:cs="Arial" w:eastAsia="Arial" w:hAnsi="Arial"/>
                <w:sz w:val="18"/>
                <w:szCs w:val="18"/>
                <w:color w:val="auto"/>
              </w:rPr>
              <w:t>Brazil</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Brasil Norte Nordeste Ltda.</w:t>
            </w:r>
          </w:p>
        </w:tc>
        <w:tc>
          <w:tcPr>
            <w:tcW w:w="7220" w:type="dxa"/>
            <w:vAlign w:val="bottom"/>
          </w:tcPr>
          <w:p>
            <w:pPr>
              <w:ind w:left="4960"/>
              <w:spacing w:after="0"/>
              <w:rPr>
                <w:sz w:val="20"/>
                <w:szCs w:val="20"/>
                <w:color w:val="auto"/>
              </w:rPr>
            </w:pPr>
            <w:r>
              <w:rPr>
                <w:rFonts w:ascii="Arial" w:cs="Arial" w:eastAsia="Arial" w:hAnsi="Arial"/>
                <w:sz w:val="18"/>
                <w:szCs w:val="18"/>
                <w:color w:val="auto"/>
              </w:rPr>
              <w:t>Brazil</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Bulgaria EOOD</w:t>
            </w:r>
          </w:p>
        </w:tc>
        <w:tc>
          <w:tcPr>
            <w:tcW w:w="7220" w:type="dxa"/>
            <w:vAlign w:val="bottom"/>
          </w:tcPr>
          <w:p>
            <w:pPr>
              <w:ind w:left="4960"/>
              <w:spacing w:after="0"/>
              <w:rPr>
                <w:sz w:val="20"/>
                <w:szCs w:val="20"/>
                <w:color w:val="auto"/>
              </w:rPr>
            </w:pPr>
            <w:r>
              <w:rPr>
                <w:rFonts w:ascii="Arial" w:cs="Arial" w:eastAsia="Arial" w:hAnsi="Arial"/>
                <w:sz w:val="18"/>
                <w:szCs w:val="18"/>
                <w:color w:val="auto"/>
              </w:rPr>
              <w:t>Bulgaria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Bulgaria Holding AD</w:t>
            </w:r>
          </w:p>
        </w:tc>
        <w:tc>
          <w:tcPr>
            <w:tcW w:w="7220" w:type="dxa"/>
            <w:vAlign w:val="bottom"/>
          </w:tcPr>
          <w:p>
            <w:pPr>
              <w:ind w:left="4960"/>
              <w:spacing w:after="0"/>
              <w:rPr>
                <w:sz w:val="20"/>
                <w:szCs w:val="20"/>
                <w:color w:val="auto"/>
              </w:rPr>
            </w:pPr>
            <w:r>
              <w:rPr>
                <w:rFonts w:ascii="Arial" w:cs="Arial" w:eastAsia="Arial" w:hAnsi="Arial"/>
                <w:sz w:val="18"/>
                <w:szCs w:val="18"/>
                <w:color w:val="auto"/>
              </w:rPr>
              <w:t>Bulgaria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Bulgaria Production EOOD</w:t>
            </w:r>
          </w:p>
        </w:tc>
        <w:tc>
          <w:tcPr>
            <w:tcW w:w="7220" w:type="dxa"/>
            <w:vAlign w:val="bottom"/>
          </w:tcPr>
          <w:p>
            <w:pPr>
              <w:ind w:left="4960"/>
              <w:spacing w:after="0"/>
              <w:rPr>
                <w:sz w:val="20"/>
                <w:szCs w:val="20"/>
                <w:color w:val="auto"/>
              </w:rPr>
            </w:pPr>
            <w:r>
              <w:rPr>
                <w:rFonts w:ascii="Arial" w:cs="Arial" w:eastAsia="Arial" w:hAnsi="Arial"/>
                <w:sz w:val="18"/>
                <w:szCs w:val="18"/>
                <w:color w:val="auto"/>
              </w:rPr>
              <w:t>Bulgaria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MCI Finance Inc.</w:t>
            </w:r>
          </w:p>
        </w:tc>
        <w:tc>
          <w:tcPr>
            <w:tcW w:w="7220" w:type="dxa"/>
            <w:vAlign w:val="bottom"/>
          </w:tcPr>
          <w:p>
            <w:pPr>
              <w:ind w:left="4960"/>
              <w:spacing w:after="0"/>
              <w:rPr>
                <w:sz w:val="20"/>
                <w:szCs w:val="20"/>
                <w:color w:val="auto"/>
              </w:rPr>
            </w:pPr>
            <w:r>
              <w:rPr>
                <w:rFonts w:ascii="Arial" w:cs="Arial" w:eastAsia="Arial" w:hAnsi="Arial"/>
                <w:sz w:val="18"/>
                <w:szCs w:val="18"/>
                <w:color w:val="auto"/>
              </w:rPr>
              <w:t>Canada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Asia Pacific (Alberta) GP ULC</w:t>
            </w:r>
          </w:p>
        </w:tc>
        <w:tc>
          <w:tcPr>
            <w:tcW w:w="7220" w:type="dxa"/>
            <w:vAlign w:val="bottom"/>
          </w:tcPr>
          <w:p>
            <w:pPr>
              <w:ind w:left="4960"/>
              <w:spacing w:after="0"/>
              <w:rPr>
                <w:sz w:val="20"/>
                <w:szCs w:val="20"/>
                <w:color w:val="auto"/>
              </w:rPr>
            </w:pPr>
            <w:r>
              <w:rPr>
                <w:rFonts w:ascii="Arial" w:cs="Arial" w:eastAsia="Arial" w:hAnsi="Arial"/>
                <w:sz w:val="18"/>
                <w:szCs w:val="18"/>
                <w:color w:val="auto"/>
              </w:rPr>
              <w:t>Canada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Canada Holdings ULC</w:t>
            </w:r>
          </w:p>
        </w:tc>
        <w:tc>
          <w:tcPr>
            <w:tcW w:w="7220" w:type="dxa"/>
            <w:vAlign w:val="bottom"/>
          </w:tcPr>
          <w:p>
            <w:pPr>
              <w:ind w:left="4960"/>
              <w:spacing w:after="0"/>
              <w:rPr>
                <w:sz w:val="20"/>
                <w:szCs w:val="20"/>
                <w:color w:val="auto"/>
              </w:rPr>
            </w:pPr>
            <w:r>
              <w:rPr>
                <w:rFonts w:ascii="Arial" w:cs="Arial" w:eastAsia="Arial" w:hAnsi="Arial"/>
                <w:sz w:val="18"/>
                <w:szCs w:val="18"/>
                <w:color w:val="auto"/>
              </w:rPr>
              <w:t>Canada</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Mondelez Canada Inc.</w:t>
            </w:r>
          </w:p>
        </w:tc>
        <w:tc>
          <w:tcPr>
            <w:tcW w:w="7220" w:type="dxa"/>
            <w:vAlign w:val="bottom"/>
          </w:tcPr>
          <w:p>
            <w:pPr>
              <w:ind w:left="496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420"/>
          </w:cols>
          <w:pgMar w:left="240" w:top="499"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TCI Realty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Chile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(Guangzhou)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Food Co. Limited 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Beijing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China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Jiangmen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Business Services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Foods Corporate Management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Suzhou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Food (Suzhou)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Comerciales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 Gallito Industrial,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Costa Rica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Costa Rica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Zagreb d.o.o.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CR Biscuit Production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Opavia Lu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Danmark Intellectual Property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Danmark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Dominicana,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Ecuador Cia.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Foods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Trading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El Salvador, Ltda.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Eesti Osauhing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Finland OY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Glico 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Biscuit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Intellectual Property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Antilles Guyane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Biscuits Production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Ocean Indien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R&amp;D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Georgia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Carlton Lebensmittel Vertriebs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Kraft Foods Deutschland Biscuits Grundstuecksverwaltungs GmbH &amp; Co. KG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Kraft Foods Deutschland Holding Grundstuecksverwaltungs GmbH &amp; Co. KG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Kraft Foods Deutschland Production Grundstuecksverwaltungs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Biscuits Production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8400" w:space="720"/>
            <w:col w:w="1500"/>
          </w:cols>
          <w:pgMar w:left="280" w:top="503" w:right="9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Mondelez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Services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Mondelez Deutschland Snacks Production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Suchard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Ghana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Lapworth Commodities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Production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Guatemala,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Honduras, S. de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Gyori Keksz Kft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IP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 S Business Services (India) Pvt.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Induri Farm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KJS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India Foods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Cadbury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Cipta Manis Makmur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Kraft Symphoni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Kraft Ultrajaya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Manufacturing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Trading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Alreford DAC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Berkeley Re DAC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America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International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Ireland Intellectual Property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Insurance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Production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(Dublin)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Fattorie Osella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Italia Intellectual Property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Biscuits Production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Services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Meito Adams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Ltd TK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Kazakhstan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Guatemala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ectPr>
          <w:pgSz w:w="11900" w:h="16838" w:orient="portrait"/>
          <w:cols w:equalWidth="0" w:num="2">
            <w:col w:w="8400" w:space="720"/>
            <w:col w:w="1059"/>
          </w:cols>
          <w:pgMar w:left="280" w:top="503" w:right="1440"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Cadbury Kenya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Dong Suh Foods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Migabang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SIA Mondelez Latvija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Adams Middle East 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 Kraft Foods Lietuva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UAB Mondelez Baltic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UAB Mondelez Lietuva Production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Sales (M)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Sales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Mauritius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Mexico,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Productos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Integrales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Maroc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 Immobiliere Ibrahim D'Ain Sebaa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Springer Schokoladenfabrik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CIS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Enterprises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Netherlands International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Česko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Entity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Intercontinental Netherlands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MB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MC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NMB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NVA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VA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Nederland Biscuit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Nederland Intellectual Property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North America and Asia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Coffee Holdco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Biscuits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Holdings Netherlands B.V.</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Mondelez International Intercontinental Netherlands B.V.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Nederland Biscuit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Services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Nicaragua,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Nigeria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Kenya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ectPr>
          <w:pgSz w:w="11900" w:h="16838" w:orient="portrait"/>
          <w:cols w:equalWidth="0" w:num="2">
            <w:col w:w="8400" w:space="720"/>
            <w:col w:w="1059"/>
          </w:cols>
          <w:pgMar w:left="280" w:top="504" w:right="1440"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Kraft Foods Norge Intellectual Property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Production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Pakistan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Panama, S. de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Peru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RD&amp;Q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Production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Portugal, Unipessoal Lda.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Puerto Rico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Romania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Rus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Arabia for Trading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Arabia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d.o.o.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Procurement d.o.o.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Kuan Enterprises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Asia Pacific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AP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Helix Singapore Pte. Ltd. (fka Kraft Helix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Mondelez Holdings Singapore Pte. Ltd. (fka Kraft Foods Holdings Singapore Pte.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AMEA PTE.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Mondelez Trading Singapore Pte. Ltd. (fka Kraft Foods Trading Singapore Pte.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Symphony Biscuits Holdings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European Business Services Centre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Holding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Intellectual Property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SR Production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trgovska druzba, d.o.o, Ljubjana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Chapelat-Humphries Investments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Intellectual Property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Commercial,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Confectionery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Galletas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Postres Production, S.A.U.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Services,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Iberia Holdings, S.L.U.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Puerto Rico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8400" w:space="720"/>
            <w:col w:w="1059"/>
          </w:cols>
          <w:pgMar w:left="280" w:top="503" w:right="1440"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Mondelez Iberia Snacking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Chapelat Swaziland (Proprietary)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(Swaziland)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Holding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Intellectual Property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Production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Schweiz Holding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Procurement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Services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Finance AG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Production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World Travel Retail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Taloca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(Trinidad) Unlimited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Kent Gida Maddeleri Sanayii ve Ticaret Anonim Sirketi</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Cadbury South Africa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LLC Chipsy LYUKS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Private Joint Stock Company "Mondelez Ukraina"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Eastern Europe Middle East &amp; Africa FZE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Brentwick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Eight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Four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Nine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Nominees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Two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Finance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Investments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Overseas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Seven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Six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Ten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US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Acquisitions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Assets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Suchex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Craven Keiller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Swaziland/South Africa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Trinidad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8400" w:space="720"/>
            <w:col w:w="1720"/>
          </w:cols>
          <w:pgMar w:left="280" w:top="504" w:right="7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Ernest Jackson &amp;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Galactogen Products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Investment Holdings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Intellectual Property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IP &amp; Production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Russia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 Rose &amp;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Biscuit Financing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UK Confectionery Production Limited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Mondelez UK Finance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Holdings &amp;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R&amp;D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Reading Scientific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Schweppes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Somerdale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Speedy Assetco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Old Leo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Bassett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Vantas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Enjoy Life Natural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Great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VII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VIII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XI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XIV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Asia Pacific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Biscuit Brands Kuan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Kraft Foods International Europe Holdings LLC</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Kraft Foods International Holdings Delaware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Latin America Holding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R &amp; 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BTN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Global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Delaware LLC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International Financing Delaware LLC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Perfect Bar Blocker,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ectPr>
          <w:pgSz w:w="11900" w:h="16838" w:orient="portrait"/>
          <w:cols w:equalWidth="0" w:num="2">
            <w:col w:w="8400" w:space="720"/>
            <w:col w:w="1220"/>
          </w:cols>
          <w:pgMar w:left="280" w:top="503" w:right="12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Perfect Bar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Perfect Bar,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SMR Concepts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Bake Shop,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Holding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Wholesale,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Uruguay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Adams,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Beverages de Venezuela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Compania Venezolana de Conservas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Covenco Holding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VZ,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Promotora Cadbury Adams,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Tevalca Holdings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Kinh Do Vietnam JSC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North Kinh Do One Member Company Limited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Cadbury Schweppes Zimbabwe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ectPr>
          <w:pgSz w:w="11900" w:h="16838" w:orient="portrait"/>
          <w:cols w:equalWidth="0" w:num="2">
            <w:col w:w="8400" w:space="720"/>
            <w:col w:w="1059"/>
          </w:cols>
          <w:pgMar w:left="280" w:top="503"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333-216408) and Form S-8 (Nos. 333-197088, 333-184178, 333-183993, 333-182066, 333-174665, 333-165736, 333-133559 and 333-125992) of Mondelēz International, Inc. of our report dated February 7, 2020 relating to the consolidated financial statements, financial statement schedule and the effectiveness of internal control over financial reporting, which appears in this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2020</w:t>
      </w:r>
    </w:p>
    <w:p>
      <w:pPr>
        <w:sectPr>
          <w:pgSz w:w="11900" w:h="16838" w:orient="portrait"/>
          <w:cols w:equalWidth="0" w:num="1">
            <w:col w:w="11420"/>
          </w:cols>
          <w:pgMar w:left="240" w:top="549"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25" w:lineRule="exact"/>
        <w:rPr>
          <w:sz w:val="20"/>
          <w:szCs w:val="20"/>
          <w:color w:val="auto"/>
        </w:rPr>
      </w:pPr>
    </w:p>
    <w:p>
      <w:pPr>
        <w:ind w:left="500" w:hanging="465"/>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500" w:right="80" w:hanging="465"/>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500" w:right="180" w:hanging="465"/>
        <w:spacing w:after="0" w:line="275" w:lineRule="auto"/>
        <w:tabs>
          <w:tab w:leader="none" w:pos="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500" w:right="140" w:hanging="465"/>
        <w:spacing w:after="0" w:line="234"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8" w:lineRule="exact"/>
        <w:rPr>
          <w:rFonts w:ascii="Arial" w:cs="Arial" w:eastAsia="Arial" w:hAnsi="Arial"/>
          <w:sz w:val="18"/>
          <w:szCs w:val="18"/>
          <w:color w:val="auto"/>
        </w:rPr>
      </w:pPr>
    </w:p>
    <w:p>
      <w:pPr>
        <w:jc w:val="both"/>
        <w:ind w:left="960" w:right="180" w:hanging="466"/>
        <w:spacing w:after="0"/>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60" w:right="520" w:hanging="466"/>
        <w:spacing w:after="0"/>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60" w:right="80" w:hanging="466"/>
        <w:spacing w:after="0"/>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60" w:right="260" w:hanging="466"/>
        <w:spacing w:after="0"/>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500" w:right="160" w:hanging="465"/>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60" w:right="140" w:hanging="466"/>
        <w:spacing w:after="0" w:line="246" w:lineRule="auto"/>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60" w:right="380" w:hanging="466"/>
        <w:spacing w:after="0" w:line="246" w:lineRule="auto"/>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2020</w:t>
      </w:r>
    </w:p>
    <w:p>
      <w:pPr>
        <w:spacing w:after="0" w:line="200" w:lineRule="exact"/>
        <w:rPr>
          <w:sz w:val="20"/>
          <w:szCs w:val="20"/>
          <w:color w:val="auto"/>
        </w:rPr>
      </w:pPr>
    </w:p>
    <w:p>
      <w:pPr>
        <w:spacing w:after="0" w:line="28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Dirk Van de Put</w:t>
      </w:r>
    </w:p>
    <w:p>
      <w:pPr>
        <w:ind w:left="69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500" w:hanging="465"/>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500" w:right="80" w:hanging="465"/>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500" w:right="180" w:hanging="465"/>
        <w:spacing w:after="0" w:line="275"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500" w:right="140" w:hanging="465"/>
        <w:spacing w:after="0" w:line="234"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8" w:lineRule="exact"/>
        <w:rPr>
          <w:rFonts w:ascii="Arial" w:cs="Arial" w:eastAsia="Arial" w:hAnsi="Arial"/>
          <w:sz w:val="18"/>
          <w:szCs w:val="18"/>
          <w:color w:val="auto"/>
        </w:rPr>
      </w:pPr>
    </w:p>
    <w:p>
      <w:pPr>
        <w:jc w:val="both"/>
        <w:ind w:left="960" w:right="180" w:hanging="466"/>
        <w:spacing w:after="0"/>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60" w:right="520" w:hanging="466"/>
        <w:spacing w:after="0"/>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60" w:right="80" w:hanging="466"/>
        <w:spacing w:after="0"/>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60" w:right="260" w:hanging="466"/>
        <w:spacing w:after="0"/>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500" w:right="160" w:hanging="465"/>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60" w:right="140" w:hanging="466"/>
        <w:spacing w:after="0" w:line="246" w:lineRule="auto"/>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60" w:right="380" w:hanging="466"/>
        <w:spacing w:after="0" w:line="246" w:lineRule="auto"/>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2020</w:t>
      </w:r>
    </w:p>
    <w:p>
      <w:pPr>
        <w:spacing w:after="0" w:line="200" w:lineRule="exact"/>
        <w:rPr>
          <w:sz w:val="20"/>
          <w:szCs w:val="20"/>
          <w:color w:val="auto"/>
        </w:rPr>
      </w:pPr>
    </w:p>
    <w:p>
      <w:pPr>
        <w:spacing w:after="0" w:line="32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Luca Zaramella</w:t>
      </w:r>
    </w:p>
    <w:p>
      <w:pPr>
        <w:ind w:left="69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2019,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98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2020</w:t>
      </w:r>
    </w:p>
    <w:p>
      <w:pPr>
        <w:spacing w:after="0" w:line="200" w:lineRule="exact"/>
        <w:rPr>
          <w:sz w:val="20"/>
          <w:szCs w:val="20"/>
          <w:color w:val="auto"/>
        </w:rPr>
      </w:pPr>
    </w:p>
    <w:p>
      <w:pPr>
        <w:spacing w:after="0" w:line="2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2019,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98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2020</w:t>
      </w:r>
    </w:p>
    <w:p>
      <w:pPr>
        <w:spacing w:after="0" w:line="200" w:lineRule="exact"/>
        <w:rPr>
          <w:sz w:val="20"/>
          <w:szCs w:val="20"/>
          <w:color w:val="auto"/>
        </w:rPr>
      </w:pPr>
    </w:p>
    <w:p>
      <w:pPr>
        <w:spacing w:after="0" w:line="23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3"/>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6"/>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3"/>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6"/>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
      <w:numFmt w:val="bullet"/>
      <w:start w:val="1"/>
    </w:lvl>
    <w:lvl w:ilvl="1">
      <w:lvlJc w:val="left"/>
      <w:lvlText w:val="•"/>
      <w:numFmt w:val="bullet"/>
      <w:start w:val="1"/>
    </w:lvl>
  </w:abstractNum>
  <w:abstractNum w:abstractNumId="22">
    <w:nsid w:val="649BB77C"/>
    <w:multiLevelType w:val="hybridMultilevel"/>
    <w:lvl w:ilvl="0">
      <w:lvlJc w:val="left"/>
      <w:lvlText w:val="(%1)"/>
      <w:numFmt w:val="decimal"/>
    </w:lvl>
    <w:lvl w:ilvl="1">
      <w:lvlJc w:val="left"/>
      <w:lvlText w:val="•"/>
      <w:numFmt w:val="bullet"/>
      <w:start w:val="1"/>
    </w:lvl>
  </w:abstractNum>
  <w:abstractNum w:abstractNumId="23">
    <w:nsid w:val="275AC794"/>
    <w:multiLevelType w:val="hybridMultilevel"/>
    <w:lvl w:ilvl="0">
      <w:lvlJc w:val="left"/>
      <w:lvlText w:val="(%1)"/>
      <w:numFmt w:val="decimal"/>
      <w:start w:val="4"/>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lvl w:ilvl="1">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lvl w:ilvl="1">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lowerLetter"/>
      <w:start w:val="2"/>
    </w:lvl>
  </w:abstractNum>
  <w:abstractNum w:abstractNumId="54">
    <w:nsid w:val="6B94764"/>
    <w:multiLevelType w:val="hybridMultilevel"/>
    <w:lvl w:ilvl="0">
      <w:lvlJc w:val="left"/>
      <w:lvlText w:val="%1"/>
      <w:numFmt w:val="decimal"/>
      <w:start w:val="101"/>
    </w:lvl>
  </w:abstractNum>
  <w:abstractNum w:abstractNumId="55">
    <w:nsid w:val="42C296BD"/>
    <w:multiLevelType w:val="hybridMultilevel"/>
    <w:lvl w:ilvl="0">
      <w:lvlJc w:val="left"/>
      <w:lvlText w:val="%1"/>
      <w:numFmt w:val="decimal"/>
      <w:start w:val="104"/>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endash "/>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1"/>
      <w:numFmt w:val="lowerLetter"/>
      <w:start w:val="1"/>
    </w:lvl>
    <w:lvl w:ilvl="1">
      <w:lvlJc w:val="left"/>
      <w:lvlText w:val="(%2)"/>
      <w:numFmt w:val="lowerLetter"/>
      <w:start w:val="1"/>
    </w:lvl>
  </w:abstractNum>
  <w:abstractNum w:abstractNumId="64">
    <w:nsid w:val="BF72B14"/>
    <w:multiLevelType w:val="hybridMultilevel"/>
    <w:lvl w:ilvl="0">
      <w:lvlJc w:val="left"/>
      <w:lvlText w:val="(%1)"/>
      <w:numFmt w:val="lowerLetter"/>
      <w:start w:val="61"/>
    </w:lvl>
    <w:lvl w:ilvl="1">
      <w:lvlJc w:val="left"/>
      <w:lvlText w:val="(%2)"/>
      <w:numFmt w:val="lowerLetter"/>
      <w:start w:val="3"/>
    </w:lvl>
  </w:abstractNum>
  <w:abstractNum w:abstractNumId="65">
    <w:nsid w:val="11447B73"/>
    <w:multiLevelType w:val="hybridMultilevel"/>
    <w:lvl w:ilvl="0">
      <w:lvlJc w:val="left"/>
      <w:lvlText w:val="(%1)"/>
      <w:numFmt w:val="lowerLetter"/>
      <w:start w:val="7"/>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2"/>
    </w:lvl>
  </w:abstractNum>
  <w:abstractNum w:abstractNumId="68">
    <w:nsid w:val="8F2B15E"/>
    <w:multiLevelType w:val="hybridMultilevel"/>
    <w:lvl w:ilvl="0">
      <w:lvlJc w:val="left"/>
      <w:lvlText w:val="(%1)"/>
      <w:numFmt w:val="lowerLetter"/>
      <w:start w:val="9"/>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67" Type="http://schemas.openxmlformats.org/officeDocument/2006/relationships/image" Target="media/image87.png"/><Relationship Id="rId168" Type="http://schemas.openxmlformats.org/officeDocument/2006/relationships/image" Target="media/image88.png"/><Relationship Id="rId169" Type="http://schemas.openxmlformats.org/officeDocument/2006/relationships/image" Target="media/image89.png"/><Relationship Id="rId170" Type="http://schemas.openxmlformats.org/officeDocument/2006/relationships/image" Target="media/image90.png"/><Relationship Id="rId171" Type="http://schemas.openxmlformats.org/officeDocument/2006/relationships/image" Target="media/image91.png"/><Relationship Id="rId172" Type="http://schemas.openxmlformats.org/officeDocument/2006/relationships/image" Target="media/image92.png"/><Relationship Id="rId173" Type="http://schemas.openxmlformats.org/officeDocument/2006/relationships/image" Target="media/image93.png"/><Relationship Id="rId94" Type="http://schemas.openxmlformats.org/officeDocument/2006/relationships/hyperlink" Target="http://www.sec.gov/Archives/edgar/data/1103982/000119312512411522/d418430dex21.htm" TargetMode="External"/><Relationship Id="rId95" Type="http://schemas.openxmlformats.org/officeDocument/2006/relationships/hyperlink" Target="http://www.sec.gov/Archives/edgar/data/1103982/000119312513073227/d456052dex23.htm" TargetMode="External"/><Relationship Id="rId96" Type="http://schemas.openxmlformats.org/officeDocument/2006/relationships/hyperlink" Target="http://www.sec.gov/Archives/edgar/data/1103982/000119312512411522/d418430dex103.htm" TargetMode="External"/><Relationship Id="rId97" Type="http://schemas.openxmlformats.org/officeDocument/2006/relationships/hyperlink" Target="http://www.sec.gov/Archives/edgar/data/1103982/000119312512411522/d418430dex104.htm" TargetMode="External"/><Relationship Id="rId98" Type="http://schemas.openxmlformats.org/officeDocument/2006/relationships/hyperlink" Target="http://www.sec.gov/Archives/edgar/data/1103982/000119312515160034/d893461dex21.htm" TargetMode="External"/><Relationship Id="rId99" Type="http://schemas.openxmlformats.org/officeDocument/2006/relationships/hyperlink" Target="http://www.sec.gov/Archives/edgar/data/1103982/000119312515160034/d893461dex22.htm" TargetMode="External"/><Relationship Id="rId100" Type="http://schemas.openxmlformats.org/officeDocument/2006/relationships/hyperlink" Target="http://www.sec.gov/Archives/edgar/data/1103982/000119312517245459/d412472dex21.htm" TargetMode="External"/><Relationship Id="rId101" Type="http://schemas.openxmlformats.org/officeDocument/2006/relationships/hyperlink" Target="http://www.sec.gov/Archives/edgar/data/1103982/000119312513207666/d512925dex31.htm" TargetMode="External"/><Relationship Id="rId102" Type="http://schemas.openxmlformats.org/officeDocument/2006/relationships/hyperlink" Target="http://www.sec.gov/Archives/edgar/data/1103982/000119312515339385/d80038dex31.htm" TargetMode="External"/><Relationship Id="rId103" Type="http://schemas.openxmlformats.org/officeDocument/2006/relationships/hyperlink" Target="http://www.sec.gov/Archives/edgar/data/1103982/000095013002002716/dex41.txt" TargetMode="External"/><Relationship Id="rId104" Type="http://schemas.openxmlformats.org/officeDocument/2006/relationships/hyperlink" Target="http://www.sec.gov/Archives/edgar/data/1103982/000119312513469814/d644133dex42.htm" TargetMode="External"/><Relationship Id="rId105" Type="http://schemas.openxmlformats.org/officeDocument/2006/relationships/hyperlink" Target="http://www.sec.gov/Archives/edgar/data/1103982/000119312517055858/d288385dex44.htm" TargetMode="External"/><Relationship Id="rId106" Type="http://schemas.openxmlformats.org/officeDocument/2006/relationships/hyperlink" Target="http://www.sec.gov/Archives/edgar/data/1103982/000119312519038074/d706206dex42.htm" TargetMode="External"/><Relationship Id="rId107" Type="http://schemas.openxmlformats.org/officeDocument/2006/relationships/hyperlink" Target="http://www.sec.gov/Archives/edgar/data/1103982/000119312516750814/d281401dex41.htm" TargetMode="External"/><Relationship Id="rId108" Type="http://schemas.openxmlformats.org/officeDocument/2006/relationships/hyperlink" Target="http://www.sec.gov/Archives/edgar/data/1103982/000119312519249830/d807102dex42.htm" TargetMode="External"/><Relationship Id="rId109" Type="http://schemas.openxmlformats.org/officeDocument/2006/relationships/hyperlink" Target="http://www.sec.gov/Archives/edgar/data/1103982/000119312519260755/d804026dex42.htm" TargetMode="External"/><Relationship Id="rId110" Type="http://schemas.openxmlformats.org/officeDocument/2006/relationships/hyperlink" Target="http://www.sec.gov/Archives/edgar/data/1103982/000119312519054359/d682610dex102.htm" TargetMode="External"/><Relationship Id="rId111" Type="http://schemas.openxmlformats.org/officeDocument/2006/relationships/hyperlink" Target="http://www.sec.gov/Archives/edgar/data/1103982/000119312517055858/d288385dex102.htm" TargetMode="External"/><Relationship Id="rId112" Type="http://schemas.openxmlformats.org/officeDocument/2006/relationships/hyperlink" Target="http://www.sec.gov/Archives/edgar/data/1103982/000119312519054359/d682610dex101.htm" TargetMode="External"/><Relationship Id="rId113" Type="http://schemas.openxmlformats.org/officeDocument/2006/relationships/hyperlink" Target="http://www.sec.gov/Archives/edgar/data/1103982/000119312519244971/d803887dex101.htm" TargetMode="External"/><Relationship Id="rId114" Type="http://schemas.openxmlformats.org/officeDocument/2006/relationships/hyperlink" Target="http://www.sec.gov/Archives/edgar/data/1103982/000119312512411522/d418430dex101.htm" TargetMode="External"/><Relationship Id="rId115" Type="http://schemas.openxmlformats.org/officeDocument/2006/relationships/hyperlink" Target="http://www.sec.gov/Archives/edgar/data/1103982/000119312514302145/d744588dex101.htm" TargetMode="External"/><Relationship Id="rId116" Type="http://schemas.openxmlformats.org/officeDocument/2006/relationships/hyperlink" Target="http://www.sec.gov/Archives/edgar/data/1103982/000119312515272328/d940616dex103.htm" TargetMode="External"/><Relationship Id="rId117" Type="http://schemas.openxmlformats.org/officeDocument/2006/relationships/hyperlink" Target="http://www.sec.gov/Archives/edgar/data/1103982/000119312516561707/d149717dex101.htm" TargetMode="External"/><Relationship Id="rId118" Type="http://schemas.openxmlformats.org/officeDocument/2006/relationships/hyperlink" Target="http://www.sec.gov/Archives/edgar/data/1103982/000119312516561707/d149717dex102.htm" TargetMode="External"/><Relationship Id="rId119" Type="http://schemas.openxmlformats.org/officeDocument/2006/relationships/hyperlink" Target="http://www.sec.gov/Archives/edgar/data/1103982/000119312518215145/d889773dex101.htm" TargetMode="External"/><Relationship Id="rId120" Type="http://schemas.openxmlformats.org/officeDocument/2006/relationships/hyperlink" Target="http://www.sec.gov/Archives/edgar/data/1103982/000119312518215145/d889773dex102.htm" TargetMode="External"/><Relationship Id="rId121" Type="http://schemas.openxmlformats.org/officeDocument/2006/relationships/hyperlink" Target="http://www.sec.gov/Archives/edgar/data/1103982/000119312518215145/d889773dex103.htm" TargetMode="External"/><Relationship Id="rId122" Type="http://schemas.openxmlformats.org/officeDocument/2006/relationships/hyperlink" Target="http://www.sec.gov/Archives/edgar/data/1103982/000119312515272328/d940616dex102.htm" TargetMode="External"/><Relationship Id="rId123" Type="http://schemas.openxmlformats.org/officeDocument/2006/relationships/hyperlink" Target="http://www.sec.gov/Archives/edgar/data/1103982/000119312517155252/d346910dex102.htm" TargetMode="External"/><Relationship Id="rId124" Type="http://schemas.openxmlformats.org/officeDocument/2006/relationships/hyperlink" Target="http://www.sec.gov/Archives/edgar/data/1103982/000119312517155252/d346910dex103.htm" TargetMode="External"/><Relationship Id="rId125" Type="http://schemas.openxmlformats.org/officeDocument/2006/relationships/hyperlink" Target="http://www.sec.gov/Archives/edgar/data/1103982/000110398218000005/a33118ex102.htm" TargetMode="External"/><Relationship Id="rId126" Type="http://schemas.openxmlformats.org/officeDocument/2006/relationships/hyperlink" Target="http://www.sec.gov/Archives/edgar/data/1103982/000110398219000010/a33119ex103.htm" TargetMode="External"/><Relationship Id="rId127" Type="http://schemas.openxmlformats.org/officeDocument/2006/relationships/hyperlink" Target="http://www.sec.gov/Archives/edgar/data/1103982/000119312517155252/d346910dex104.htm" TargetMode="External"/><Relationship Id="rId128" Type="http://schemas.openxmlformats.org/officeDocument/2006/relationships/hyperlink" Target="http://www.sec.gov/Archives/edgar/data/1103982/000110398218000005/a33118ex103.htm" TargetMode="External"/><Relationship Id="rId129" Type="http://schemas.openxmlformats.org/officeDocument/2006/relationships/hyperlink" Target="http://www.sec.gov/Archives/edgar/data/1103982/000110398219000010/a33119ex104.htm" TargetMode="External"/><Relationship Id="rId130" Type="http://schemas.openxmlformats.org/officeDocument/2006/relationships/hyperlink" Target="http://www.sec.gov/Archives/edgar/data/1103982/000119312518037332/d466496dex1013.htm" TargetMode="External"/><Relationship Id="rId131" Type="http://schemas.openxmlformats.org/officeDocument/2006/relationships/hyperlink" Target="http://www.sec.gov/Archives/edgar/data/1103982/000110398218000005/a33118ex104.htm" TargetMode="External"/><Relationship Id="rId132" Type="http://schemas.openxmlformats.org/officeDocument/2006/relationships/hyperlink" Target="http://www.sec.gov/Archives/edgar/data/1103982/000110398219000010/a33119ex105.htm" TargetMode="External"/><Relationship Id="rId133" Type="http://schemas.openxmlformats.org/officeDocument/2006/relationships/hyperlink" Target="http://www.sec.gov/Archives/edgar/data/1103982/000119312513073227/d456052dex1010.htm" TargetMode="External"/><Relationship Id="rId134" Type="http://schemas.openxmlformats.org/officeDocument/2006/relationships/hyperlink" Target="http://www.sec.gov/Archives/edgar/data/1103982/000110398219000005/a123118ex1026.htm" TargetMode="External"/><Relationship Id="rId135" Type="http://schemas.openxmlformats.org/officeDocument/2006/relationships/hyperlink" Target="http://www.sec.gov/Archives/edgar/data/1103982/000119312513073227/d456052dex1011.htm" TargetMode="External"/><Relationship Id="rId136" Type="http://schemas.openxmlformats.org/officeDocument/2006/relationships/hyperlink" Target="http://www.sec.gov/Archives/edgar/data/1103982/000110398219000005/a123118ex1028.htm" TargetMode="External"/><Relationship Id="rId137" Type="http://schemas.openxmlformats.org/officeDocument/2006/relationships/hyperlink" Target="http://www.sec.gov/Archives/edgar/data/1103982/000119312513073227/d456052dex1012.htm" TargetMode="External"/><Relationship Id="rId138" Type="http://schemas.openxmlformats.org/officeDocument/2006/relationships/hyperlink" Target="http://www.sec.gov/Archives/edgar/data/1103982/000119312513073227/d456052dex1013.htm" TargetMode="External"/><Relationship Id="rId139" Type="http://schemas.openxmlformats.org/officeDocument/2006/relationships/hyperlink" Target="http://www.sec.gov/Archives/edgar/data/1103982/000119312513073227/d456052dex1014.htm" TargetMode="External"/><Relationship Id="rId140" Type="http://schemas.openxmlformats.org/officeDocument/2006/relationships/hyperlink" Target="http://www.sec.gov/Archives/edgar/data/1103982/000119312513073227/d456052dex1015.htm" TargetMode="External"/><Relationship Id="rId141" Type="http://schemas.openxmlformats.org/officeDocument/2006/relationships/hyperlink" Target="http://www.sec.gov/Archives/edgar/data/1103982/000110398219000014/a63019ex102.htm" TargetMode="External"/><Relationship Id="rId142" Type="http://schemas.openxmlformats.org/officeDocument/2006/relationships/hyperlink" Target="http://www.sec.gov/Archives/edgar/data/1103982/000119312513073227/d456052dex1017.htm" TargetMode="External"/><Relationship Id="rId143" Type="http://schemas.openxmlformats.org/officeDocument/2006/relationships/hyperlink" Target="http://www.sec.gov/Archives/edgar/data/1103982/000119312513073227/d456052dex1018.htm" TargetMode="External"/><Relationship Id="rId144" Type="http://schemas.openxmlformats.org/officeDocument/2006/relationships/hyperlink" Target="http://www.sec.gov/Archives/edgar/data/1103982/000119312513073227/d456052dex1019.htm" TargetMode="External"/><Relationship Id="rId145" Type="http://schemas.openxmlformats.org/officeDocument/2006/relationships/hyperlink" Target="http://www.sec.gov/Archives/edgar/data/1103982/000110398218000009/a63018ex102.htm" TargetMode="External"/><Relationship Id="rId146" Type="http://schemas.openxmlformats.org/officeDocument/2006/relationships/hyperlink" Target="http://www.sec.gov/Archives/edgar/data/1103982/000110398218000009/a63018ex103.htm" TargetMode="External"/><Relationship Id="rId147" Type="http://schemas.openxmlformats.org/officeDocument/2006/relationships/hyperlink" Target="http://www.sec.gov/Archives/edgar/data/1103982/000119312517244953/d627607dex101.htm" TargetMode="External"/><Relationship Id="rId148" Type="http://schemas.openxmlformats.org/officeDocument/2006/relationships/hyperlink" Target="http://www.sec.gov/Archives/edgar/data/1103982/000110465906052215/a06-15579_1ex10d29.htm" TargetMode="External"/><Relationship Id="rId149" Type="http://schemas.openxmlformats.org/officeDocument/2006/relationships/hyperlink" Target="http://www.sec.gov/Archives/edgar/data/1103982/000119312509040798/dex1020.htm" TargetMode="External"/><Relationship Id="rId150" Type="http://schemas.openxmlformats.org/officeDocument/2006/relationships/hyperlink" Target="http://www.sec.gov/Archives/edgar/data/1103982/000119312511296642/d233422dex101.htm" TargetMode="External"/><Relationship Id="rId151" Type="http://schemas.openxmlformats.org/officeDocument/2006/relationships/hyperlink" Target="http://www.sec.gov/Archives/edgar/data/1103982/000119312518037332/d466496dex1031.htm" TargetMode="External"/><Relationship Id="rId152" Type="http://schemas.openxmlformats.org/officeDocument/2006/relationships/hyperlink" Target="http://www.sec.gov/Archives/edgar/data/1103982/000110398218000009/a63018ex104.htm" TargetMode="External"/><Relationship Id="rId153" Type="http://schemas.openxmlformats.org/officeDocument/2006/relationships/hyperlink" Target="http://www.sec.gov/Archives/edgar/data/1103982/000110398218000009/a63018ex105.htm" TargetMode="External"/><Relationship Id="rId154" Type="http://schemas.openxmlformats.org/officeDocument/2006/relationships/hyperlink" Target="http://www.sec.gov/Archives/edgar/data/1103982/000110398218000009/a63018ex106.htm" TargetMode="External"/><Relationship Id="rId155" Type="http://schemas.openxmlformats.org/officeDocument/2006/relationships/hyperlink" Target="http://www.sec.gov/Archives/edgar/data/1103982/000119312518241085/d556751dex101.htm" TargetMode="External"/><Relationship Id="rId156" Type="http://schemas.openxmlformats.org/officeDocument/2006/relationships/hyperlink" Target="http://www.sec.gov/Archives/edgar/data/1103982/000110398219000010/a33119ex106.htm" TargetMode="External"/><Relationship Id="rId157" Type="http://schemas.openxmlformats.org/officeDocument/2006/relationships/hyperlink" Target="http://www.sec.gov/Archives/edgar/data/1103982/000110398219000014/a63019ex101.htm" TargetMode="External"/><Relationship Id="rId158" Type="http://schemas.openxmlformats.org/officeDocument/2006/relationships/hyperlink" Target="http://www.sec.gov/Archives/edgar/data/1103982/000119312517185515/d391975dex101.htm" TargetMode="External"/><Relationship Id="rId159" Type="http://schemas.openxmlformats.org/officeDocument/2006/relationships/hyperlink" Target="http://www.sec.gov/Archives/edgar/data/1103982/000119312518152870/d566397dex101.htm" TargetMode="External"/><Relationship Id="rId160" Type="http://schemas.openxmlformats.org/officeDocument/2006/relationships/hyperlink" Target="http://www.sec.gov/Archives/edgar/data/1103982/000110398219000005/a123118ex1053.htm" TargetMode="External"/><Relationship Id="rId161" Type="http://schemas.openxmlformats.org/officeDocument/2006/relationships/hyperlink" Target="http://www.sec.gov/Archives/edgar/data/1103982/000110398219000005/a123118ex1054.htm" TargetMode="External"/><Relationship Id="rId162" Type="http://schemas.openxmlformats.org/officeDocument/2006/relationships/hyperlink" Target="http://www.sec.gov/Archives/edgar/data/1103982/000119312519235319/d777770dex101.htm" TargetMode="External"/><Relationship Id="rId163" Type="http://schemas.openxmlformats.org/officeDocument/2006/relationships/hyperlink" Target="http://www.sec.gov/Archives/edgar/data/1103982/000119312509040798/dex1028.htm" TargetMode="External"/><Relationship Id="rId164" Type="http://schemas.openxmlformats.org/officeDocument/2006/relationships/hyperlink" Target="http://www.sec.gov/Archives/edgar/data/1103982/000119312509016418/dex101.htm" TargetMode="External"/><Relationship Id="rId165" Type="http://schemas.openxmlformats.org/officeDocument/2006/relationships/hyperlink" Target="http://www.sec.gov/Archives/edgar/data/1103982/000119312518037332/d466496dex1037.htm" TargetMode="External"/><Relationship Id="rId166" Type="http://schemas.openxmlformats.org/officeDocument/2006/relationships/hyperlink" Target="http://www.sec.gov/Archives/edgar/data/1103982/000110398218000013/a93018ex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2020-02-17T17:49:24Z</dcterms:created>
  <dcterms:modified xsi:type="dcterms:W3CDTF">2020-02-17T17:49:24Z</dcterms:modified>
</cp:coreProperties>
</file>