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10-Q </w:t>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(Mark One)</w:t>
      </w:r>
    </w:p>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March 31, 2025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OR</w:t>
      </w:r>
    </w:p>
    <w:tbl>
      <w:tblPr>
        <w:tblW w:w="100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1-16483 </w:t>
      </w:r>
    </w:p>
    <w:p>
      <w:pPr>
        <w:pStyle w:val="TextBody"/>
        <w:bidi w:val="0"/>
        <w:spacing w:before="60" w:after="283"/>
        <w:jc w:val="center"/>
        <w:rPr/>
      </w:pPr>
      <w:r>
        <w:rPr/>
        <w:drawing>
          <wp:inline distT="0" distB="0" distL="0" distR="0">
            <wp:extent cx="10096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247650"/>
                    </a:xfrm>
                    <a:prstGeom prst="rect">
                      <a:avLst/>
                    </a:prstGeom>
                  </pic:spPr>
                </pic:pic>
              </a:graphicData>
            </a:graphic>
          </wp:inline>
        </w:drawing>
      </w:r>
    </w:p>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 xml:space="preserve">Mondelēz International, Inc.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6988" w:type="dxa"/>
        <w:jc w:val="center"/>
        <w:tblInd w:w="0" w:type="dxa"/>
        <w:tblLayout w:type="fixed"/>
        <w:tblCellMar>
          <w:top w:w="28" w:type="dxa"/>
          <w:left w:w="28" w:type="dxa"/>
          <w:bottom w:w="28" w:type="dxa"/>
          <w:right w:w="28" w:type="dxa"/>
        </w:tblCellMar>
      </w:tblPr>
      <w:tblGrid>
        <w:gridCol w:w="797"/>
        <w:gridCol w:w="699"/>
        <w:gridCol w:w="699"/>
        <w:gridCol w:w="699"/>
        <w:gridCol w:w="699"/>
        <w:gridCol w:w="740"/>
        <w:gridCol w:w="773"/>
        <w:gridCol w:w="773"/>
        <w:gridCol w:w="1109"/>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Virginia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52-2284372</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905 West Fulton Market, Suite 200</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Chicago,</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Illinois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60607</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0"/>
        <w:jc w:val="center"/>
        <w:rPr/>
      </w:pPr>
      <w:r>
        <w:rPr>
          <w:rFonts w:ascii="Arial;sans-serif" w:hAnsi="Arial;sans-serif"/>
          <w:b w:val="false"/>
          <w:color w:val="000000"/>
          <w:sz w:val="16"/>
        </w:rPr>
        <w:t xml:space="preserve">(Registrant’s telephone number, including area code) </w:t>
      </w:r>
      <w:r>
        <w:rPr>
          <w:rFonts w:ascii="Arial;sans-serif" w:hAnsi="Arial;sans-serif"/>
          <w:b/>
          <w:color w:val="000000"/>
          <w:sz w:val="16"/>
        </w:rPr>
        <w:t xml:space="preserve">(847) 943-4000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76" w:type="dxa"/>
        <w:jc w:val="center"/>
        <w:tblInd w:w="0" w:type="dxa"/>
        <w:tblLayout w:type="fixed"/>
        <w:tblCellMar>
          <w:top w:w="28" w:type="dxa"/>
          <w:left w:w="28" w:type="dxa"/>
          <w:bottom w:w="28" w:type="dxa"/>
          <w:right w:w="28" w:type="dxa"/>
        </w:tblCellMar>
      </w:tblPr>
      <w:tblGrid>
        <w:gridCol w:w="1030"/>
        <w:gridCol w:w="904"/>
        <w:gridCol w:w="915"/>
        <w:gridCol w:w="109"/>
        <w:gridCol w:w="109"/>
        <w:gridCol w:w="109"/>
        <w:gridCol w:w="304"/>
        <w:gridCol w:w="304"/>
        <w:gridCol w:w="306"/>
        <w:gridCol w:w="109"/>
        <w:gridCol w:w="109"/>
        <w:gridCol w:w="109"/>
        <w:gridCol w:w="1071"/>
        <w:gridCol w:w="1071"/>
        <w:gridCol w:w="1517"/>
      </w:tblGrid>
      <w:tr>
        <w:trPr/>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Class A 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1.625%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2.375%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1.375% Notes due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3.875% Notes due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20" w:after="283"/>
        <w:jc w:val="both"/>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699"/>
        <w:gridCol w:w="699"/>
        <w:gridCol w:w="703"/>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before="80" w:after="283"/>
        <w:jc w:val="both"/>
        <w:rPr/>
      </w:pPr>
      <w:r>
        <w:rPr/>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At April 23, 2025, there were 1,294,815,373 shares of the registrant’s Class A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
        <w:gridCol w:w="228"/>
        <w:gridCol w:w="231"/>
        <w:gridCol w:w="2874"/>
        <w:gridCol w:w="2874"/>
        <w:gridCol w:w="2880"/>
        <w:gridCol w:w="250"/>
        <w:gridCol w:w="250"/>
        <w:gridCol w:w="357"/>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0">
              <w:r>
                <w:rPr>
                  <w:rStyle w:val="InternetLink"/>
                  <w:rFonts w:ascii="Arial;sans-serif" w:hAnsi="Arial;sans-serif"/>
                  <w:b/>
                  <w:color w:val="0000FF"/>
                  <w:sz w:val="16"/>
                  <w:u w:val="single"/>
                </w:rPr>
                <w:t>PART I</w:t>
              </w:r>
            </w:hyperlink>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INFORMATION</w:t>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Statements (Unaudited)</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6">
              <w:r>
                <w:rPr>
                  <w:rStyle w:val="InternetLink"/>
                  <w:rFonts w:ascii="Arial;sans-serif" w:hAnsi="Arial;sans-serif"/>
                  <w:b w:val="false"/>
                  <w:color w:val="0000FF"/>
                  <w:sz w:val="16"/>
                  <w:u w:val="single"/>
                </w:rPr>
                <w:t>Condensed Consolidated Statements of Earnings for the Three Months Ended March 31, 2025 and 2024</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6">
              <w:r>
                <w:rPr>
                  <w:rStyle w:val="InternetLink"/>
                  <w:rFonts w:ascii="Arial;sans-serif" w:hAnsi="Arial;sans-serif"/>
                  <w:b w:val="false"/>
                  <w:strike w:val="false"/>
                  <w:dstrike w:val="false"/>
                  <w:color w:val="000000"/>
                  <w:sz w:val="16"/>
                  <w:u w:val="none"/>
                  <w:effect w:val="none"/>
                </w:rPr>
                <w:t>1</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1d8bfc794f14b219e06259497fe7d89_19">
              <w:r>
                <w:rPr>
                  <w:rStyle w:val="InternetLink"/>
                  <w:rFonts w:ascii="Arial;sans-serif" w:hAnsi="Arial;sans-serif"/>
                  <w:b w:val="false"/>
                  <w:color w:val="000080"/>
                  <w:sz w:val="16"/>
                  <w:u w:val="single"/>
                </w:rPr>
                <w:t xml:space="preserve">Condensed Consolidated Statements of Comprehensive Earnings </w:t>
              </w:r>
            </w:hyperlink>
            <w:hyperlink w:anchor="if1d8bfc794f14b219e06259497fe7d89_19">
              <w:r>
                <w:rPr>
                  <w:rStyle w:val="InternetLink"/>
                  <w:rFonts w:ascii="Arial;sans-serif" w:hAnsi="Arial;sans-serif"/>
                  <w:b w:val="false"/>
                  <w:color w:val="000080"/>
                  <w:sz w:val="16"/>
                  <w:u w:val="single"/>
                </w:rPr>
                <w:t>for the Three Months Ended March 31, 2025 and 2024</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9">
              <w:r>
                <w:rPr>
                  <w:rStyle w:val="InternetLink"/>
                  <w:rFonts w:ascii="Arial;sans-serif" w:hAnsi="Arial;sans-serif"/>
                  <w:b w:val="false"/>
                  <w:strike w:val="false"/>
                  <w:dstrike w:val="false"/>
                  <w:color w:val="000000"/>
                  <w:sz w:val="16"/>
                  <w:u w:val="none"/>
                  <w:effect w:val="none"/>
                </w:rPr>
                <w:t>2</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1d8bfc794f14b219e06259497fe7d89_22">
              <w:r>
                <w:rPr>
                  <w:rStyle w:val="InternetLink"/>
                  <w:rFonts w:ascii="Arial;sans-serif" w:hAnsi="Arial;sans-serif"/>
                  <w:b w:val="false"/>
                  <w:color w:val="0000FF"/>
                  <w:sz w:val="16"/>
                  <w:u w:val="single"/>
                </w:rPr>
                <w:t>Condensed Consolidated Balance Sheets at March 31, 2025 and December 31, 2024</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22">
              <w:r>
                <w:rPr>
                  <w:rStyle w:val="InternetLink"/>
                  <w:rFonts w:ascii="Arial;sans-serif" w:hAnsi="Arial;sans-serif"/>
                  <w:b w:val="false"/>
                  <w:strike w:val="false"/>
                  <w:dstrike w:val="false"/>
                  <w:color w:val="000000"/>
                  <w:sz w:val="16"/>
                  <w:u w:val="none"/>
                  <w:effect w:val="none"/>
                </w:rPr>
                <w:t>3</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1d8bfc794f14b219e06259497fe7d89_25">
              <w:r>
                <w:rPr>
                  <w:rStyle w:val="InternetLink"/>
                  <w:rFonts w:ascii="Arial;sans-serif" w:hAnsi="Arial;sans-serif"/>
                  <w:b w:val="false"/>
                  <w:color w:val="0000FF"/>
                  <w:sz w:val="16"/>
                  <w:u w:val="single"/>
                </w:rPr>
                <w:t>Condensed Consolidated Statements of Equity for the Three Months Ended March 31, 2025 and 2024</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25">
              <w:r>
                <w:rPr>
                  <w:rStyle w:val="InternetLink"/>
                  <w:rFonts w:ascii="Arial;sans-serif" w:hAnsi="Arial;sans-serif"/>
                  <w:b w:val="false"/>
                  <w:strike w:val="false"/>
                  <w:dstrike w:val="false"/>
                  <w:color w:val="000000"/>
                  <w:sz w:val="16"/>
                  <w:u w:val="none"/>
                  <w:effect w:val="none"/>
                </w:rPr>
                <w:t>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1d8bfc794f14b219e06259497fe7d89_28">
              <w:r>
                <w:rPr>
                  <w:rStyle w:val="InternetLink"/>
                  <w:rFonts w:ascii="Arial;sans-serif" w:hAnsi="Arial;sans-serif"/>
                  <w:b w:val="false"/>
                  <w:color w:val="0000FF"/>
                  <w:sz w:val="16"/>
                  <w:u w:val="single"/>
                </w:rPr>
                <w:t>Condensed Consolidated Statements of Cash Flows for the Three Months Ended March 31, 2025 and 2024</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28">
              <w:r>
                <w:rPr>
                  <w:rStyle w:val="InternetLink"/>
                  <w:rFonts w:ascii="Arial;sans-serif" w:hAnsi="Arial;sans-serif"/>
                  <w:b w:val="false"/>
                  <w:strike w:val="false"/>
                  <w:dstrike w:val="false"/>
                  <w:color w:val="000000"/>
                  <w:sz w:val="16"/>
                  <w:u w:val="none"/>
                  <w:effect w:val="none"/>
                </w:rPr>
                <w:t>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1d8bfc794f14b219e06259497fe7d89_31">
              <w:r>
                <w:rPr>
                  <w:rStyle w:val="InternetLink"/>
                  <w:rFonts w:ascii="Arial;sans-serif" w:hAnsi="Arial;sans-serif"/>
                  <w:b w:val="false"/>
                  <w:color w:val="0000FF"/>
                  <w:sz w:val="16"/>
                  <w:u w:val="single"/>
                </w:rPr>
                <w:t>Notes to Condensed Consolidated Financial Statements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31">
              <w:r>
                <w:rPr>
                  <w:rStyle w:val="InternetLink"/>
                  <w:rFonts w:ascii="Arial;sans-serif" w:hAnsi="Arial;sans-serif"/>
                  <w:b w:val="false"/>
                  <w:strike w:val="false"/>
                  <w:dstrike w:val="false"/>
                  <w:color w:val="000000"/>
                  <w:sz w:val="16"/>
                  <w:u w:val="none"/>
                  <w:effect w:val="none"/>
                </w:rPr>
                <w:t>6</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1d8bfc794f14b219e06259497fe7d89_82">
              <w:r>
                <w:rPr>
                  <w:rStyle w:val="InternetLink"/>
                  <w:rFonts w:ascii="Arial;sans-serif" w:hAnsi="Arial;sans-serif"/>
                  <w:b w:val="false"/>
                  <w:color w:val="0000FF"/>
                  <w:sz w:val="16"/>
                  <w:u w:val="single"/>
                </w:rPr>
                <w:t>Management’s Discussion and Analysis of Financial Condition and Results of Operations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82">
              <w:r>
                <w:rPr>
                  <w:rStyle w:val="InternetLink"/>
                  <w:rFonts w:ascii="Arial;sans-serif" w:hAnsi="Arial;sans-serif"/>
                  <w:b w:val="false"/>
                  <w:strike w:val="false"/>
                  <w:dstrike w:val="false"/>
                  <w:color w:val="000000"/>
                  <w:sz w:val="16"/>
                  <w:u w:val="none"/>
                  <w:effect w:val="none"/>
                </w:rPr>
                <w:t>25</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24">
              <w:r>
                <w:rPr>
                  <w:rStyle w:val="InternetLink"/>
                  <w:rFonts w:ascii="Arial;sans-serif" w:hAnsi="Arial;sans-serif"/>
                  <w:b w:val="false"/>
                  <w:color w:val="0000FF"/>
                  <w:sz w:val="16"/>
                  <w:u w:val="single"/>
                </w:rPr>
                <w:t>Quantitative and Qualitative Disclosures about Market Risk</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24">
              <w:r>
                <w:rPr>
                  <w:rStyle w:val="InternetLink"/>
                  <w:rFonts w:ascii="Arial;sans-serif" w:hAnsi="Arial;sans-serif"/>
                  <w:b w:val="false"/>
                  <w:strike w:val="false"/>
                  <w:dstrike w:val="false"/>
                  <w:color w:val="000000"/>
                  <w:sz w:val="16"/>
                  <w:u w:val="none"/>
                  <w:effect w:val="none"/>
                </w:rPr>
                <w:t>44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27">
              <w:r>
                <w:rPr>
                  <w:rStyle w:val="InternetLink"/>
                  <w:rFonts w:ascii="Arial;sans-serif" w:hAnsi="Arial;sans-serif"/>
                  <w:b w:val="false"/>
                  <w:color w:val="0000FF"/>
                  <w:sz w:val="16"/>
                  <w:u w:val="single"/>
                </w:rPr>
                <w:t>Controls and Procedures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27">
              <w:r>
                <w:rPr>
                  <w:rStyle w:val="InternetLink"/>
                  <w:rFonts w:ascii="Arial;sans-serif" w:hAnsi="Arial;sans-serif"/>
                  <w:b w:val="false"/>
                  <w:strike w:val="false"/>
                  <w:dstrike w:val="false"/>
                  <w:color w:val="000000"/>
                  <w:sz w:val="16"/>
                  <w:u w:val="none"/>
                  <w:effect w:val="none"/>
                </w:rPr>
                <w:t>44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30">
              <w:r>
                <w:rPr>
                  <w:rStyle w:val="InternetLink"/>
                  <w:rFonts w:ascii="Arial;sans-serif" w:hAnsi="Arial;sans-serif"/>
                  <w:b/>
                  <w:color w:val="0000FF"/>
                  <w:sz w:val="16"/>
                  <w:u w:val="single"/>
                </w:rPr>
                <w:t>PART II</w:t>
              </w:r>
            </w:hyperlink>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INFORMATION</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33">
              <w:r>
                <w:rPr>
                  <w:rStyle w:val="InternetLink"/>
                  <w:rFonts w:ascii="Arial;sans-serif" w:hAnsi="Arial;sans-serif"/>
                  <w:b w:val="false"/>
                  <w:color w:val="0000FF"/>
                  <w:sz w:val="16"/>
                  <w:u w:val="single"/>
                </w:rPr>
                <w:t>Legal Proceedings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33">
              <w:r>
                <w:rPr>
                  <w:rStyle w:val="InternetLink"/>
                  <w:rFonts w:ascii="Arial;sans-serif" w:hAnsi="Arial;sans-serif"/>
                  <w:b w:val="false"/>
                  <w:strike w:val="false"/>
                  <w:dstrike w:val="false"/>
                  <w:color w:val="000000"/>
                  <w:sz w:val="16"/>
                  <w:u w:val="none"/>
                  <w:effect w:val="none"/>
                </w:rPr>
                <w:t>45</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1A.</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36">
              <w:r>
                <w:rPr>
                  <w:rStyle w:val="InternetLink"/>
                  <w:rFonts w:ascii="Arial;sans-serif" w:hAnsi="Arial;sans-serif"/>
                  <w:b w:val="false"/>
                  <w:color w:val="0000FF"/>
                  <w:sz w:val="16"/>
                  <w:u w:val="single"/>
                </w:rPr>
                <w:t>Risk Factors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36">
              <w:r>
                <w:rPr>
                  <w:rStyle w:val="InternetLink"/>
                  <w:rFonts w:ascii="Arial;sans-serif" w:hAnsi="Arial;sans-serif"/>
                  <w:b w:val="false"/>
                  <w:strike w:val="false"/>
                  <w:dstrike w:val="false"/>
                  <w:color w:val="000000"/>
                  <w:sz w:val="16"/>
                  <w:u w:val="none"/>
                  <w:effect w:val="none"/>
                </w:rPr>
                <w:t>45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39">
              <w:r>
                <w:rPr>
                  <w:rStyle w:val="InternetLink"/>
                  <w:rFonts w:ascii="Arial;sans-serif" w:hAnsi="Arial;sans-serif"/>
                  <w:b w:val="false"/>
                  <w:color w:val="0000FF"/>
                  <w:sz w:val="16"/>
                  <w:u w:val="single"/>
                </w:rPr>
                <w:t>Unregistered Sales of Equity Securities and Use of Proceeds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39">
              <w:r>
                <w:rPr>
                  <w:rStyle w:val="InternetLink"/>
                  <w:rFonts w:ascii="Arial;sans-serif" w:hAnsi="Arial;sans-serif"/>
                  <w:b w:val="false"/>
                  <w:strike w:val="false"/>
                  <w:dstrike w:val="false"/>
                  <w:color w:val="000000"/>
                  <w:sz w:val="16"/>
                  <w:u w:val="none"/>
                  <w:effect w:val="none"/>
                </w:rPr>
                <w:t>45</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5.</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42">
              <w:r>
                <w:rPr>
                  <w:rStyle w:val="InternetLink"/>
                  <w:rFonts w:ascii="Arial;sans-serif" w:hAnsi="Arial;sans-serif"/>
                  <w:b w:val="false"/>
                  <w:color w:val="0000FF"/>
                  <w:sz w:val="16"/>
                  <w:u w:val="single"/>
                </w:rPr>
                <w:t>Other Information</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42">
              <w:r>
                <w:rPr>
                  <w:rStyle w:val="InternetLink"/>
                  <w:rFonts w:ascii="Arial;sans-serif" w:hAnsi="Arial;sans-serif"/>
                  <w:b w:val="false"/>
                  <w:strike w:val="false"/>
                  <w:dstrike w:val="false"/>
                  <w:color w:val="000000"/>
                  <w:sz w:val="16"/>
                  <w:u w:val="none"/>
                  <w:effect w:val="none"/>
                </w:rPr>
                <w:t>45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6.</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d8bfc794f14b219e06259497fe7d89_145">
              <w:r>
                <w:rPr>
                  <w:rStyle w:val="InternetLink"/>
                  <w:rFonts w:ascii="Arial;sans-serif" w:hAnsi="Arial;sans-serif"/>
                  <w:b w:val="false"/>
                  <w:color w:val="0000FF"/>
                  <w:sz w:val="16"/>
                  <w:u w:val="single"/>
                </w:rPr>
                <w:t>Exhibits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45">
              <w:r>
                <w:rPr>
                  <w:rStyle w:val="InternetLink"/>
                  <w:rFonts w:ascii="Arial;sans-serif" w:hAnsi="Arial;sans-serif"/>
                  <w:b w:val="false"/>
                  <w:strike w:val="false"/>
                  <w:dstrike w:val="false"/>
                  <w:color w:val="000000"/>
                  <w:sz w:val="16"/>
                  <w:u w:val="none"/>
                  <w:effect w:val="none"/>
                </w:rPr>
                <w:t>46</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1d8bfc794f14b219e06259497fe7d89_148">
              <w:r>
                <w:rPr>
                  <w:rStyle w:val="InternetLink"/>
                  <w:rFonts w:ascii="Arial;sans-serif" w:hAnsi="Arial;sans-serif"/>
                  <w:b w:val="false"/>
                  <w:color w:val="0000FF"/>
                  <w:sz w:val="16"/>
                  <w:u w:val="single"/>
                </w:rPr>
                <w:t>Signature</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d8bfc794f14b219e06259497fe7d89_148">
              <w:r>
                <w:rPr>
                  <w:rStyle w:val="InternetLink"/>
                  <w:rFonts w:ascii="Arial;sans-serif" w:hAnsi="Arial;sans-serif"/>
                  <w:b w:val="false"/>
                  <w:strike w:val="false"/>
                  <w:dstrike w:val="false"/>
                  <w:color w:val="000000"/>
                  <w:sz w:val="16"/>
                  <w:u w:val="none"/>
                  <w:effect w:val="none"/>
                </w:rPr>
                <w:t>47</w:t>
              </w:r>
            </w:hyperlink>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this report, for all periods presented, “we,” “us,” “our,” “the Company” and “Mondelēz International” refer to Mondelēz International, Inc. and subsidiaries. References to “Common Stock” refer to our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92785"/>
                <wp:effectExtent l="0" t="0" r="0" b="0"/>
                <wp:wrapNone/>
                <wp:docPr id="3" name="Frame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pPr>
      <w:r>
        <w:rPr>
          <w:rFonts w:ascii="Arial;sans-serif" w:hAnsi="Arial;sans-serif"/>
          <w:b/>
          <w:color w:val="000000"/>
          <w:sz w:val="20"/>
        </w:rPr>
        <w:t>(Unaudited)</w:t>
      </w:r>
      <w:r>
        <w:rPr>
          <w:color w:val="000000"/>
        </w:rPr>
        <w:t xml:space="preserve"> </w:t>
      </w:r>
    </w:p>
    <w:tbl>
      <w:tblPr>
        <w:tblW w:w="7094" w:type="dxa"/>
        <w:jc w:val="center"/>
        <w:tblInd w:w="0" w:type="dxa"/>
        <w:tblLayout w:type="fixed"/>
        <w:tblCellMar>
          <w:top w:w="28" w:type="dxa"/>
          <w:left w:w="28" w:type="dxa"/>
          <w:bottom w:w="28" w:type="dxa"/>
          <w:right w:w="28" w:type="dxa"/>
        </w:tblCellMar>
      </w:tblPr>
      <w:tblGrid>
        <w:gridCol w:w="1538"/>
        <w:gridCol w:w="1347"/>
        <w:gridCol w:w="1360"/>
        <w:gridCol w:w="221"/>
        <w:gridCol w:w="678"/>
        <w:gridCol w:w="114"/>
        <w:gridCol w:w="114"/>
        <w:gridCol w:w="114"/>
        <w:gridCol w:w="114"/>
        <w:gridCol w:w="221"/>
        <w:gridCol w:w="678"/>
        <w:gridCol w:w="114"/>
        <w:gridCol w:w="109"/>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impairments and exit costs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equity method investment transactions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earnings attributable to </w:t>
              <w:br/>
              <w:t>   Mondelēz International</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data:</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92785"/>
                <wp:effectExtent l="0" t="0" r="0" b="0"/>
                <wp:wrapNone/>
                <wp:docPr id="6" name="Frame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7376" w:type="dxa"/>
        <w:jc w:val="left"/>
        <w:tblInd w:w="0" w:type="dxa"/>
        <w:tblLayout w:type="fixed"/>
        <w:tblCellMar>
          <w:top w:w="28" w:type="dxa"/>
          <w:left w:w="28" w:type="dxa"/>
          <w:bottom w:w="28" w:type="dxa"/>
          <w:right w:w="28" w:type="dxa"/>
        </w:tblCellMar>
      </w:tblPr>
      <w:tblGrid>
        <w:gridCol w:w="1638"/>
        <w:gridCol w:w="1436"/>
        <w:gridCol w:w="1455"/>
        <w:gridCol w:w="238"/>
        <w:gridCol w:w="544"/>
        <w:gridCol w:w="123"/>
        <w:gridCol w:w="123"/>
        <w:gridCol w:w="123"/>
        <w:gridCol w:w="123"/>
        <w:gridCol w:w="238"/>
        <w:gridCol w:w="731"/>
        <w:gridCol w:w="123"/>
        <w:gridCol w:w="109"/>
        <w:gridCol w:w="109"/>
        <w:gridCol w:w="109"/>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earnings/(losses), net of tax:</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benefit plans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cash flow hedges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earnings/(losses)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earnings/(losses)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Comprehensive earnings/(losses) </w:t>
              <w:br/>
              <w:t>   attributable to noncontrolling interests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Comprehensive earnings/(losses) attributable to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Mondelēz International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92785"/>
                <wp:effectExtent l="0" t="0" r="0" b="0"/>
                <wp:wrapNone/>
                <wp:docPr id="9" name="Frame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59"/>
        <w:gridCol w:w="2285"/>
        <w:gridCol w:w="2317"/>
        <w:gridCol w:w="211"/>
        <w:gridCol w:w="751"/>
        <w:gridCol w:w="109"/>
        <w:gridCol w:w="109"/>
        <w:gridCol w:w="109"/>
        <w:gridCol w:w="109"/>
        <w:gridCol w:w="291"/>
        <w:gridCol w:w="1039"/>
        <w:gridCol w:w="216"/>
      </w:tblGrid>
      <w:tr>
        <w:trPr/>
        <w:tc>
          <w:tcPr>
            <w:tcW w:w="265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receivables, less allowance ($37 and $37,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receivables, less allowance ($38 and $37,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pension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68,497 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health care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10)</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no par value (5,000,000,000 shares authorized, 1,996,537,778 shares issued)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(701,689,976 and 678,708,640 shares,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(29,349)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Mondelēz International Shareholders’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26,958 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68,497 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92785"/>
                <wp:effectExtent l="0" t="0" r="0" b="0"/>
                <wp:wrapNone/>
                <wp:docPr id="12" name="Frame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3"/>
        <w:gridCol w:w="539"/>
        <w:gridCol w:w="545"/>
        <w:gridCol w:w="181"/>
        <w:gridCol w:w="406"/>
        <w:gridCol w:w="109"/>
        <w:gridCol w:w="109"/>
        <w:gridCol w:w="109"/>
        <w:gridCol w:w="109"/>
        <w:gridCol w:w="181"/>
        <w:gridCol w:w="571"/>
        <w:gridCol w:w="109"/>
        <w:gridCol w:w="109"/>
        <w:gridCol w:w="109"/>
        <w:gridCol w:w="109"/>
        <w:gridCol w:w="181"/>
        <w:gridCol w:w="571"/>
        <w:gridCol w:w="109"/>
        <w:gridCol w:w="109"/>
        <w:gridCol w:w="109"/>
        <w:gridCol w:w="109"/>
        <w:gridCol w:w="230"/>
        <w:gridCol w:w="726"/>
        <w:gridCol w:w="140"/>
        <w:gridCol w:w="109"/>
        <w:gridCol w:w="109"/>
        <w:gridCol w:w="109"/>
        <w:gridCol w:w="181"/>
        <w:gridCol w:w="593"/>
        <w:gridCol w:w="109"/>
        <w:gridCol w:w="109"/>
        <w:gridCol w:w="109"/>
        <w:gridCol w:w="109"/>
        <w:gridCol w:w="331"/>
        <w:gridCol w:w="550"/>
        <w:gridCol w:w="200"/>
        <w:gridCol w:w="109"/>
        <w:gridCol w:w="109"/>
        <w:gridCol w:w="109"/>
        <w:gridCol w:w="181"/>
        <w:gridCol w:w="5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Earnings/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Equity</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March 31, 2025</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2025</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(12,471)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($0.470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March 31, 2024</w:t>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2024</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($0.425 per share)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2024</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(11,132)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92785"/>
                <wp:effectExtent l="0" t="0" r="0" b="0"/>
                <wp:wrapNone/>
                <wp:docPr id="15" name="Frame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892" w:type="dxa"/>
        <w:jc w:val="left"/>
        <w:tblInd w:w="0" w:type="dxa"/>
        <w:tblLayout w:type="fixed"/>
        <w:tblCellMar>
          <w:top w:w="28" w:type="dxa"/>
          <w:left w:w="28" w:type="dxa"/>
          <w:bottom w:w="28" w:type="dxa"/>
          <w:right w:w="28" w:type="dxa"/>
        </w:tblCellMar>
      </w:tblPr>
      <w:tblGrid>
        <w:gridCol w:w="2343"/>
        <w:gridCol w:w="2062"/>
        <w:gridCol w:w="2074"/>
        <w:gridCol w:w="227"/>
        <w:gridCol w:w="663"/>
        <w:gridCol w:w="117"/>
        <w:gridCol w:w="117"/>
        <w:gridCol w:w="117"/>
        <w:gridCol w:w="117"/>
        <w:gridCol w:w="227"/>
        <w:gridCol w:w="663"/>
        <w:gridCol w:w="165"/>
      </w:tblGrid>
      <w:tr>
        <w:trPr/>
        <w:tc>
          <w:tcPr>
            <w:tcW w:w="234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OPERATING ACTIVITIES</w:t>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earnings to operating cash flows:</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income tax (benefit)/provision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 and accelerated depreciation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equity method investment transactions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 net earnings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equity method investments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loss/(gain) on derivative contracts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 adjustments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Change in assets and liabilities, </w:t>
              <w:br/>
              <w:t>   net of acquisitions and divestitures:</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pension and postretirement assets and liabilities,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INVESTING ACTIVITIES</w:t>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received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divestitures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derivative settlements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Payments for derivative settlements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from/(contributions to) investments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sales of property, plant and equipment and 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FINANCING ACTIVITIES</w:t>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issuance/(repayment) of short-term borrowings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proceeds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repayments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Increase/(decrease)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92785"/>
                <wp:effectExtent l="0" t="0" r="0" b="0"/>
                <wp:wrapNone/>
                <wp:docPr id="18" name="Frame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Principles of Consolidation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in common stock or in-substance common stock over which we exercise significant influence under the equity method of accounting.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Highly Inflationary Accounting</w:t>
      </w:r>
    </w:p>
    <w:p>
      <w:pPr>
        <w:pStyle w:val="TextBody"/>
        <w:bidi w:val="0"/>
        <w:spacing w:lineRule="auto" w:line="288" w:before="0" w:after="0"/>
        <w:jc w:val="both"/>
        <w:rPr/>
      </w:pPr>
      <w:r>
        <w:rPr>
          <w:rFonts w:ascii="Arial;sans-serif" w:hAnsi="Arial;sans-serif"/>
          <w:b w:val="false"/>
          <w:color w:val="000000"/>
          <w:sz w:val="20"/>
        </w:rPr>
        <w:t>Within our consolidated entities, Argentina, Türkiye, Egypt and Nigeria</w:t>
      </w:r>
      <w:r>
        <w:rPr>
          <w:color w:val="000000"/>
        </w:rPr>
        <w:t xml:space="preserve"> </w:t>
      </w:r>
      <w:r>
        <w:rPr>
          <w:rFonts w:ascii="Arial;sans-serif" w:hAnsi="Arial;sans-serif"/>
          <w:b w:val="false"/>
          <w:color w:val="000000"/>
          <w:sz w:val="20"/>
        </w:rPr>
        <w:t>are accounted for as highly inflationary countries. Argentina, Türkiye, Egypt and Nigeria represent 1.5%, 0.8%, 0.4%</w:t>
      </w:r>
      <w:r>
        <w:rPr>
          <w:color w:val="000000"/>
        </w:rPr>
        <w:t xml:space="preserve"> </w:t>
      </w:r>
      <w:r>
        <w:rPr>
          <w:rFonts w:ascii="Arial;sans-serif" w:hAnsi="Arial;sans-serif"/>
          <w:b w:val="false"/>
          <w:color w:val="000000"/>
          <w:sz w:val="20"/>
        </w:rPr>
        <w:t>and 0.3%, respectively,</w:t>
      </w:r>
      <w:r>
        <w:rPr>
          <w:color w:val="000000"/>
        </w:rPr>
        <w:t xml:space="preserve"> </w:t>
      </w:r>
      <w:r>
        <w:rPr>
          <w:rFonts w:ascii="Arial;sans-serif" w:hAnsi="Arial;sans-serif"/>
          <w:b w:val="false"/>
          <w:color w:val="000000"/>
          <w:sz w:val="20"/>
        </w:rPr>
        <w:t>of our consolidated net revenues for the three months ended March 31, 2025. The aggregate losses from remeasurements of monetary assets and liabilities into our reporting currency for the highly inflationary countries were $(7) million and $(8) million for the three months ended March 31, 2025 and 2024, respectively. Given the continued volatility of these currencies, impacts to our financial statements in future periods could be significantly different from historical levels.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Cash Equivalents and Restricted Cash</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$64 million as of March 31, 2025 and $49 million as of December 31, 2024. Total cash, cash equivalents and restricted cash was $1,625 million as of March 31, 2025 and $1,400 million as of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Allowances for Credit Losses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allowances for credit losses consisted of:</w:t>
      </w:r>
    </w:p>
    <w:tbl>
      <w:tblPr>
        <w:tblW w:w="10205" w:type="dxa"/>
        <w:jc w:val="center"/>
        <w:tblInd w:w="0" w:type="dxa"/>
        <w:tblLayout w:type="fixed"/>
        <w:tblCellMar>
          <w:top w:w="28" w:type="dxa"/>
          <w:left w:w="28" w:type="dxa"/>
          <w:bottom w:w="28" w:type="dxa"/>
          <w:right w:w="28" w:type="dxa"/>
        </w:tblCellMar>
      </w:tblPr>
      <w:tblGrid>
        <w:gridCol w:w="907"/>
        <w:gridCol w:w="698"/>
        <w:gridCol w:w="632"/>
        <w:gridCol w:w="657"/>
        <w:gridCol w:w="1173"/>
        <w:gridCol w:w="343"/>
        <w:gridCol w:w="109"/>
        <w:gridCol w:w="109"/>
        <w:gridCol w:w="109"/>
        <w:gridCol w:w="791"/>
        <w:gridCol w:w="1413"/>
        <w:gridCol w:w="413"/>
        <w:gridCol w:w="109"/>
        <w:gridCol w:w="109"/>
        <w:gridCol w:w="109"/>
        <w:gridCol w:w="717"/>
        <w:gridCol w:w="1278"/>
        <w:gridCol w:w="529"/>
      </w:tblGrid>
      <w:tr>
        <w:trPr/>
        <w:tc>
          <w:tcPr>
            <w:tcW w:w="9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Trade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Other Current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Long-Term Receivables</w:t>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223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223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 and other</w:t>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Transfers of Financial Assets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outstanding principal amount of receivables under our uncommitted revolving non-recourse accounts receivable factoring arrangements amounted to $576 million as of March 31, 2025 and $159 million as of December 31, 2024. The incremental cost of factoring receivables under this arrangement was not material for all periods presented. The proceeds from the sales of receivables are included in cash from operating activities in the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Non-Cash Lease Transactions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recorded $38 million in operating lease and $51 million in finance lease right-of-use assets obtained in exchange for lease obligations during the three months ended March 31, 2025 and $12 million in operating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92785"/>
                <wp:effectExtent l="0" t="0" r="0" b="0"/>
                <wp:wrapNone/>
                <wp:docPr id="21" name="Frame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$22 million in finance lease right-of-use assets obtained in exchange for lease obligations during the three months ended March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bidi w:val="0"/>
        <w:spacing w:lineRule="auto" w:line="288" w:before="0" w:after="0"/>
        <w:jc w:val="both"/>
        <w:rPr/>
      </w:pPr>
      <w:r>
        <w:rPr>
          <w:rFonts w:ascii="Arial;sans-serif" w:hAnsi="Arial;sans-serif"/>
          <w:b w:val="false"/>
          <w:color w:val="000000"/>
          <w:sz w:val="20"/>
        </w:rPr>
        <w:t xml:space="preserve">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Amounts due to our suppliers that elected to participate in the SCF program are included in </w:t>
      </w:r>
      <w:r>
        <w:rPr>
          <w:rFonts w:ascii="Arial;sans-serif" w:hAnsi="Arial;sans-serif"/>
          <w:b w:val="false"/>
          <w:i/>
          <w:color w:val="000000"/>
          <w:sz w:val="20"/>
        </w:rPr>
        <w:t>accounts payable</w:t>
      </w:r>
      <w:r>
        <w:rPr>
          <w:color w:val="000000"/>
        </w:rPr>
        <w:t xml:space="preserve"> </w:t>
      </w:r>
      <w:r>
        <w:rPr>
          <w:rFonts w:ascii="Arial;sans-serif" w:hAnsi="Arial;sans-serif"/>
          <w:b w:val="false"/>
          <w:color w:val="000000"/>
          <w:sz w:val="20"/>
        </w:rPr>
        <w:t>in our consolidated balance sheets. Our outstanding obligations confirmed as valid under our SCF program are $3.7 billion and $3.5 billion as of March 31, 2025 and December 31, 2024,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Accounting Pronouncements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the FASB issued an Accounting Standards Update ("ASU") which enhances the transparency of annual income tax disclosures, primarily related to the rate reconciliation and income taxes paid information. The ASU is effective for fiscal years beginning after December 15, 2024 and early adoption is permitted. We are currently assessing the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2024, the FASB issued an ASU that requires incremental disclosures in the notes to the financial statements to disaggregate certain income statement expense line items. The ASU is effective for fiscal years beginning after December 15, 2026 and early adoption is permitted. We are currently assessing the impact on our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2. Acquisitions and Divestitures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Evirth</w:t>
      </w:r>
    </w:p>
    <w:p>
      <w:pPr>
        <w:pStyle w:val="TextBody"/>
        <w:bidi w:val="0"/>
        <w:spacing w:lineRule="auto" w:line="288" w:before="0" w:after="0"/>
        <w:jc w:val="both"/>
        <w:rPr/>
      </w:pPr>
      <w:r>
        <w:rPr>
          <w:rFonts w:ascii="Arial;sans-serif" w:hAnsi="Arial;sans-serif"/>
          <w:b w:val="false"/>
          <w:color w:val="000000"/>
          <w:sz w:val="20"/>
          <w:shd w:fill="FFFFFF" w:val="clear"/>
        </w:rPr>
        <w:t xml:space="preserve">On </w:t>
      </w:r>
      <w:r>
        <w:rPr>
          <w:rFonts w:ascii="Arial;sans-serif" w:hAnsi="Arial;sans-serif"/>
          <w:b w:val="false"/>
          <w:color w:val="000000"/>
          <w:sz w:val="20"/>
        </w:rPr>
        <w:t>November 1, 2024, we acquired Evirth (Shanghai) Industrial Co., Ltd. ("Evirth"), a leading manufacturer of cakes and pastries in China. The acquisition will continue to expand our growth in the cakes and pastries categories. The cash consideration paid totaled ¥1.8 billion ($255 million), net of cash received.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working to complete the valuation of assets acquired and liabilities assumed and have recorded a preliminary purchase price allocation.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Within definite-lived intangible assets, we allocated $117 million to customer relationships which have an estimated useful life of 17 years. The fair value of customer relationships at the acquisition date was determined using the multi-period excess earnings method under the income approach. The fair value measurements are based on significant unobservable inputs, and thus represent Level 3 inputs. Significant assumptions used in assessing the fair values of the intangible assets include discounted cash flows, customer attrition rates and discount rates.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Goodwill of $125 million was determined as the excess of the purchase price over the fair value of the net assets acquired and arises principally as a result of expansion opportunities and synergies across China. None of the goodwill recognized will be deductible for income tax purposes. All of the goodwill was assigned to the AMEA operating segment. For further detail, refer to Note 5,</w:t>
      </w:r>
      <w:r>
        <w:rPr>
          <w:color w:val="000000"/>
        </w:rPr>
        <w:t xml:space="preserve"> </w:t>
      </w:r>
      <w:r>
        <w:rPr>
          <w:rFonts w:ascii="Arial;sans-serif" w:hAnsi="Arial;sans-serif"/>
          <w:b w:val="false"/>
          <w:i/>
          <w:color w:val="000000"/>
          <w:sz w:val="20"/>
        </w:rPr>
        <w:t>Goodwill and Intangible Assets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Acquisition and Divestiture-Related Costs</w:t>
      </w:r>
    </w:p>
    <w:p>
      <w:pPr>
        <w:pStyle w:val="TextBody"/>
        <w:bidi w:val="0"/>
        <w:spacing w:lineRule="auto" w:line="288" w:before="0" w:after="0"/>
        <w:jc w:val="both"/>
        <w:rPr/>
      </w:pPr>
      <w:r>
        <w:rPr>
          <w:rFonts w:ascii="Arial;sans-serif" w:hAnsi="Arial;sans-serif"/>
          <w:b w:val="false"/>
          <w:color w:val="000000"/>
          <w:sz w:val="20"/>
        </w:rPr>
        <w:t xml:space="preserve">We recorded a net gain of $8 million </w:t>
      </w:r>
      <w:r>
        <w:rPr>
          <w:rFonts w:ascii="Arial;sans-serif" w:hAnsi="Arial;sans-serif"/>
          <w:b w:val="false"/>
          <w:color w:val="000000"/>
          <w:sz w:val="20"/>
          <w:shd w:fill="FFFFFF" w:val="clear"/>
        </w:rPr>
        <w:t xml:space="preserve">during the </w:t>
      </w:r>
      <w:r>
        <w:rPr>
          <w:rFonts w:ascii="Arial;sans-serif" w:hAnsi="Arial;sans-serif"/>
          <w:b w:val="false"/>
          <w:color w:val="000000"/>
          <w:sz w:val="20"/>
        </w:rPr>
        <w:t xml:space="preserve">three months ended March 31, 2025 and incurred $43 million </w:t>
      </w:r>
      <w:r>
        <w:rPr>
          <w:rFonts w:ascii="Arial;sans-serif" w:hAnsi="Arial;sans-serif"/>
          <w:b w:val="false"/>
          <w:color w:val="000000"/>
          <w:sz w:val="20"/>
          <w:shd w:fill="FFFFFF" w:val="clear"/>
        </w:rPr>
        <w:t xml:space="preserve">during the </w:t>
      </w:r>
      <w:r>
        <w:rPr>
          <w:rFonts w:ascii="Arial;sans-serif" w:hAnsi="Arial;sans-serif"/>
          <w:b w:val="false"/>
          <w:color w:val="000000"/>
          <w:sz w:val="20"/>
        </w:rPr>
        <w:t>three months ended March 31, 2024 in total acquisition integration costs and contingent consideration adjustments. We recorded a net gain of $4 million during the three months ended March 31, 2025 and incurred $4 million during the three months ended March 31, 2024 of total divestiture-related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92785"/>
                <wp:effectExtent l="0" t="0" r="0" b="0"/>
                <wp:wrapNone/>
                <wp:docPr id="24" name="Frame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Inventories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470" w:type="dxa"/>
        <w:jc w:val="left"/>
        <w:tblInd w:w="0" w:type="dxa"/>
        <w:tblLayout w:type="fixed"/>
        <w:tblCellMar>
          <w:top w:w="28" w:type="dxa"/>
          <w:left w:w="28" w:type="dxa"/>
          <w:bottom w:w="28" w:type="dxa"/>
          <w:right w:w="28" w:type="dxa"/>
        </w:tblCellMar>
      </w:tblPr>
      <w:tblGrid>
        <w:gridCol w:w="630"/>
        <w:gridCol w:w="553"/>
        <w:gridCol w:w="556"/>
        <w:gridCol w:w="288"/>
        <w:gridCol w:w="883"/>
        <w:gridCol w:w="149"/>
        <w:gridCol w:w="109"/>
        <w:gridCol w:w="109"/>
        <w:gridCol w:w="109"/>
        <w:gridCol w:w="435"/>
        <w:gridCol w:w="1332"/>
        <w:gridCol w:w="3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reserves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4. Property, Plant and Equipment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plant and equipment consisted of the following:</w:t>
      </w:r>
    </w:p>
    <w:tbl>
      <w:tblPr>
        <w:tblW w:w="7031" w:type="dxa"/>
        <w:jc w:val="center"/>
        <w:tblInd w:w="0" w:type="dxa"/>
        <w:tblLayout w:type="fixed"/>
        <w:tblCellMar>
          <w:top w:w="28" w:type="dxa"/>
          <w:left w:w="28" w:type="dxa"/>
          <w:bottom w:w="28" w:type="dxa"/>
          <w:right w:w="28" w:type="dxa"/>
        </w:tblCellMar>
      </w:tblPr>
      <w:tblGrid>
        <w:gridCol w:w="1195"/>
        <w:gridCol w:w="1050"/>
        <w:gridCol w:w="1055"/>
        <w:gridCol w:w="288"/>
        <w:gridCol w:w="883"/>
        <w:gridCol w:w="149"/>
        <w:gridCol w:w="109"/>
        <w:gridCol w:w="109"/>
        <w:gridCol w:w="109"/>
        <w:gridCol w:w="435"/>
        <w:gridCol w:w="1332"/>
        <w:gridCol w:w="317"/>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land improvements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building improvements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9,767 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three months ended March 31, 2025, capital expenditures of $277 million excluded $397 million of accrued capital expenditures remaining unpaid at March 31, 2025 and included payment for a portion of the $458 million of capital expenditures that were accrued and unpaid at December 31, 2024. For the three months ended March 31, 2024, capital expenditures of $299 million excluded $418 million of accrued capital expenditures remaining unpaid at March 31, 2024 and included payment for a portion of the $471 million of capital expenditures that were accrued and unpaid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92785"/>
                <wp:effectExtent l="0" t="0" r="0" b="0"/>
                <wp:wrapNone/>
                <wp:docPr id="27" name="Frame1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5. Goodwill and Intangible Assets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goodwill consisted of:</w:t>
      </w:r>
    </w:p>
    <w:p>
      <w:pPr>
        <w:pStyle w:val="TextBody"/>
        <w:bidi w:val="0"/>
        <w:spacing w:before="0" w:after="0"/>
        <w:jc w:val="both"/>
        <w:rPr/>
      </w:pPr>
      <w:r>
        <w:rPr/>
      </w:r>
    </w:p>
    <w:tbl>
      <w:tblPr>
        <w:tblW w:w="9604" w:type="dxa"/>
        <w:jc w:val="left"/>
        <w:tblInd w:w="0" w:type="dxa"/>
        <w:tblLayout w:type="fixed"/>
        <w:tblCellMar>
          <w:top w:w="28" w:type="dxa"/>
          <w:left w:w="28" w:type="dxa"/>
          <w:bottom w:w="28" w:type="dxa"/>
          <w:right w:w="28" w:type="dxa"/>
        </w:tblCellMar>
      </w:tblPr>
      <w:tblGrid>
        <w:gridCol w:w="1420"/>
        <w:gridCol w:w="706"/>
        <w:gridCol w:w="678"/>
        <w:gridCol w:w="262"/>
        <w:gridCol w:w="803"/>
        <w:gridCol w:w="135"/>
        <w:gridCol w:w="109"/>
        <w:gridCol w:w="109"/>
        <w:gridCol w:w="109"/>
        <w:gridCol w:w="211"/>
        <w:gridCol w:w="646"/>
        <w:gridCol w:w="109"/>
        <w:gridCol w:w="109"/>
        <w:gridCol w:w="109"/>
        <w:gridCol w:w="109"/>
        <w:gridCol w:w="211"/>
        <w:gridCol w:w="646"/>
        <w:gridCol w:w="109"/>
        <w:gridCol w:w="109"/>
        <w:gridCol w:w="109"/>
        <w:gridCol w:w="109"/>
        <w:gridCol w:w="245"/>
        <w:gridCol w:w="873"/>
        <w:gridCol w:w="126"/>
        <w:gridCol w:w="109"/>
        <w:gridCol w:w="109"/>
        <w:gridCol w:w="109"/>
        <w:gridCol w:w="211"/>
        <w:gridCol w:w="751"/>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2024</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Acquisition </w:t>
            </w:r>
            <w:r>
              <w:rPr>
                <w:rFonts w:ascii="Arial;sans-serif" w:hAnsi="Arial;sans-serif"/>
                <w:b w:val="false"/>
                <w:color w:val="000000"/>
                <w:sz w:val="13"/>
              </w:rPr>
              <w:t>(1)</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Other </w:t>
            </w:r>
            <w:r>
              <w:rPr>
                <w:rFonts w:ascii="Arial;sans-serif" w:hAnsi="Arial;sans-serif"/>
                <w:b w:val="false"/>
                <w:color w:val="000000"/>
                <w:sz w:val="13"/>
              </w:rPr>
              <w:t>(1)</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(1)Relates to purchase price allocation and subsequent adjustments for Evirth. See Note 2,</w:t>
      </w:r>
      <w:r>
        <w:rPr>
          <w:color w:val="000000"/>
        </w:rPr>
        <w:t xml:space="preserve"> </w:t>
      </w:r>
      <w:r>
        <w:rPr>
          <w:rFonts w:ascii="Arial;sans-serif" w:hAnsi="Arial;sans-serif"/>
          <w:b w:val="false"/>
          <w:i/>
          <w:color w:val="000000"/>
          <w:sz w:val="16"/>
        </w:rPr>
        <w:t xml:space="preserve">Acquisitions and Divestitures </w:t>
      </w:r>
      <w:r>
        <w:rPr>
          <w:rFonts w:ascii="Arial;sans-serif" w:hAnsi="Arial;sans-serif"/>
          <w:b w:val="false"/>
          <w:color w:val="000000"/>
          <w:sz w:val="16"/>
        </w:rPr>
        <w:t>for additional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Intangible assets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0"/>
        <w:gridCol w:w="448"/>
        <w:gridCol w:w="449"/>
        <w:gridCol w:w="228"/>
        <w:gridCol w:w="812"/>
        <w:gridCol w:w="117"/>
        <w:gridCol w:w="109"/>
        <w:gridCol w:w="109"/>
        <w:gridCol w:w="109"/>
        <w:gridCol w:w="275"/>
        <w:gridCol w:w="844"/>
        <w:gridCol w:w="142"/>
        <w:gridCol w:w="109"/>
        <w:gridCol w:w="109"/>
        <w:gridCol w:w="109"/>
        <w:gridCol w:w="224"/>
        <w:gridCol w:w="797"/>
        <w:gridCol w:w="115"/>
        <w:gridCol w:w="109"/>
        <w:gridCol w:w="109"/>
        <w:gridCol w:w="109"/>
        <w:gridCol w:w="228"/>
        <w:gridCol w:w="812"/>
        <w:gridCol w:w="117"/>
        <w:gridCol w:w="109"/>
        <w:gridCol w:w="109"/>
        <w:gridCol w:w="109"/>
        <w:gridCol w:w="275"/>
        <w:gridCol w:w="844"/>
        <w:gridCol w:w="142"/>
        <w:gridCol w:w="109"/>
        <w:gridCol w:w="109"/>
        <w:gridCol w:w="109"/>
        <w:gridCol w:w="223"/>
        <w:gridCol w:w="795"/>
        <w:gridCol w:w="173"/>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Indefinite-life intangible assets </w:t>
            </w:r>
            <w:r>
              <w:rPr>
                <w:rFonts w:ascii="Arial;sans-serif" w:hAnsi="Arial;sans-serif"/>
                <w:b w:val="false"/>
                <w:color w:val="000000"/>
                <w:sz w:val="13"/>
              </w:rPr>
              <w:t>(1)</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Definite-life intangible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(1)We recorded intangible asset impairments of $153 million in 2024 within </w:t>
      </w:r>
      <w:r>
        <w:rPr>
          <w:rFonts w:ascii="Arial;sans-serif" w:hAnsi="Arial;sans-serif"/>
          <w:b w:val="false"/>
          <w:i/>
          <w:color w:val="000000"/>
          <w:sz w:val="16"/>
        </w:rPr>
        <w:t xml:space="preserve">asset impairment and exit costs </w:t>
      </w:r>
      <w:r>
        <w:rPr>
          <w:rFonts w:ascii="Arial;sans-serif" w:hAnsi="Arial;sans-serif"/>
          <w:b w:val="false"/>
          <w:color w:val="000000"/>
          <w:sz w:val="16"/>
        </w:rPr>
        <w:t>in the condensed consolidated statement of earnings.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Indefinite-life intangible assets consist principally of brand names purchased through our acquisitions of Nabisco Holdings Corp., the global </w:t>
      </w:r>
      <w:r>
        <w:rPr>
          <w:rFonts w:ascii="Arial;sans-serif" w:hAnsi="Arial;sans-serif"/>
          <w:b w:val="false"/>
          <w:i/>
          <w:color w:val="000000"/>
          <w:sz w:val="20"/>
        </w:rPr>
        <w:t>LU</w:t>
      </w:r>
      <w:r>
        <w:rPr>
          <w:color w:val="000000"/>
        </w:rPr>
        <w:t xml:space="preserve"> </w:t>
      </w:r>
      <w:r>
        <w:rPr>
          <w:rFonts w:ascii="Arial;sans-serif" w:hAnsi="Arial;sans-serif"/>
          <w:b w:val="false"/>
          <w:color w:val="000000"/>
          <w:sz w:val="20"/>
        </w:rPr>
        <w:t xml:space="preserve">biscuit business of Groupe Danone S.A., Cadbury Limited and Clif Bar. Definite-life intangible assets consist primarily of trademarks, customer-related intangibles, process technology, licenses and non-compete agreements.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Amortization expense for intangible assets was $37 million for the three months ended March 31, 2025 and $38 million for the three months ended March 31,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next five years, we estimate annual amortization expense of approximately (reflecting March 31, 2025 exchange rates):</w:t>
      </w:r>
    </w:p>
    <w:tbl>
      <w:tblPr>
        <w:tblW w:w="1636" w:type="dxa"/>
        <w:jc w:val="left"/>
        <w:tblInd w:w="0" w:type="dxa"/>
        <w:tblLayout w:type="fixed"/>
        <w:tblCellMar>
          <w:top w:w="28" w:type="dxa"/>
          <w:left w:w="28" w:type="dxa"/>
          <w:bottom w:w="28" w:type="dxa"/>
          <w:right w:w="28" w:type="dxa"/>
        </w:tblCellMar>
      </w:tblPr>
      <w:tblGrid>
        <w:gridCol w:w="196"/>
        <w:gridCol w:w="172"/>
        <w:gridCol w:w="173"/>
        <w:gridCol w:w="273"/>
        <w:gridCol w:w="623"/>
        <w:gridCol w:w="19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Impairment Assessment: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test our reporting units and brands for impairment annually as of July 1, or more frequently if events or circumstances indicate it is more likely than not that the fair value of a reporting unit or brand is less than its carrying amount. During the first quarter of 2025, we evaluated our goodwill impairment and intangible asset impairment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92785"/>
                <wp:effectExtent l="0" t="0" r="0" b="0"/>
                <wp:wrapNone/>
                <wp:docPr id="30" name="Frame1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through an assessment of potential triggering events. We considered qualitative and quantitative information in our assessment and concluded there were no impairment indicators.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our 2024 annual indefinite-life intangible assets testing, we recorded $153 million of intangible asset impairment charges related to two biscuit brands in the Europe segment, one biscuit brand in the AMEA segment and one candy and one biscuit brand in the Latin America segment. Additionally, we identified thirteen brands that each had a fair value in excess of book value of 10% or less. The aggregate book value of the thirteen brands was $3.0 billion as of March 31, 2025. We believe our current plans for each of these brands will allow them to not be impaired, but if plans to grow brand revenue and earnings, and expand margin are not met or specific valuation factors outside of our control, such as discount rates, change significantly then a brand or brands could become impaired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6. Equity Method Investments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current equity method investments primarily relate to our ownership interests in Dong Suh Foods Corporation and Dong Suh Oil &amp; Fats Co. Ltd. As of March 31, 2025, we owned 50.0% and 49.0%, respectively, of these companies' outstanding shares. Our ownership interests may change over time due to investee stock-based compensation arrangements, share issuances or other equity-related transactions.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investments accounted for under the equity method of accounting totaled $610 million as of March 31, 2025 and $635 million as of December 31, 2024. We recorded equity earnings of $16 million and received cash dividends of $44 million in the three months ended March 31, 2025. We recorded equity earnings of $31 million and received cash dividends of $81 million in the three months ended March 31, 2024, which included our prior investment in JDE Peet’s N.V. (“JDEP”). During the fourth quarter of 2024, we sold our remaining 85.9 million shares in JDEP to JAB Holding Company and fully exited the investment.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three months ended March 31, 2024, we determined there was an other-than-temporary impairment of our investment in JDEP based on the period for which the quoted market price fair value had been less than the carrying value of the investment and the uncertainty surrounding JDEP's stock price recovering to the carrying value. As a result, the investment was written down to its estimated fair value based on the closing price of the underlying equity security of €19.46 per share on March 28, 2024, resulting in an impairment charge of €612 million ($665 million). This charge was included within </w:t>
      </w:r>
      <w:r>
        <w:rPr>
          <w:rFonts w:ascii="Arial;sans-serif" w:hAnsi="Arial;sans-serif"/>
          <w:b w:val="false"/>
          <w:i/>
          <w:color w:val="000000"/>
          <w:sz w:val="20"/>
        </w:rPr>
        <w:t xml:space="preserve">Loss on equity method investment transactions </w:t>
      </w:r>
      <w:r>
        <w:rPr>
          <w:rFonts w:ascii="Arial;sans-serif" w:hAnsi="Arial;sans-serif"/>
          <w:b w:val="false"/>
          <w:color w:val="000000"/>
          <w:sz w:val="20"/>
        </w:rPr>
        <w:t>in the condensed consolidated statement of earnings.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92785"/>
                <wp:effectExtent l="0" t="0" r="0" b="0"/>
                <wp:wrapNone/>
                <wp:docPr id="33" name="Frame1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7. Debt and Borrowing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short-term borrowings and related weighted-average interest rates consisted of:</w:t>
      </w:r>
    </w:p>
    <w:tbl>
      <w:tblPr>
        <w:tblW w:w="8251" w:type="dxa"/>
        <w:jc w:val="left"/>
        <w:tblInd w:w="0" w:type="dxa"/>
        <w:tblLayout w:type="fixed"/>
        <w:tblCellMar>
          <w:top w:w="28" w:type="dxa"/>
          <w:left w:w="28" w:type="dxa"/>
          <w:bottom w:w="28" w:type="dxa"/>
          <w:right w:w="28" w:type="dxa"/>
        </w:tblCellMar>
      </w:tblPr>
      <w:tblGrid>
        <w:gridCol w:w="902"/>
        <w:gridCol w:w="792"/>
        <w:gridCol w:w="795"/>
        <w:gridCol w:w="242"/>
        <w:gridCol w:w="742"/>
        <w:gridCol w:w="127"/>
        <w:gridCol w:w="109"/>
        <w:gridCol w:w="109"/>
        <w:gridCol w:w="109"/>
        <w:gridCol w:w="270"/>
        <w:gridCol w:w="271"/>
        <w:gridCol w:w="656"/>
        <w:gridCol w:w="109"/>
        <w:gridCol w:w="109"/>
        <w:gridCol w:w="109"/>
        <w:gridCol w:w="322"/>
        <w:gridCol w:w="621"/>
        <w:gridCol w:w="168"/>
        <w:gridCol w:w="141"/>
        <w:gridCol w:w="141"/>
        <w:gridCol w:w="141"/>
        <w:gridCol w:w="270"/>
        <w:gridCol w:w="271"/>
        <w:gridCol w:w="7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loans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borrowings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uncommitted credit lines and committed credit lines available include:</w:t>
      </w:r>
    </w:p>
    <w:tbl>
      <w:tblPr>
        <w:tblW w:w="9534" w:type="dxa"/>
        <w:jc w:val="left"/>
        <w:tblInd w:w="0" w:type="dxa"/>
        <w:tblLayout w:type="fixed"/>
        <w:tblCellMar>
          <w:top w:w="28" w:type="dxa"/>
          <w:left w:w="28" w:type="dxa"/>
          <w:bottom w:w="28" w:type="dxa"/>
          <w:right w:w="28" w:type="dxa"/>
        </w:tblCellMar>
      </w:tblPr>
      <w:tblGrid>
        <w:gridCol w:w="939"/>
        <w:gridCol w:w="826"/>
        <w:gridCol w:w="830"/>
        <w:gridCol w:w="359"/>
        <w:gridCol w:w="820"/>
        <w:gridCol w:w="185"/>
        <w:gridCol w:w="109"/>
        <w:gridCol w:w="109"/>
        <w:gridCol w:w="109"/>
        <w:gridCol w:w="476"/>
        <w:gridCol w:w="850"/>
        <w:gridCol w:w="249"/>
        <w:gridCol w:w="109"/>
        <w:gridCol w:w="109"/>
        <w:gridCol w:w="109"/>
        <w:gridCol w:w="359"/>
        <w:gridCol w:w="820"/>
        <w:gridCol w:w="185"/>
        <w:gridCol w:w="121"/>
        <w:gridCol w:w="121"/>
        <w:gridCol w:w="121"/>
        <w:gridCol w:w="461"/>
        <w:gridCol w:w="821"/>
        <w:gridCol w:w="337"/>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Uncommitted credit facilities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Credit facilities </w:t>
            </w:r>
            <w:r>
              <w:rPr>
                <w:rFonts w:ascii="Arial;sans-serif" w:hAnsi="Arial;sans-serif"/>
                <w:b w:val="false"/>
                <w:color w:val="000000"/>
                <w:sz w:val="13"/>
              </w:rPr>
              <w:t>(1)</w:t>
            </w:r>
            <w:r>
              <w:rPr>
                <w:rFonts w:ascii="Arial;sans-serif" w:hAnsi="Arial;sans-serif"/>
                <w:b w:val="false"/>
                <w:color w:val="000000"/>
                <w:sz w:val="20"/>
              </w:rPr>
              <w:t>:</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19, 2025</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18, 2026</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23, 2027</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19, 2030</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270"/>
        <w:jc w:val="both"/>
        <w:rPr>
          <w:rFonts w:ascii="Arial;sans-serif" w:hAnsi="Arial;sans-serif"/>
          <w:b w:val="false"/>
          <w:color w:val="000000"/>
          <w:sz w:val="16"/>
        </w:rPr>
      </w:pPr>
      <w:r>
        <w:rPr>
          <w:rFonts w:ascii="Arial;sans-serif" w:hAnsi="Arial;sans-serif"/>
          <w:b w:val="false"/>
          <w:color w:val="000000"/>
          <w:sz w:val="16"/>
        </w:rPr>
        <w:t>(1)On February 19, 2025, our $1.5 billion 364-day senior unsecured revolving credit agreement dated as of February 21, 2024 expired and we entered into a $1.5 billion 364-day senior unsecured revolving credit agreement that will expire on February 18, 2026. Additionally, we early terminated our $4.5 billion five-year senior unsecured revolving credit agreement dated as of February 23, 2022, and entered into a $4.5 billion five-year senior unsecured revolving credit agreement that will expire on February 19, 2030.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any mark-to-market accounting for pensions and other retirement plans. At March 31, 2025, we complied with this covenant. The revolving credit facility also contains customary representations, covenants and events of default. There are no credit rating triggers, provisions or other financial covenants that could require us to post collateral as security.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 Repayments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2025, we repaid the following notes (in millions):</w:t>
      </w:r>
    </w:p>
    <w:p>
      <w:pPr>
        <w:pStyle w:val="TextBody"/>
        <w:bidi w:val="0"/>
        <w:spacing w:before="0" w:after="0"/>
        <w:jc w:val="both"/>
        <w:rPr/>
      </w:pPr>
      <w:r>
        <w:rPr/>
      </w:r>
    </w:p>
    <w:tbl>
      <w:tblPr>
        <w:tblW w:w="5390"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84"/>
        <w:gridCol w:w="384"/>
        <w:gridCol w:w="386"/>
        <w:gridCol w:w="109"/>
        <w:gridCol w:w="109"/>
        <w:gridCol w:w="109"/>
        <w:gridCol w:w="250"/>
        <w:gridCol w:w="250"/>
        <w:gridCol w:w="251"/>
        <w:gridCol w:w="109"/>
        <w:gridCol w:w="109"/>
        <w:gridCol w:w="109"/>
        <w:gridCol w:w="404"/>
        <w:gridCol w:w="404"/>
        <w:gridCol w:w="57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USD Equivalent</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$417</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2024, we repaid the following notes (in millions):</w:t>
      </w:r>
    </w:p>
    <w:p>
      <w:pPr>
        <w:pStyle w:val="TextBody"/>
        <w:bidi w:val="0"/>
        <w:spacing w:before="0" w:after="0"/>
        <w:jc w:val="both"/>
        <w:rPr/>
      </w:pPr>
      <w:r>
        <w:rPr/>
      </w:r>
    </w:p>
    <w:tbl>
      <w:tblPr>
        <w:tblW w:w="5390"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84"/>
        <w:gridCol w:w="384"/>
        <w:gridCol w:w="386"/>
        <w:gridCol w:w="109"/>
        <w:gridCol w:w="109"/>
        <w:gridCol w:w="109"/>
        <w:gridCol w:w="250"/>
        <w:gridCol w:w="250"/>
        <w:gridCol w:w="251"/>
        <w:gridCol w:w="109"/>
        <w:gridCol w:w="109"/>
        <w:gridCol w:w="109"/>
        <w:gridCol w:w="404"/>
        <w:gridCol w:w="404"/>
        <w:gridCol w:w="57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USD Equivalent</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 Issuances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2025, we did not complete any debt issuances.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92785"/>
                <wp:effectExtent l="0" t="0" r="0" b="0"/>
                <wp:wrapNone/>
                <wp:docPr id="36" name="Frame1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March 31, 2024, we issued the following notes (in millions):</w:t>
      </w:r>
    </w:p>
    <w:p>
      <w:pPr>
        <w:pStyle w:val="TextBody"/>
        <w:bidi w:val="0"/>
        <w:spacing w:before="0" w:after="0"/>
        <w:jc w:val="both"/>
        <w:rPr/>
      </w:pPr>
      <w:r>
        <w:rPr/>
      </w:r>
    </w:p>
    <w:tbl>
      <w:tblPr>
        <w:tblW w:w="8189"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369"/>
        <w:gridCol w:w="369"/>
        <w:gridCol w:w="371"/>
        <w:gridCol w:w="109"/>
        <w:gridCol w:w="109"/>
        <w:gridCol w:w="109"/>
        <w:gridCol w:w="449"/>
        <w:gridCol w:w="449"/>
        <w:gridCol w:w="451"/>
        <w:gridCol w:w="109"/>
        <w:gridCol w:w="109"/>
        <w:gridCol w:w="109"/>
        <w:gridCol w:w="494"/>
        <w:gridCol w:w="494"/>
        <w:gridCol w:w="496"/>
        <w:gridCol w:w="109"/>
        <w:gridCol w:w="109"/>
        <w:gridCol w:w="109"/>
        <w:gridCol w:w="461"/>
        <w:gridCol w:w="461"/>
        <w:gridCol w:w="653"/>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Principal Amount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USD Equivalent</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Our 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fair value of our short-term borrowings reflects current market interest rates and approximates the amounts we have recorded on our condensed consolidated balance sheets. The fair value of substantially all of our long-term debt was determined using quoted prices in active markets (Level 1 valuation data). </w:t>
      </w:r>
    </w:p>
    <w:p>
      <w:pPr>
        <w:pStyle w:val="TextBody"/>
        <w:bidi w:val="0"/>
        <w:spacing w:before="0" w:after="0"/>
        <w:jc w:val="both"/>
        <w:rPr/>
      </w:pPr>
      <w:r>
        <w:rPr/>
      </w:r>
    </w:p>
    <w:tbl>
      <w:tblPr>
        <w:tblW w:w="5530" w:type="dxa"/>
        <w:jc w:val="left"/>
        <w:tblInd w:w="0" w:type="dxa"/>
        <w:tblLayout w:type="fixed"/>
        <w:tblCellMar>
          <w:top w:w="28" w:type="dxa"/>
          <w:left w:w="28" w:type="dxa"/>
          <w:bottom w:w="28" w:type="dxa"/>
          <w:right w:w="28" w:type="dxa"/>
        </w:tblCellMar>
      </w:tblPr>
      <w:tblGrid>
        <w:gridCol w:w="505"/>
        <w:gridCol w:w="444"/>
        <w:gridCol w:w="445"/>
        <w:gridCol w:w="340"/>
        <w:gridCol w:w="1210"/>
        <w:gridCol w:w="175"/>
        <w:gridCol w:w="109"/>
        <w:gridCol w:w="109"/>
        <w:gridCol w:w="109"/>
        <w:gridCol w:w="394"/>
        <w:gridCol w:w="1403"/>
        <w:gridCol w:w="287"/>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Value</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and Other Expense, net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and other expense, net consisted of:</w:t>
      </w:r>
    </w:p>
    <w:tbl>
      <w:tblPr>
        <w:tblW w:w="5247" w:type="dxa"/>
        <w:jc w:val="left"/>
        <w:tblInd w:w="0" w:type="dxa"/>
        <w:tblLayout w:type="fixed"/>
        <w:tblCellMar>
          <w:top w:w="28" w:type="dxa"/>
          <w:left w:w="28" w:type="dxa"/>
          <w:bottom w:w="28" w:type="dxa"/>
          <w:right w:w="28" w:type="dxa"/>
        </w:tblCellMar>
      </w:tblPr>
      <w:tblGrid>
        <w:gridCol w:w="1027"/>
        <w:gridCol w:w="900"/>
        <w:gridCol w:w="908"/>
        <w:gridCol w:w="258"/>
        <w:gridCol w:w="588"/>
        <w:gridCol w:w="133"/>
        <w:gridCol w:w="133"/>
        <w:gridCol w:w="133"/>
        <w:gridCol w:w="133"/>
        <w:gridCol w:w="258"/>
        <w:gridCol w:w="588"/>
        <w:gridCol w:w="188"/>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expense/(income), net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Other expense/(income), net includes amortization of amounts excluded from our assessment of hedge effectiveness related to our net investment hedge derivative contracts, foreign currency transaction gains and losses on certain foreign currency denominated assets and liabilities, gains and losses on certain foreign currency derivative contracts, interest income and other non-operating items. Refer to Note 8,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for additional information about our hedging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92785"/>
                <wp:effectExtent l="0" t="0" r="0" b="0"/>
                <wp:wrapNone/>
                <wp:docPr id="39" name="Frame1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8. Financial Instruments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Derivatives and Hedging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Derivative Instruments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instruments were recorded at fair value in the condensed consolidated balance sheets as follows:</w:t>
      </w:r>
    </w:p>
    <w:tbl>
      <w:tblPr>
        <w:tblW w:w="8950" w:type="dxa"/>
        <w:jc w:val="left"/>
        <w:tblInd w:w="0" w:type="dxa"/>
        <w:tblLayout w:type="fixed"/>
        <w:tblCellMar>
          <w:top w:w="28" w:type="dxa"/>
          <w:left w:w="28" w:type="dxa"/>
          <w:bottom w:w="28" w:type="dxa"/>
          <w:right w:w="28" w:type="dxa"/>
        </w:tblCellMar>
      </w:tblPr>
      <w:tblGrid>
        <w:gridCol w:w="1457"/>
        <w:gridCol w:w="1279"/>
        <w:gridCol w:w="1284"/>
        <w:gridCol w:w="213"/>
        <w:gridCol w:w="652"/>
        <w:gridCol w:w="111"/>
        <w:gridCol w:w="109"/>
        <w:gridCol w:w="109"/>
        <w:gridCol w:w="109"/>
        <w:gridCol w:w="213"/>
        <w:gridCol w:w="652"/>
        <w:gridCol w:w="111"/>
        <w:gridCol w:w="109"/>
        <w:gridCol w:w="109"/>
        <w:gridCol w:w="109"/>
        <w:gridCol w:w="213"/>
        <w:gridCol w:w="652"/>
        <w:gridCol w:w="111"/>
        <w:gridCol w:w="109"/>
        <w:gridCol w:w="109"/>
        <w:gridCol w:w="109"/>
        <w:gridCol w:w="213"/>
        <w:gridCol w:w="652"/>
        <w:gridCol w:w="156"/>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Derivatives designated as</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accounting hedges: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rate contracts </w:t>
            </w:r>
            <w:r>
              <w:rPr>
                <w:rFonts w:ascii="Arial;sans-serif" w:hAnsi="Arial;sans-serif"/>
                <w:b w:val="false"/>
                <w:color w:val="000000"/>
                <w:sz w:val="13"/>
              </w:rPr>
              <w:t>(1)</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investment hedge derivative contracts </w:t>
            </w:r>
            <w:r>
              <w:rPr>
                <w:rFonts w:ascii="Arial;sans-serif" w:hAnsi="Arial;sans-serif"/>
                <w:b w:val="false"/>
                <w:color w:val="000000"/>
                <w:sz w:val="13"/>
              </w:rPr>
              <w:t>(2)</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not designated as </w:t>
              <w:br/>
              <w:t>   accounting hedges:</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(1)Interest rate contracts designated as cash flow hedging instruments.</w:t>
      </w:r>
    </w:p>
    <w:p>
      <w:pPr>
        <w:pStyle w:val="TextBody"/>
        <w:bidi w:val="0"/>
        <w:spacing w:lineRule="auto" w:line="288" w:before="0" w:after="0"/>
        <w:ind w:left="0" w:right="0" w:hanging="360"/>
        <w:jc w:val="both"/>
        <w:rPr/>
      </w:pPr>
      <w:r>
        <w:rPr>
          <w:rFonts w:ascii="Arial;sans-serif" w:hAnsi="Arial;sans-serif"/>
          <w:b w:val="false"/>
          <w:color w:val="000000"/>
          <w:sz w:val="16"/>
        </w:rPr>
        <w:t xml:space="preserve">(2)Net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7, </w:t>
      </w:r>
      <w:r>
        <w:rPr>
          <w:rFonts w:ascii="Arial;sans-serif" w:hAnsi="Arial;sans-serif"/>
          <w:b w:val="false"/>
          <w:i/>
          <w:color w:val="000000"/>
          <w:sz w:val="16"/>
        </w:rPr>
        <w:t>Debt and Borrowing Arrangements</w:t>
      </w:r>
      <w:r>
        <w:rPr>
          <w:rFonts w:ascii="Arial;sans-serif" w:hAnsi="Arial;sans-serif"/>
          <w:b w:val="false"/>
          <w:color w:val="000000"/>
          <w:sz w:val="16"/>
        </w:rPr>
        <w:t>. Both net investment hedge derivative contracts and non-U.S. dollar denominated debt acting as net investment hedges are also disclosed in the</w:t>
      </w:r>
      <w:r>
        <w:rPr>
          <w:color w:val="000000"/>
        </w:rPr>
        <w:t xml:space="preserve"> </w:t>
      </w:r>
      <w:r>
        <w:rPr>
          <w:rFonts w:ascii="Arial;sans-serif" w:hAnsi="Arial;sans-serif"/>
          <w:b w:val="false"/>
          <w:i/>
          <w:color w:val="000000"/>
          <w:sz w:val="16"/>
        </w:rPr>
        <w:t>Derivative Volume</w:t>
      </w:r>
      <w:r>
        <w:rPr>
          <w:color w:val="000000"/>
        </w:rPr>
        <w:t xml:space="preserve"> </w:t>
      </w:r>
      <w:r>
        <w:rPr>
          <w:rFonts w:ascii="Arial;sans-serif" w:hAnsi="Arial;sans-serif"/>
          <w:b w:val="false"/>
          <w:color w:val="000000"/>
          <w:sz w:val="16"/>
        </w:rPr>
        <w:t xml:space="preserve">table and the </w:t>
      </w:r>
      <w:r>
        <w:rPr>
          <w:rFonts w:ascii="Arial;sans-serif" w:hAnsi="Arial;sans-serif"/>
          <w:b w:val="false"/>
          <w:i/>
          <w:color w:val="000000"/>
          <w:sz w:val="16"/>
        </w:rPr>
        <w:t>Hedges of Net Investments in International Operations</w:t>
      </w:r>
      <w:r>
        <w:rPr>
          <w:color w:val="000000"/>
        </w:rPr>
        <w:t xml:space="preserve"> </w:t>
      </w:r>
      <w:r>
        <w:rPr>
          <w:rFonts w:ascii="Arial;sans-serif" w:hAnsi="Arial;sans-serif"/>
          <w:b w:val="false"/>
          <w:color w:val="000000"/>
          <w:sz w:val="16"/>
        </w:rPr>
        <w:t>section appearing later in this footnote.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the fair value of our derivative instruments in the condensed consolidated balance sheets as follows:</w:t>
      </w:r>
    </w:p>
    <w:p>
      <w:pPr>
        <w:pStyle w:val="TextBody"/>
        <w:bidi w:val="0"/>
        <w:spacing w:before="0" w:after="0"/>
        <w:jc w:val="both"/>
        <w:rPr/>
      </w:pPr>
      <w:r>
        <w:rPr/>
      </w:r>
    </w:p>
    <w:tbl>
      <w:tblPr>
        <w:tblW w:w="5877" w:type="dxa"/>
        <w:jc w:val="left"/>
        <w:tblInd w:w="0" w:type="dxa"/>
        <w:tblLayout w:type="fixed"/>
        <w:tblCellMar>
          <w:top w:w="28" w:type="dxa"/>
          <w:left w:w="28" w:type="dxa"/>
          <w:bottom w:w="28" w:type="dxa"/>
          <w:right w:w="28" w:type="dxa"/>
        </w:tblCellMar>
      </w:tblPr>
      <w:tblGrid>
        <w:gridCol w:w="749"/>
        <w:gridCol w:w="658"/>
        <w:gridCol w:w="663"/>
        <w:gridCol w:w="281"/>
        <w:gridCol w:w="862"/>
        <w:gridCol w:w="145"/>
        <w:gridCol w:w="145"/>
        <w:gridCol w:w="145"/>
        <w:gridCol w:w="145"/>
        <w:gridCol w:w="435"/>
        <w:gridCol w:w="1332"/>
        <w:gridCol w:w="317"/>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liabilities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(asset/(liability)) of our derivative instruments were determined using:</w:t>
      </w:r>
    </w:p>
    <w:tbl>
      <w:tblPr>
        <w:tblW w:w="9459" w:type="dxa"/>
        <w:jc w:val="left"/>
        <w:tblInd w:w="0" w:type="dxa"/>
        <w:tblLayout w:type="fixed"/>
        <w:tblCellMar>
          <w:top w:w="28" w:type="dxa"/>
          <w:left w:w="28" w:type="dxa"/>
          <w:bottom w:w="28" w:type="dxa"/>
          <w:right w:w="28" w:type="dxa"/>
        </w:tblCellMar>
      </w:tblPr>
      <w:tblGrid>
        <w:gridCol w:w="1048"/>
        <w:gridCol w:w="921"/>
        <w:gridCol w:w="925"/>
        <w:gridCol w:w="371"/>
        <w:gridCol w:w="847"/>
        <w:gridCol w:w="193"/>
        <w:gridCol w:w="109"/>
        <w:gridCol w:w="109"/>
        <w:gridCol w:w="109"/>
        <w:gridCol w:w="375"/>
        <w:gridCol w:w="856"/>
        <w:gridCol w:w="195"/>
        <w:gridCol w:w="109"/>
        <w:gridCol w:w="109"/>
        <w:gridCol w:w="109"/>
        <w:gridCol w:w="395"/>
        <w:gridCol w:w="901"/>
        <w:gridCol w:w="205"/>
        <w:gridCol w:w="109"/>
        <w:gridCol w:w="109"/>
        <w:gridCol w:w="109"/>
        <w:gridCol w:w="340"/>
        <w:gridCol w:w="656"/>
        <w:gridCol w:w="250"/>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92785"/>
                <wp:effectExtent l="0" t="0" r="0" b="0"/>
                <wp:wrapNone/>
                <wp:docPr id="42" name="Frame1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tbl>
      <w:tblPr>
        <w:tblW w:w="9459" w:type="dxa"/>
        <w:jc w:val="left"/>
        <w:tblInd w:w="0" w:type="dxa"/>
        <w:tblLayout w:type="fixed"/>
        <w:tblCellMar>
          <w:top w:w="28" w:type="dxa"/>
          <w:left w:w="28" w:type="dxa"/>
          <w:bottom w:w="28" w:type="dxa"/>
          <w:right w:w="28" w:type="dxa"/>
        </w:tblCellMar>
      </w:tblPr>
      <w:tblGrid>
        <w:gridCol w:w="1049"/>
        <w:gridCol w:w="922"/>
        <w:gridCol w:w="923"/>
        <w:gridCol w:w="308"/>
        <w:gridCol w:w="943"/>
        <w:gridCol w:w="160"/>
        <w:gridCol w:w="109"/>
        <w:gridCol w:w="109"/>
        <w:gridCol w:w="109"/>
        <w:gridCol w:w="375"/>
        <w:gridCol w:w="856"/>
        <w:gridCol w:w="195"/>
        <w:gridCol w:w="109"/>
        <w:gridCol w:w="109"/>
        <w:gridCol w:w="109"/>
        <w:gridCol w:w="327"/>
        <w:gridCol w:w="1003"/>
        <w:gridCol w:w="171"/>
        <w:gridCol w:w="109"/>
        <w:gridCol w:w="109"/>
        <w:gridCol w:w="109"/>
        <w:gridCol w:w="340"/>
        <w:gridCol w:w="656"/>
        <w:gridCol w:w="250"/>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Level 1 financial assets and liabilities consist of exchange-traded commodity futures and listed options. The fair value of these instruments is determined based on quoted market prices on commodity exchanges.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 Volume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gross notional values of our hedging instruments were:</w:t>
      </w:r>
    </w:p>
    <w:tbl>
      <w:tblPr>
        <w:tblW w:w="8980" w:type="dxa"/>
        <w:jc w:val="left"/>
        <w:tblInd w:w="0" w:type="dxa"/>
        <w:tblLayout w:type="fixed"/>
        <w:tblCellMar>
          <w:top w:w="28" w:type="dxa"/>
          <w:left w:w="28" w:type="dxa"/>
          <w:bottom w:w="28" w:type="dxa"/>
          <w:right w:w="28" w:type="dxa"/>
        </w:tblCellMar>
      </w:tblPr>
      <w:tblGrid>
        <w:gridCol w:w="1901"/>
        <w:gridCol w:w="1671"/>
        <w:gridCol w:w="1677"/>
        <w:gridCol w:w="260"/>
        <w:gridCol w:w="926"/>
        <w:gridCol w:w="134"/>
        <w:gridCol w:w="109"/>
        <w:gridCol w:w="109"/>
        <w:gridCol w:w="109"/>
        <w:gridCol w:w="394"/>
        <w:gridCol w:w="1403"/>
        <w:gridCol w:w="287"/>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Commodity contracts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derivative contracts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Non-U.S. dollar debt designated as net investment hedges: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Euro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Swiss franc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Canadian dollar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 Hedges</w:t>
      </w:r>
    </w:p>
    <w:p>
      <w:pPr>
        <w:pStyle w:val="TextBody"/>
        <w:bidi w:val="0"/>
        <w:spacing w:lineRule="auto" w:line="288" w:before="0" w:after="0"/>
        <w:jc w:val="both"/>
        <w:rPr/>
      </w:pPr>
      <w:r>
        <w:rPr>
          <w:rFonts w:ascii="Arial;sans-serif" w:hAnsi="Arial;sans-serif"/>
          <w:b w:val="false"/>
          <w:color w:val="000000"/>
          <w:sz w:val="20"/>
        </w:rPr>
        <w:t xml:space="preserve">Cash flow hedge activity, net of taxes, is recorded within accumulated other comprehensive earnings/(losses). Refer to Note 12, </w:t>
      </w:r>
      <w:r>
        <w:rPr>
          <w:rFonts w:ascii="Arial;sans-serif" w:hAnsi="Arial;sans-serif"/>
          <w:b w:val="false"/>
          <w:i/>
          <w:color w:val="000000"/>
          <w:sz w:val="20"/>
        </w:rPr>
        <w:t>Reclassifications from Accumulated Other Comprehensive Income</w:t>
      </w:r>
      <w:r>
        <w:rPr>
          <w:color w:val="000000"/>
        </w:rPr>
        <w:t xml:space="preserve"> </w:t>
      </w:r>
      <w:r>
        <w:rPr>
          <w:rFonts w:ascii="Arial;sans-serif" w:hAnsi="Arial;sans-serif"/>
          <w:b w:val="false"/>
          <w:color w:val="000000"/>
          <w:sz w:val="20"/>
        </w:rPr>
        <w:t>for additional information on current period activity. Based on current market conditions, we would expect to transfer losses of $24 million (net of taxes) for interest rate cash flow hedges to earnings during the next 12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 Hedge Coverage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2025, our longest dated cash flow hedges were interest rate swaps that hedge forecasted interest rate payments over the next 4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92785"/>
                <wp:effectExtent l="0" t="0" r="0" b="0"/>
                <wp:wrapNone/>
                <wp:docPr id="45" name="Frame1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Hedges of Net Investments in International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investment hedge ("NIH") derivative contracts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enter into cross-currency interest rate swaps, forwards and options to hedge certain investments in our non-U.S. operations against movements in exchange rates. As of March 31, 2025, the aggregate notional value was $9.4 billion.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investment hedge derivative contract impacts on other comprehensive earnings and net earnings were: </w:t>
      </w:r>
    </w:p>
    <w:tbl>
      <w:tblPr>
        <w:tblW w:w="8754" w:type="dxa"/>
        <w:jc w:val="left"/>
        <w:tblInd w:w="0" w:type="dxa"/>
        <w:tblLayout w:type="fixed"/>
        <w:tblCellMar>
          <w:top w:w="28" w:type="dxa"/>
          <w:left w:w="28" w:type="dxa"/>
          <w:bottom w:w="28" w:type="dxa"/>
          <w:right w:w="28" w:type="dxa"/>
        </w:tblCellMar>
      </w:tblPr>
      <w:tblGrid>
        <w:gridCol w:w="2139"/>
        <w:gridCol w:w="1879"/>
        <w:gridCol w:w="1891"/>
        <w:gridCol w:w="251"/>
        <w:gridCol w:w="644"/>
        <w:gridCol w:w="129"/>
        <w:gridCol w:w="129"/>
        <w:gridCol w:w="129"/>
        <w:gridCol w:w="129"/>
        <w:gridCol w:w="251"/>
        <w:gridCol w:w="573"/>
        <w:gridCol w:w="129"/>
        <w:gridCol w:w="109"/>
        <w:gridCol w:w="109"/>
        <w:gridCol w:w="109"/>
        <w:gridCol w:w="154"/>
      </w:tblGrid>
      <w:tr>
        <w:trPr/>
        <w:tc>
          <w:tcPr>
            <w:tcW w:w="213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(Loss)/gain on NIH contracts </w:t>
            </w:r>
            <w:r>
              <w:rPr>
                <w:rFonts w:ascii="Arial;sans-serif" w:hAnsi="Arial;sans-serif"/>
                <w:b w:val="false"/>
                <w:color w:val="000000"/>
                <w:sz w:val="13"/>
              </w:rPr>
              <w:t>(1)</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Amounts excluded from the assessment of hedge effectiveness </w:t>
            </w:r>
            <w:r>
              <w:rPr>
                <w:rFonts w:ascii="Arial;sans-serif" w:hAnsi="Arial;sans-serif"/>
                <w:b w:val="false"/>
                <w:color w:val="000000"/>
                <w:sz w:val="13"/>
              </w:rPr>
              <w:t>(2)</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(1)Amounts recorded for unsettled and settled NIH derivative contracts are recorded within the cumulative translation adjustment section of other comprehensive earnings/(losses).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(2)We assess the effectiveness of NIH relationships based on spot rates and amortize the initial value attributable to the excluded component to earnings over the life of the hedging instrument within interest and other expense, net.</w:t>
      </w:r>
    </w:p>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Non-U.S. dollar debt designated as net investment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Gains/(losses) related to non-U.S. dollar debt designated as hedges of net investments in international operations, which are recorded within the cumulative translation adjustment section of other comprehensive earnings/(losses), were:</w:t>
      </w:r>
    </w:p>
    <w:p>
      <w:pPr>
        <w:pStyle w:val="TextBody"/>
        <w:bidi w:val="0"/>
        <w:spacing w:before="0" w:after="0"/>
        <w:jc w:val="both"/>
        <w:rPr/>
      </w:pPr>
      <w:r>
        <w:rPr/>
      </w:r>
    </w:p>
    <w:tbl>
      <w:tblPr>
        <w:tblW w:w="4529" w:type="dxa"/>
        <w:jc w:val="left"/>
        <w:tblInd w:w="0" w:type="dxa"/>
        <w:tblLayout w:type="fixed"/>
        <w:tblCellMar>
          <w:top w:w="28" w:type="dxa"/>
          <w:left w:w="28" w:type="dxa"/>
          <w:bottom w:w="28" w:type="dxa"/>
          <w:right w:w="28" w:type="dxa"/>
        </w:tblCellMar>
      </w:tblPr>
      <w:tblGrid>
        <w:gridCol w:w="606"/>
        <w:gridCol w:w="534"/>
        <w:gridCol w:w="540"/>
        <w:gridCol w:w="265"/>
        <w:gridCol w:w="680"/>
        <w:gridCol w:w="137"/>
        <w:gridCol w:w="137"/>
        <w:gridCol w:w="137"/>
        <w:gridCol w:w="137"/>
        <w:gridCol w:w="265"/>
        <w:gridCol w:w="473"/>
        <w:gridCol w:w="137"/>
        <w:gridCol w:w="109"/>
        <w:gridCol w:w="109"/>
        <w:gridCol w:w="109"/>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notes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Swiss franc notes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Canadian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Derivatives Not Designated as Accounting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derivatives not designated as accounting hedges ("economic hedges"), we classify gains and losses in the income statement based on the classification of the item economically hedged. Pre-tax gains/(losses) recorded in net earnings for economic hedges were:</w:t>
      </w:r>
    </w:p>
    <w:p>
      <w:pPr>
        <w:pStyle w:val="TextBody"/>
        <w:bidi w:val="0"/>
        <w:spacing w:before="0" w:after="0"/>
        <w:jc w:val="both"/>
        <w:rPr/>
      </w:pPr>
      <w:r>
        <w:rPr/>
      </w:r>
    </w:p>
    <w:tbl>
      <w:tblPr>
        <w:tblW w:w="6851" w:type="dxa"/>
        <w:jc w:val="left"/>
        <w:tblInd w:w="0" w:type="dxa"/>
        <w:tblLayout w:type="fixed"/>
        <w:tblCellMar>
          <w:top w:w="28" w:type="dxa"/>
          <w:left w:w="28" w:type="dxa"/>
          <w:bottom w:w="28" w:type="dxa"/>
          <w:right w:w="28" w:type="dxa"/>
        </w:tblCellMar>
      </w:tblPr>
      <w:tblGrid>
        <w:gridCol w:w="1450"/>
        <w:gridCol w:w="1275"/>
        <w:gridCol w:w="1280"/>
        <w:gridCol w:w="232"/>
        <w:gridCol w:w="595"/>
        <w:gridCol w:w="119"/>
        <w:gridCol w:w="119"/>
        <w:gridCol w:w="119"/>
        <w:gridCol w:w="119"/>
        <w:gridCol w:w="232"/>
        <w:gridCol w:w="711"/>
        <w:gridCol w:w="119"/>
        <w:gridCol w:w="109"/>
        <w:gridCol w:w="109"/>
        <w:gridCol w:w="109"/>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sales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Commodity contracts - 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92785"/>
                <wp:effectExtent l="0" t="0" r="0" b="0"/>
                <wp:wrapNone/>
                <wp:docPr id="48" name="Frame1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Fair Value of Contingent Consideration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our contingent consideration liability activity:</w:t>
      </w:r>
    </w:p>
    <w:p>
      <w:pPr>
        <w:pStyle w:val="TextBody"/>
        <w:bidi w:val="0"/>
        <w:spacing w:before="0" w:after="0"/>
        <w:jc w:val="both"/>
        <w:rPr/>
      </w:pPr>
      <w:r>
        <w:rPr/>
      </w:r>
    </w:p>
    <w:tbl>
      <w:tblPr>
        <w:tblW w:w="5112" w:type="dxa"/>
        <w:jc w:val="left"/>
        <w:tblInd w:w="0" w:type="dxa"/>
        <w:tblLayout w:type="fixed"/>
        <w:tblCellMar>
          <w:top w:w="28" w:type="dxa"/>
          <w:left w:w="28" w:type="dxa"/>
          <w:bottom w:w="28" w:type="dxa"/>
          <w:right w:w="28" w:type="dxa"/>
        </w:tblCellMar>
      </w:tblPr>
      <w:tblGrid>
        <w:gridCol w:w="976"/>
        <w:gridCol w:w="859"/>
        <w:gridCol w:w="865"/>
        <w:gridCol w:w="258"/>
        <w:gridCol w:w="588"/>
        <w:gridCol w:w="133"/>
        <w:gridCol w:w="133"/>
        <w:gridCol w:w="133"/>
        <w:gridCol w:w="133"/>
        <w:gridCol w:w="258"/>
        <w:gridCol w:w="588"/>
        <w:gridCol w:w="188"/>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beginning of period</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fair value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end of period</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Contingent consideration was recorded at fair value in the condensed consolidated balance sheets as follows:</w:t>
      </w:r>
    </w:p>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The contingent consideration liabilities are recorded at fair value and primarily recorded in </w:t>
      </w:r>
      <w:r>
        <w:rPr>
          <w:rFonts w:ascii="Arial;sans-serif" w:hAnsi="Arial;sans-serif"/>
          <w:b w:val="false"/>
          <w:i/>
          <w:color w:val="000000"/>
          <w:sz w:val="16"/>
        </w:rPr>
        <w:t>other liabilities</w:t>
      </w:r>
      <w:r>
        <w:rPr>
          <w:color w:val="000000"/>
        </w:rPr>
        <w:t xml:space="preserve"> </w:t>
      </w:r>
      <w:r>
        <w:rPr>
          <w:rFonts w:ascii="Arial;sans-serif" w:hAnsi="Arial;sans-serif"/>
          <w:b w:val="false"/>
          <w:color w:val="000000"/>
          <w:sz w:val="16"/>
        </w:rPr>
        <w:t xml:space="preserve">as of March 31, 2025 and December 31, 2024. The estimated fair value of the contingent consideration obligation is determined using a Monte Carlo simulation. Significant assumptions used in assessing the fair value of the liability include financial projections for net revenue, gross profit and EBITDA, as well as discount and volatility rates. Fair value adjustments are primarily recorded in </w:t>
      </w:r>
      <w:r>
        <w:rPr>
          <w:rFonts w:ascii="Arial;sans-serif" w:hAnsi="Arial;sans-serif"/>
          <w:b w:val="false"/>
          <w:i/>
          <w:color w:val="000000"/>
          <w:sz w:val="16"/>
        </w:rPr>
        <w:t>selling, general and administrative expenses</w:t>
      </w:r>
      <w:r>
        <w:rPr>
          <w:color w:val="000000"/>
        </w:rPr>
        <w:t xml:space="preserve"> </w:t>
      </w:r>
      <w:r>
        <w:rPr>
          <w:rFonts w:ascii="Arial;sans-serif" w:hAnsi="Arial;sans-serif"/>
          <w:b w:val="false"/>
          <w:color w:val="000000"/>
          <w:sz w:val="16"/>
        </w:rPr>
        <w:t>in the condensed consolidated statement of earnings.</w:t>
      </w:r>
    </w:p>
    <w:p>
      <w:pPr>
        <w:pStyle w:val="TextBody"/>
        <w:bidi w:val="0"/>
        <w:spacing w:lineRule="auto" w:line="288" w:before="0" w:after="0"/>
        <w:ind w:left="0" w:right="0" w:hanging="360"/>
        <w:jc w:val="both"/>
        <w:rPr/>
      </w:pPr>
      <w:r>
        <w:rPr>
          <w:rFonts w:ascii="Arial;sans-serif" w:hAnsi="Arial;sans-serif"/>
          <w:b w:val="false"/>
          <w:color w:val="000000"/>
          <w:sz w:val="16"/>
        </w:rPr>
        <w:t xml:space="preserve">(2)The other contingent consideration liabilities are recorded at fair value and recorded in </w:t>
      </w:r>
      <w:r>
        <w:rPr>
          <w:rFonts w:ascii="Arial;sans-serif" w:hAnsi="Arial;sans-serif"/>
          <w:b w:val="false"/>
          <w:i/>
          <w:color w:val="000000"/>
          <w:sz w:val="16"/>
        </w:rPr>
        <w:t>other liabilities</w:t>
      </w:r>
      <w:r>
        <w:rPr>
          <w:color w:val="000000"/>
        </w:rPr>
        <w:t xml:space="preserve"> </w:t>
      </w:r>
      <w:r>
        <w:rPr>
          <w:rFonts w:ascii="Arial;sans-serif" w:hAnsi="Arial;sans-serif"/>
          <w:b w:val="false"/>
          <w:color w:val="000000"/>
          <w:sz w:val="16"/>
        </w:rPr>
        <w:t xml:space="preserve">as of March 31, 2025 and December 31, 2024. Fair value adjustments were recorded in </w:t>
      </w:r>
      <w:r>
        <w:rPr>
          <w:rFonts w:ascii="Arial;sans-serif" w:hAnsi="Arial;sans-serif"/>
          <w:b w:val="false"/>
          <w:i/>
          <w:color w:val="000000"/>
          <w:sz w:val="16"/>
        </w:rPr>
        <w:t>selling, general and administrative expenses</w:t>
      </w:r>
      <w:r>
        <w:rPr>
          <w:color w:val="000000"/>
        </w:rPr>
        <w:t xml:space="preserve"> </w:t>
      </w:r>
      <w:r>
        <w:rPr>
          <w:rFonts w:ascii="Arial;sans-serif" w:hAnsi="Arial;sans-serif"/>
          <w:b w:val="false"/>
          <w:color w:val="000000"/>
          <w:sz w:val="16"/>
        </w:rPr>
        <w:t xml:space="preserve">in the condensed consolidated statement of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92785"/>
                <wp:effectExtent l="0" t="0" r="0" b="0"/>
                <wp:wrapNone/>
                <wp:docPr id="51" name="Frame1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9. Benefit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Pension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Components of Net Periodic Pension Cost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periodic pension cost/(benefit) consisted of the following:</w:t>
      </w:r>
    </w:p>
    <w:tbl>
      <w:tblPr>
        <w:tblW w:w="9227" w:type="dxa"/>
        <w:jc w:val="left"/>
        <w:tblInd w:w="0" w:type="dxa"/>
        <w:tblLayout w:type="fixed"/>
        <w:tblCellMar>
          <w:top w:w="28" w:type="dxa"/>
          <w:left w:w="28" w:type="dxa"/>
          <w:bottom w:w="28" w:type="dxa"/>
          <w:right w:w="28" w:type="dxa"/>
        </w:tblCellMar>
      </w:tblPr>
      <w:tblGrid>
        <w:gridCol w:w="1495"/>
        <w:gridCol w:w="1310"/>
        <w:gridCol w:w="1320"/>
        <w:gridCol w:w="318"/>
        <w:gridCol w:w="409"/>
        <w:gridCol w:w="164"/>
        <w:gridCol w:w="164"/>
        <w:gridCol w:w="164"/>
        <w:gridCol w:w="164"/>
        <w:gridCol w:w="318"/>
        <w:gridCol w:w="500"/>
        <w:gridCol w:w="164"/>
        <w:gridCol w:w="109"/>
        <w:gridCol w:w="109"/>
        <w:gridCol w:w="109"/>
        <w:gridCol w:w="288"/>
        <w:gridCol w:w="514"/>
        <w:gridCol w:w="149"/>
        <w:gridCol w:w="149"/>
        <w:gridCol w:w="149"/>
        <w:gridCol w:w="149"/>
        <w:gridCol w:w="288"/>
        <w:gridCol w:w="514"/>
        <w:gridCol w:w="210"/>
      </w:tblGrid>
      <w:tr>
        <w:trPr/>
        <w:tc>
          <w:tcPr>
            <w:tcW w:w="14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loss and prior service cost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 losses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periodic pension cost/(benefit)</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2737" w:type="dxa"/>
            <w:gridSpan w:val="12"/>
            <w:tcBorders/>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2737" w:type="dxa"/>
            <w:gridSpan w:val="12"/>
            <w:tcBorders/>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211" w:type="dxa"/>
            <w:gridSpan w:val="18"/>
            <w:tcBorders/>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Employer Contributions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2025, we contributed $29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2025, we plan to make further contributions of approximately $11 million to our U.S. plans and $39 million to our non-U.S. plans for the remainder of 2025. However, our actual contributions may be different due to many factors, including changes in tax and other benefit laws, significant differences between expected and actual pension asset performance or changes in interest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Mondelēz Global LLC Retirement Plan Update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third quarter of 2024, we entered into an agreement with two third party insurance companies for the Mondelēz Global LLC Retirement Plan (“MDLZ Global Plan”), the pension plan for US salaried employees. The agreement featured a buy-in of the plan assets with an option to elect a future buy-out conversion. As part of the buy-in, all of the MDLZ Global Plan assets were transferred to the insurance companies in exchange for an annuity contract during the third quarter of 2024 to further reduce the risk of plan asset value volatility. As of January 1, 2025, the annuity contract is providing all future benefit payments to the MDLZ Global Plan participants. However, we continue to retain the primary benefit obligation until the buy-out conversion is completed. Upon election of the buy-out conversion, we will transfer full responsibility of the MDLZ Global Plan obligations to the insurance companies, at which time we will derecognize the assets and liabilities of the pension plan and recognize a settlement loss as a component of net periodic pension cost.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intend to execute the buy-out conversion in the second quarter of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Multiemployer Pension Plans</w:t>
      </w:r>
    </w:p>
    <w:p>
      <w:pPr>
        <w:pStyle w:val="TextBody"/>
        <w:bidi w:val="0"/>
        <w:spacing w:lineRule="auto" w:line="288" w:before="0" w:after="0"/>
        <w:jc w:val="both"/>
        <w:rPr/>
      </w:pPr>
      <w:r>
        <w:rPr>
          <w:rFonts w:ascii="Arial;sans-serif" w:hAnsi="Arial;sans-serif"/>
          <w:b w:val="false"/>
          <w:color w:val="000000"/>
          <w:sz w:val="20"/>
        </w:rPr>
        <w:t xml:space="preserve">On July 11, 2019, we received a withdrawal liability assessment from the Bakery and Confectionery Union and the Industry International Pension Fund requiring pro-rata monthly payments over 20 years and we recorded a discounted liability of $491 million at that time. In connection with the discounted long-term liability, we recorded accreted interest of $2 million for the three months ended March 31, 2025 and the three months ended March 31, 2024 within </w:t>
      </w:r>
      <w:r>
        <w:rPr>
          <w:rFonts w:ascii="Arial;sans-serif" w:hAnsi="Arial;sans-serif"/>
          <w:b w:val="false"/>
          <w:i/>
          <w:color w:val="000000"/>
          <w:sz w:val="20"/>
        </w:rPr>
        <w:t xml:space="preserve">Interest and other expense, net </w:t>
      </w:r>
      <w:r>
        <w:rPr>
          <w:rFonts w:ascii="Arial;sans-serif" w:hAnsi="Arial;sans-serif"/>
          <w:b w:val="false"/>
          <w:color w:val="000000"/>
          <w:sz w:val="20"/>
        </w:rPr>
        <w:t xml:space="preserve">in the condensed consolidated statement of earnings. As of March 31, 2025, the remaining discounted withdrawal liability was $307 million, with $16 million recorded in </w:t>
      </w:r>
      <w:r>
        <w:rPr>
          <w:rFonts w:ascii="Arial;sans-serif" w:hAnsi="Arial;sans-serif"/>
          <w:b w:val="false"/>
          <w:i/>
          <w:color w:val="000000"/>
          <w:sz w:val="20"/>
        </w:rPr>
        <w:t>Other current liabilities</w:t>
      </w:r>
      <w:r>
        <w:rPr>
          <w:color w:val="000000"/>
        </w:rPr>
        <w:t xml:space="preserve"> </w:t>
      </w:r>
      <w:r>
        <w:rPr>
          <w:rFonts w:ascii="Arial;sans-serif" w:hAnsi="Arial;sans-serif"/>
          <w:b w:val="false"/>
          <w:color w:val="000000"/>
          <w:sz w:val="20"/>
        </w:rPr>
        <w:t xml:space="preserve">and $291 million recorded in </w:t>
      </w:r>
      <w:r>
        <w:rPr>
          <w:rFonts w:ascii="Arial;sans-serif" w:hAnsi="Arial;sans-serif"/>
          <w:b w:val="false"/>
          <w:i/>
          <w:color w:val="000000"/>
          <w:sz w:val="20"/>
        </w:rPr>
        <w:t>Long-term other liabilities</w:t>
      </w:r>
      <w:r>
        <w:rPr>
          <w:color w:val="000000"/>
        </w:rPr>
        <w:t xml:space="preserve"> </w:t>
      </w:r>
      <w:r>
        <w:rPr>
          <w:rFonts w:ascii="Arial;sans-serif" w:hAnsi="Arial;sans-serif"/>
          <w:b w:val="false"/>
          <w:color w:val="000000"/>
          <w:sz w:val="20"/>
        </w:rPr>
        <w:t xml:space="preserve">in the condensed consolidated balance sheets.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Postretirement and Postemployment Benefit Plans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net periodic postretirement benefit was $(3) million for the three months ended March 31, 2025 and the three months ended March 31, 2024. The net periodic postemployment cost was $5 million for the three months ended March 31, 2025 and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92785"/>
                <wp:effectExtent l="0" t="0" r="0" b="0"/>
                <wp:wrapNone/>
                <wp:docPr id="54" name="Frame1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10. Commitments and Contingencies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 (1) manipulated or attempted to manipulate the wheat markets during the fall of 2011; (2) violated position limit levels for wheat futures; and (3) 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In the second quarter of 2024, we reached a negotiated resolution in this matter. At that time, we had accrued (in accordance with U.S. GAAP), on a pre-tax basis, a liability of €337.5 million ($376 million). Pursuant to the terms of the agreed settlement, we fulfilled our payment obligation in August 2024. We do not anticipate any modification of our business practices and agreements that would have a material impact on our ongoing business operations within the European Union.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Third-Party Guarantees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 into third-party guarantees primarily to cover long-term obligations of our vendors. As part of these transactions, we guarantee that third parties will make contractual payments or achieve performance measures. As of March 31, 2025 and December 31, 2024, we had no material third-party guarantees recorded on our condensed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Tax Matters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92785"/>
                <wp:effectExtent l="0" t="0" r="0" b="0"/>
                <wp:wrapNone/>
                <wp:docPr id="57" name="Frame2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Stock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option activity is reflected below:</w:t>
      </w:r>
    </w:p>
    <w:tbl>
      <w:tblPr>
        <w:tblW w:w="9126" w:type="dxa"/>
        <w:jc w:val="left"/>
        <w:tblInd w:w="0" w:type="dxa"/>
        <w:tblLayout w:type="fixed"/>
        <w:tblCellMar>
          <w:top w:w="28" w:type="dxa"/>
          <w:left w:w="28" w:type="dxa"/>
          <w:bottom w:w="28" w:type="dxa"/>
          <w:right w:w="28" w:type="dxa"/>
        </w:tblCellMar>
      </w:tblPr>
      <w:tblGrid>
        <w:gridCol w:w="1125"/>
        <w:gridCol w:w="988"/>
        <w:gridCol w:w="992"/>
        <w:gridCol w:w="563"/>
        <w:gridCol w:w="563"/>
        <w:gridCol w:w="431"/>
        <w:gridCol w:w="109"/>
        <w:gridCol w:w="109"/>
        <w:gridCol w:w="109"/>
        <w:gridCol w:w="329"/>
        <w:gridCol w:w="329"/>
        <w:gridCol w:w="331"/>
        <w:gridCol w:w="109"/>
        <w:gridCol w:w="109"/>
        <w:gridCol w:w="109"/>
        <w:gridCol w:w="345"/>
        <w:gridCol w:w="345"/>
        <w:gridCol w:w="346"/>
        <w:gridCol w:w="109"/>
        <w:gridCol w:w="109"/>
        <w:gridCol w:w="109"/>
        <w:gridCol w:w="211"/>
        <w:gridCol w:w="481"/>
        <w:gridCol w:w="766"/>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Subject</w:t>
              <w:br/>
              <w:t>to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or</w:t>
              <w:br/>
              <w:t>Grant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16,479,169 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1,989,760 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Options exercised </w:t>
            </w:r>
            <w:r>
              <w:rPr>
                <w:rFonts w:ascii="Arial;sans-serif" w:hAnsi="Arial;sans-serif"/>
                <w:b w:val="false"/>
                <w:color w:val="000000"/>
                <w:sz w:val="13"/>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(1,131,487)</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canceled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(148,672)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17,188,770 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(1)Cash received from options exercised was $44 million in the three months ended March 31, 2025. We recognized $4 million of excess income tax benefits from stock option exercises in the three months ended March 31,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Performance Share Units and Other Stock-Based Awards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performance share unit (PSU), deferred stock unit (DSU) and other stock-based activity is reflected below:</w:t>
      </w:r>
    </w:p>
    <w:tbl>
      <w:tblPr>
        <w:tblW w:w="8351" w:type="dxa"/>
        <w:jc w:val="left"/>
        <w:tblInd w:w="0" w:type="dxa"/>
        <w:tblLayout w:type="fixed"/>
        <w:tblCellMar>
          <w:top w:w="28" w:type="dxa"/>
          <w:left w:w="28" w:type="dxa"/>
          <w:bottom w:w="28" w:type="dxa"/>
          <w:right w:w="28" w:type="dxa"/>
        </w:tblCellMar>
      </w:tblPr>
      <w:tblGrid>
        <w:gridCol w:w="1146"/>
        <w:gridCol w:w="1007"/>
        <w:gridCol w:w="1011"/>
        <w:gridCol w:w="539"/>
        <w:gridCol w:w="541"/>
        <w:gridCol w:w="286"/>
        <w:gridCol w:w="109"/>
        <w:gridCol w:w="109"/>
        <w:gridCol w:w="109"/>
        <w:gridCol w:w="520"/>
        <w:gridCol w:w="520"/>
        <w:gridCol w:w="521"/>
        <w:gridCol w:w="109"/>
        <w:gridCol w:w="109"/>
        <w:gridCol w:w="109"/>
        <w:gridCol w:w="232"/>
        <w:gridCol w:w="529"/>
        <w:gridCol w:w="845"/>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40" w:before="0" w:after="0"/>
              <w:jc w:val="center"/>
              <w:rPr/>
            </w:pPr>
            <w:r>
              <w:rPr>
                <w:rFonts w:ascii="Arial;sans-serif" w:hAnsi="Arial;sans-serif"/>
                <w:b/>
                <w:color w:val="000000"/>
                <w:sz w:val="16"/>
              </w:rPr>
              <w:t xml:space="preserve">Per Share </w:t>
            </w:r>
            <w:r>
              <w:rPr>
                <w:rFonts w:ascii="Arial;sans-serif" w:hAnsi="Arial;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40" w:before="0" w:after="0"/>
              <w:jc w:val="center"/>
              <w:rPr/>
            </w:pPr>
            <w:r>
              <w:rPr>
                <w:rFonts w:ascii="Arial;sans-serif" w:hAnsi="Arial;sans-serif"/>
                <w:b/>
                <w:color w:val="000000"/>
                <w:sz w:val="16"/>
              </w:rPr>
              <w:t xml:space="preserve">Fair Value </w:t>
            </w:r>
            <w:r>
              <w:rPr>
                <w:rFonts w:ascii="Arial;sans-serif" w:hAnsi="Arial;sans-serif"/>
                <w:b/>
                <w:color w:val="000000"/>
                <w:sz w:val="12"/>
              </w:rPr>
              <w:t>(3)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4,536,574 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1,194,640 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stock units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826,180 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Additional shares granted </w:t>
            </w:r>
            <w:r>
              <w:rPr>
                <w:rFonts w:ascii="Arial;sans-serif" w:hAnsi="Arial;sans-serif"/>
                <w:b w:val="false"/>
                <w:color w:val="000000"/>
                <w:sz w:val="13"/>
              </w:rPr>
              <w:t>(1)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744,905 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shares granted</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2,765,725 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Vested </w:t>
            </w:r>
            <w:r>
              <w:rPr>
                <w:rFonts w:ascii="Arial;sans-serif" w:hAnsi="Arial;sans-serif"/>
                <w:b w:val="false"/>
                <w:color w:val="000000"/>
                <w:sz w:val="13"/>
              </w:rPr>
              <w:t>(2) (3)</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(1,397,324)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Forfeited </w:t>
            </w:r>
            <w:r>
              <w:rPr>
                <w:rFonts w:ascii="Arial;sans-serif" w:hAnsi="Arial;sans-serif"/>
                <w:b w:val="false"/>
                <w:color w:val="000000"/>
                <w:sz w:val="13"/>
              </w:rPr>
              <w:t>(2)</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5,764,569 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primarily DSUs and incremental PSUs issued over target.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(2)Includes PSUs, DSUs and other stock-based awards.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(3)We recognized $1 million of income tax shortfalls upon vesting of PSUs and DSUs in the three months ended March 31, 2025.</w:t>
      </w:r>
    </w:p>
    <w:p>
      <w:pPr>
        <w:pStyle w:val="TextBody"/>
        <w:bidi w:val="0"/>
        <w:spacing w:lineRule="auto" w:line="256"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 Repurchase Program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Effective January 1, 2025, our Board of Directors replaced our prior share repurchase program by approving a program authorizing the repurchase of up to $9.0 billion of our Common Stock through December 31, 2027. Repurchases under the program are determined by management and are wholly discretionary.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2025, we repurchased approximately 25 million shares of Common Stock at an average cost of $57.91 per share, or an aggregate cost of approximately $1.5 billion, all of which was paid during the period. All share repurchases were funded through available cash and commercial paper issuances. As of March 31, 2025, we have approximately $7.5 billion in remaining share repurchase capacity.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92785"/>
                <wp:effectExtent l="0" t="0" r="0" b="0"/>
                <wp:wrapNone/>
                <wp:docPr id="60" name="Frame2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12. Reclassifications from Accumulated Other Comprehensive Income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(losses)/gains of $(47) million in the first quarter of 2025 and $23 million in the first quarter of 2024.</w:t>
      </w:r>
    </w:p>
    <w:tbl>
      <w:tblPr>
        <w:tblW w:w="9475" w:type="dxa"/>
        <w:jc w:val="left"/>
        <w:tblInd w:w="0" w:type="dxa"/>
        <w:tblLayout w:type="fixed"/>
        <w:tblCellMar>
          <w:top w:w="28" w:type="dxa"/>
          <w:left w:w="28" w:type="dxa"/>
          <w:bottom w:w="28" w:type="dxa"/>
          <w:right w:w="28" w:type="dxa"/>
        </w:tblCellMar>
      </w:tblPr>
      <w:tblGrid>
        <w:gridCol w:w="2394"/>
        <w:gridCol w:w="2105"/>
        <w:gridCol w:w="2116"/>
        <w:gridCol w:w="196"/>
        <w:gridCol w:w="721"/>
        <w:gridCol w:w="109"/>
        <w:gridCol w:w="109"/>
        <w:gridCol w:w="109"/>
        <w:gridCol w:w="109"/>
        <w:gridCol w:w="196"/>
        <w:gridCol w:w="721"/>
        <w:gridCol w:w="109"/>
        <w:gridCol w:w="109"/>
        <w:gridCol w:w="109"/>
        <w:gridCol w:w="109"/>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Currency Translation Adjustments: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 effect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 and Other Benefit Plans: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gain/(loss) arising during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of net loss and prior service </w:t>
            </w:r>
            <w:r>
              <w:rPr>
                <w:rFonts w:ascii="Arial;sans-serif" w:hAnsi="Arial;sans-serif"/>
                <w:b w:val="false"/>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Settlement losses </w:t>
            </w:r>
            <w:r>
              <w:rPr>
                <w:rFonts w:ascii="Arial;sans-serif" w:hAnsi="Arial;sans-serif"/>
                <w:b w:val="false"/>
                <w:color w:val="000000"/>
                <w:sz w:val="10"/>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 expense/(benefit) on reclassifications </w:t>
            </w:r>
            <w:r>
              <w:rPr>
                <w:rFonts w:ascii="Arial;sans-serif" w:hAnsi="Arial;sans-serif"/>
                <w:b w:val="false"/>
                <w:color w:val="000000"/>
                <w:sz w:val="10"/>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 Cash Flow Hedges: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derivative gains/(losses)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 effect on net derivative gain/(loss)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rate contracts</w:t>
            </w:r>
            <w:r>
              <w:rPr>
                <w:color w:val="000000"/>
              </w:rPr>
              <w:t xml:space="preserve"> </w:t>
            </w:r>
            <w:r>
              <w:rPr>
                <w:rFonts w:ascii="Arial;sans-serif" w:hAnsi="Arial;sans-serif"/>
                <w:b w:val="false"/>
                <w:color w:val="000000"/>
                <w:sz w:val="10"/>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 expense/(benefit) on reclassifications</w:t>
            </w:r>
            <w:r>
              <w:rPr>
                <w:color w:val="000000"/>
              </w:rPr>
              <w:t xml:space="preserve"> </w:t>
            </w:r>
            <w:r>
              <w:rPr>
                <w:rFonts w:ascii="Arial;sans-serif" w:hAnsi="Arial;sans-serif"/>
                <w:b w:val="false"/>
                <w:color w:val="000000"/>
                <w:sz w:val="10"/>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attributable to Mondelēz International:</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earnings/(losses)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 attributable to Mondelēz International</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(1)These reclassified losses are included in net periodic benefit costs disclosed in Note 9, </w:t>
      </w:r>
      <w:r>
        <w:rPr>
          <w:rFonts w:ascii="Arial;sans-serif" w:hAnsi="Arial;sans-serif"/>
          <w:b w:val="false"/>
          <w:i/>
          <w:color w:val="000000"/>
          <w:sz w:val="16"/>
        </w:rPr>
        <w:t>Benefit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(2)These reclassified gains or losses are recorded within interest and other expense, net.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(3)Taxes reclassified to earnings are recorded within the provision for income taxes.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92785"/>
                <wp:effectExtent l="0" t="0" r="0" b="0"/>
                <wp:wrapNone/>
                <wp:docPr id="63" name="Frame2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13. Restructuring Program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2014, our Board of Directors approved a multi-year restructuring program ("Simplify to Grow Program") to reduce our operating cost structure in both supply chain and overhead costs. Total restructuring and implementation charges of $5.4 billion were incurred throughout the Simplify to Grow Program, which ended in December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restructuring charges of $42 million and implementation costs of $11 million in the three months ended March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Simplify to Grow Program restructuring liability activity for the three months ended March 31, 2025 was:</w:t>
      </w:r>
    </w:p>
    <w:tbl>
      <w:tblPr>
        <w:tblW w:w="4124" w:type="dxa"/>
        <w:jc w:val="left"/>
        <w:tblInd w:w="0" w:type="dxa"/>
        <w:tblLayout w:type="fixed"/>
        <w:tblCellMar>
          <w:top w:w="28" w:type="dxa"/>
          <w:left w:w="28" w:type="dxa"/>
          <w:bottom w:w="28" w:type="dxa"/>
          <w:right w:w="28" w:type="dxa"/>
        </w:tblCellMar>
      </w:tblPr>
      <w:tblGrid>
        <w:gridCol w:w="1097"/>
        <w:gridCol w:w="963"/>
        <w:gridCol w:w="970"/>
        <w:gridCol w:w="272"/>
        <w:gridCol w:w="623"/>
        <w:gridCol w:w="19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Severance</w:t>
              <w:br/>
              <w:t>and related</w:t>
              <w:br/>
              <w:t>costs</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balance, January 1, 2025</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 and other</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Liability balance, March 31, 2025</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liability for restructuring charges is included within other current liabilities and other long-term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Income Taxes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first quarter of 2025, our effective tax rate was 28.3% as compared to 23.6% in the first quarter of 2024. The higher effective tax rate is driven by our jurisdictional mix of earnings (including the impact of mark-to-market losses on commodity and foreign currency derivatives) and the relative impact of permanent items on lower pre-tax earnings on a year-over-year basis. Those items were partially offset by additional releases of liabilities for uncertain tax positions due to audit developments in the first quarter of 2025 as compared to the first quarter of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15. Earnings per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(EPS) were calculated as follows:</w:t>
      </w:r>
    </w:p>
    <w:tbl>
      <w:tblPr>
        <w:tblW w:w="7797" w:type="dxa"/>
        <w:jc w:val="left"/>
        <w:tblInd w:w="0" w:type="dxa"/>
        <w:tblLayout w:type="fixed"/>
        <w:tblCellMar>
          <w:top w:w="28" w:type="dxa"/>
          <w:left w:w="28" w:type="dxa"/>
          <w:bottom w:w="28" w:type="dxa"/>
          <w:right w:w="28" w:type="dxa"/>
        </w:tblCellMar>
      </w:tblPr>
      <w:tblGrid>
        <w:gridCol w:w="1624"/>
        <w:gridCol w:w="1425"/>
        <w:gridCol w:w="1436"/>
        <w:gridCol w:w="278"/>
        <w:gridCol w:w="713"/>
        <w:gridCol w:w="142"/>
        <w:gridCol w:w="142"/>
        <w:gridCol w:w="142"/>
        <w:gridCol w:w="142"/>
        <w:gridCol w:w="278"/>
        <w:gridCol w:w="852"/>
        <w:gridCol w:w="142"/>
        <w:gridCol w:w="109"/>
        <w:gridCol w:w="109"/>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Mondelēz International</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basic EPS</w:t>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Plus: Dilutive effect of outstanding stock awards </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diluted EPS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exclude antidilutive Mondelēz International stock options and long-term incentive plan shares from our calculation of weighted-average shares for diluted EPS. We excluded antidilutive stock options and performance share units of 6.4 million for the three months ended March 31, 2025 and 2.7 million for the three months ended March 31, 2024.</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92785"/>
                <wp:effectExtent l="0" t="0" r="0" b="0"/>
                <wp:wrapNone/>
                <wp:docPr id="66" name="Frame2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16. Segment Reporting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manufacture and market primarily snack food products, including chocolate, biscuits and baked snacks, as well as gum &amp; candy, cheese &amp; grocery and powdered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management structure are organized into four operating segments: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Latin America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AMEA</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Europe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Our Chief Operating Decision Maker (CODM) is our Chief Executive Officer. Our CODM uses segment operating income in the annual plan and forecasting process and considers actual versus plan variances in assessing the performance of the segment. The CODM also uses segment operating income as an input to the overall compensation measures for segment management under our incentive compensation plans. We believe it is appropriate to disclose this measure to help investors analyze segment performance and trends.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our CODM reviews. Additionally, assets for reportable segments are not disclosed as such information is not regularly reviewed by the Company's CODM. </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net revenue, significant segment expenses and operating income, by reportable segment were as follows:</w:t>
      </w:r>
    </w:p>
    <w:tbl>
      <w:tblPr>
        <w:tblW w:w="10205" w:type="dxa"/>
        <w:jc w:val="left"/>
        <w:tblInd w:w="0" w:type="dxa"/>
        <w:tblLayout w:type="fixed"/>
        <w:tblCellMar>
          <w:top w:w="28" w:type="dxa"/>
          <w:left w:w="28" w:type="dxa"/>
          <w:bottom w:w="28" w:type="dxa"/>
          <w:right w:w="28" w:type="dxa"/>
        </w:tblCellMar>
      </w:tblPr>
      <w:tblGrid>
        <w:gridCol w:w="1433"/>
        <w:gridCol w:w="1070"/>
        <w:gridCol w:w="1078"/>
        <w:gridCol w:w="255"/>
        <w:gridCol w:w="781"/>
        <w:gridCol w:w="131"/>
        <w:gridCol w:w="109"/>
        <w:gridCol w:w="109"/>
        <w:gridCol w:w="109"/>
        <w:gridCol w:w="211"/>
        <w:gridCol w:w="646"/>
        <w:gridCol w:w="109"/>
        <w:gridCol w:w="109"/>
        <w:gridCol w:w="109"/>
        <w:gridCol w:w="109"/>
        <w:gridCol w:w="211"/>
        <w:gridCol w:w="646"/>
        <w:gridCol w:w="109"/>
        <w:gridCol w:w="109"/>
        <w:gridCol w:w="109"/>
        <w:gridCol w:w="109"/>
        <w:gridCol w:w="262"/>
        <w:gridCol w:w="804"/>
        <w:gridCol w:w="135"/>
        <w:gridCol w:w="109"/>
        <w:gridCol w:w="109"/>
        <w:gridCol w:w="109"/>
        <w:gridCol w:w="211"/>
        <w:gridCol w:w="646"/>
        <w:gridCol w:w="159"/>
      </w:tblGrid>
      <w:tr>
        <w:trPr/>
        <w:tc>
          <w:tcPr>
            <w:tcW w:w="143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cost of sales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Segment selling, general and administrative expenses </w:t>
            </w:r>
            <w:r>
              <w:rPr>
                <w:rFonts w:ascii="Arial;sans-serif" w:hAnsi="Arial;sans-serif"/>
                <w:b w:val="false"/>
                <w:color w:val="000000"/>
                <w:sz w:val="13"/>
              </w:rPr>
              <w:t>(1)</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Mark-to-market losses on commodity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and foreign currency derivatives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92785"/>
                <wp:effectExtent l="0" t="0" r="0" b="0"/>
                <wp:wrapNone/>
                <wp:docPr id="69" name="Frame2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33"/>
        <w:gridCol w:w="1070"/>
        <w:gridCol w:w="1078"/>
        <w:gridCol w:w="255"/>
        <w:gridCol w:w="781"/>
        <w:gridCol w:w="131"/>
        <w:gridCol w:w="109"/>
        <w:gridCol w:w="109"/>
        <w:gridCol w:w="109"/>
        <w:gridCol w:w="211"/>
        <w:gridCol w:w="646"/>
        <w:gridCol w:w="109"/>
        <w:gridCol w:w="109"/>
        <w:gridCol w:w="109"/>
        <w:gridCol w:w="109"/>
        <w:gridCol w:w="211"/>
        <w:gridCol w:w="646"/>
        <w:gridCol w:w="109"/>
        <w:gridCol w:w="109"/>
        <w:gridCol w:w="109"/>
        <w:gridCol w:w="109"/>
        <w:gridCol w:w="262"/>
        <w:gridCol w:w="804"/>
        <w:gridCol w:w="135"/>
        <w:gridCol w:w="109"/>
        <w:gridCol w:w="109"/>
        <w:gridCol w:w="109"/>
        <w:gridCol w:w="211"/>
        <w:gridCol w:w="646"/>
        <w:gridCol w:w="159"/>
      </w:tblGrid>
      <w:tr>
        <w:trPr/>
        <w:tc>
          <w:tcPr>
            <w:tcW w:w="143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cost of sales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Segment selling, general and administrative expenses </w:t>
            </w:r>
            <w:r>
              <w:rPr>
                <w:rFonts w:ascii="Arial;sans-serif" w:hAnsi="Arial;sans-serif"/>
                <w:b w:val="false"/>
                <w:color w:val="000000"/>
                <w:sz w:val="13"/>
              </w:rPr>
              <w:t>(1)</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Mark-to-market gains on commodity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and foreign currency derivatives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(1) SG&amp;A for all reportable segments includes: Advertising &amp; consumer expenses and overhead expenses.</w:t>
      </w:r>
    </w:p>
    <w:p>
      <w:pPr>
        <w:pStyle w:val="TextBody"/>
        <w:bidi w:val="0"/>
        <w:spacing w:before="100" w:after="283"/>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depreciation expense and capital expenditures by segment, reflecting our current segment structure for all periods presented, were:</w:t>
      </w:r>
    </w:p>
    <w:tbl>
      <w:tblPr>
        <w:tblW w:w="4433" w:type="dxa"/>
        <w:jc w:val="left"/>
        <w:tblInd w:w="0" w:type="dxa"/>
        <w:tblLayout w:type="fixed"/>
        <w:tblCellMar>
          <w:top w:w="28" w:type="dxa"/>
          <w:left w:w="28" w:type="dxa"/>
          <w:bottom w:w="28" w:type="dxa"/>
          <w:right w:w="28" w:type="dxa"/>
        </w:tblCellMar>
      </w:tblPr>
      <w:tblGrid>
        <w:gridCol w:w="891"/>
        <w:gridCol w:w="782"/>
        <w:gridCol w:w="786"/>
        <w:gridCol w:w="211"/>
        <w:gridCol w:w="481"/>
        <w:gridCol w:w="109"/>
        <w:gridCol w:w="109"/>
        <w:gridCol w:w="109"/>
        <w:gridCol w:w="109"/>
        <w:gridCol w:w="211"/>
        <w:gridCol w:w="48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Depreciation expense </w:t>
            </w:r>
            <w:r>
              <w:rPr>
                <w:rFonts w:ascii="Arial;sans-serif" w:hAnsi="Arial;sans-serif"/>
                <w:b w:val="false"/>
                <w:color w:val="000000"/>
                <w:sz w:val="13"/>
              </w:rPr>
              <w:t>(2)</w:t>
            </w:r>
            <w:r>
              <w:rPr>
                <w:rFonts w:ascii="Arial;sans-serif" w:hAnsi="Arial;sans-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Corporate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(2) Includes depreciation expense related to owned property, plant and equipment. Does not include amortization of intangible assets or leased assets. Refer to the consolidated statement of cash flows for total depreciation and amortization expenses.</w:t>
      </w:r>
    </w:p>
    <w:p>
      <w:pPr>
        <w:pStyle w:val="TextBody"/>
        <w:bidi w:val="0"/>
        <w:spacing w:before="0" w:after="0"/>
        <w:jc w:val="both"/>
        <w:rPr/>
      </w:pPr>
      <w:r>
        <w:rPr/>
      </w:r>
    </w:p>
    <w:p>
      <w:pPr>
        <w:pStyle w:val="TextBody"/>
        <w:bidi w:val="0"/>
        <w:spacing w:before="0" w:after="0"/>
        <w:ind w:left="0" w:right="0" w:firstLine="90"/>
        <w:jc w:val="both"/>
        <w:rPr/>
      </w:pPr>
      <w:r>
        <w:rPr/>
      </w:r>
    </w:p>
    <w:tbl>
      <w:tblPr>
        <w:tblW w:w="4448" w:type="dxa"/>
        <w:jc w:val="left"/>
        <w:tblInd w:w="0" w:type="dxa"/>
        <w:tblLayout w:type="fixed"/>
        <w:tblCellMar>
          <w:top w:w="28" w:type="dxa"/>
          <w:left w:w="28" w:type="dxa"/>
          <w:bottom w:w="28" w:type="dxa"/>
          <w:right w:w="28" w:type="dxa"/>
        </w:tblCellMar>
      </w:tblPr>
      <w:tblGrid>
        <w:gridCol w:w="853"/>
        <w:gridCol w:w="750"/>
        <w:gridCol w:w="751"/>
        <w:gridCol w:w="211"/>
        <w:gridCol w:w="541"/>
        <w:gridCol w:w="109"/>
        <w:gridCol w:w="109"/>
        <w:gridCol w:w="109"/>
        <w:gridCol w:w="109"/>
        <w:gridCol w:w="211"/>
        <w:gridCol w:w="54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92785"/>
                <wp:effectExtent l="0" t="0" r="0" b="0"/>
                <wp:wrapNone/>
                <wp:docPr id="72" name="Frame2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by product category, reflecting our current segment structure for all periods presented, were:</w:t>
      </w:r>
    </w:p>
    <w:p>
      <w:pPr>
        <w:pStyle w:val="TextBody"/>
        <w:bidi w:val="0"/>
        <w:spacing w:before="0" w:after="0"/>
        <w:jc w:val="both"/>
        <w:rPr/>
      </w:pPr>
      <w:r>
        <w:rPr/>
      </w:r>
    </w:p>
    <w:tbl>
      <w:tblPr>
        <w:tblW w:w="8538" w:type="dxa"/>
        <w:jc w:val="left"/>
        <w:tblInd w:w="0" w:type="dxa"/>
        <w:tblLayout w:type="fixed"/>
        <w:tblCellMar>
          <w:top w:w="28" w:type="dxa"/>
          <w:left w:w="28" w:type="dxa"/>
          <w:bottom w:w="28" w:type="dxa"/>
          <w:right w:w="28" w:type="dxa"/>
        </w:tblCellMar>
      </w:tblPr>
      <w:tblGrid>
        <w:gridCol w:w="852"/>
        <w:gridCol w:w="749"/>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March 31,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 the Three Months Ended March 31, 2024</w:t>
            </w:r>
            <w:r>
              <w:rPr>
                <w:color w:val="000000"/>
              </w:rPr>
              <w:t xml:space="preserve"> </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92785"/>
                <wp:effectExtent l="0" t="0" r="0" b="0"/>
                <wp:wrapNone/>
                <wp:docPr id="75" name="Frame2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 of Business and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core business is making and selling chocolate, biscuits and baked snacks, with additional businesses in adjacent, locally relevant categories including gum &amp; candy, cheese &amp; grocery and powdered beverages around the world.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Developments and Significant Items Affecting Comparability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Macroeconomic environment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continue to observe significant market and geopolitical uncertainty, fluctuating consumer demand, inflationary pressures, supply constraints, trade and regulatory uncertainty and exchange rate volatility. As a result, we experienced significantly higher operating costs, including higher overall raw material, labor and energy costs that have continued to rise. In particular, we expect to continue to face higher cocoa costs, as the market price for cocoa beans has increased significantly year-over-year and it is likely that prices will remain elevated for some time. Refer to </w:t>
      </w:r>
      <w:r>
        <w:rPr>
          <w:rFonts w:ascii="Arial;sans-serif" w:hAnsi="Arial;sans-serif"/>
          <w:b w:val="false"/>
          <w:i/>
          <w:color w:val="000000"/>
          <w:sz w:val="20"/>
        </w:rPr>
        <w:t>Commodity Trends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Trade and Regulatory Uncertainty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many markets, including the United States, certain products or a portion of our products, including significant inputs, are imported from other jurisdictions. As the current geopolitical environment remains unpredictable, we continue to monitor and evaluate the impact of proposed and enacted tariffs, including proposed and enacted retaliatory tariffs or other trade restrictions. We are evaluating the potential impact of these developments as well as our ability to mitigate the impact, as they are expected to adversely impact our revenue and cost of goods sold. If the provisions of certain proposed tariffs for which implementation is currently delayed are ultimately implemented as originally proposed, or if additional tariff actions are implemented, we would expect those adverse impacts on our business operations and financial performance to be significant. For most products and materials imported to the United States from Mexico and Canada, we comply with the terms of the U.S.-Mexico-Canada Agreement ("USMCA") and are therefore not subject to tariffs on most products and materials imported from those jurisdictions. However, the current trade environment continues to evolve rapidly and there can be no assurance that such products and materials will continue to be exempt. The implementation of additional protectionist trade measures, and any further retaliatory actions taken in response, could result in increased costs and pricing pressures, disrupt consumer spending patterns, and impact market stability and consumer confidence, any or all of which could adversely affect our operating results. For additional information, see the risk factors in our Annual Report on Form 10-K for the year ended December 31, 2024, including the risk entitled “</w:t>
      </w:r>
      <w:r>
        <w:rPr>
          <w:rFonts w:ascii="Arial;sans-serif" w:hAnsi="Arial;sans-serif"/>
          <w:b w:val="false"/>
          <w:i/>
          <w:color w:val="000000"/>
          <w:sz w:val="20"/>
        </w:rPr>
        <w:t>We are subject to risks from changes to the trade policies and tariff and import/export regulations by the U.S. and/or other foreign governments.</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War in Ukraine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February 2022, following the Russian military invasion of Ukraine, we stopped production and closed our facilities in Ukraine; since then we have taken steps to protect the safety of our employees and to restore operations at our two manufacturing facilities, which were significantly damaged in March 2022. Refer to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92785"/>
                <wp:effectExtent l="0" t="0" r="0" b="0"/>
                <wp:wrapNone/>
                <wp:docPr id="78" name="Frame2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suspended new capital investments and our advertising spending in Russia, but as a food company with more than 2,500 employees in the country, we have not ceased operations because we believe that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the first quarter of 2025, Ukraine generated 0.4% and Russia generated 3.1% of our consolidated net revenue and during the first quarter of 2024, Ukraine generated 0.4% and Russia generated 2.6% of our consolidated net revenue. The profitability of and the assets held by our Russian business continue to remain above historic levels. We cannot predict if the recent strength in our Russian business will continue in the future.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operations in Russia are subject to risks, including the temporary or permanent loss of assets due to expropriation or further curtailment of our ability to conduct business operations in Russia. In the event this were to occur, this could lead to the partial or full impairment of our Russian assets or deconsolidation of our Russian operations in future periods, or the termination of and loss of revenue from our business operations, based on actions taken by Russia, other parties or us. For additional information, see the risk factors in our Annual Report on Form 10-K for the year ended December 31, 2024, including the risk entitled “</w:t>
      </w:r>
      <w:r>
        <w:rPr>
          <w:rFonts w:ascii="Arial;sans-serif" w:hAnsi="Arial;sans-serif"/>
          <w:b w:val="false"/>
          <w:i/>
          <w:color w:val="000000"/>
          <w:sz w:val="20"/>
        </w:rPr>
        <w:t>The war in Ukraine has impacted and could continue to impact our business operations, financial performance and results of operations.</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Developments in the Middle East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October 2023, conflict developed in the Middle East between Hamas and Israel, and has expanded to other parts of the region. Throughout 2024 and into 2025, we experienced sales impacts related to this conflict in certain AMEA markets, but this did not have a material impact on our business, results of operations or financial condition. We continue to evaluate the impacts of these developments on our business and we cannot predict if the conflict will have a significant impact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ERP System Implementation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July 2024, our Board of Directors approved funding of $1.2 billion for a multi-year systems transformation program to upgrade our global ERP and supply chain systems (the “ERP System Implementation”).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will be implemented by region in several phases with spending occurring over the next four years, with expected completion by year-end 2028. Refer to </w:t>
      </w:r>
      <w:r>
        <w:rPr>
          <w:rFonts w:ascii="Arial;sans-serif" w:hAnsi="Arial;sans-serif"/>
          <w:b w:val="false"/>
          <w:i/>
          <w:color w:val="000000"/>
          <w:sz w:val="20"/>
        </w:rPr>
        <w:t>Non-GAAP financial measures</w:t>
      </w:r>
      <w:r>
        <w:rPr>
          <w:color w:val="000000"/>
        </w:rPr>
        <w:t xml:space="preserve"> </w:t>
      </w:r>
      <w:r>
        <w:rPr>
          <w:rFonts w:ascii="Arial;sans-serif" w:hAnsi="Arial;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Extreme Price Growth in Argentina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exclude the impact of extreme pricing in Argentina from the net pricing impact of Organic Net Revenue and Organic Net Revenue growth and its related impact on our other non-GAAP financial constant currency growth measures. Additionally within this MD&amp;A discussion, "currency-related items" reflect the impacts of extreme pricing and year-over-year currency translation rate changes.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Currency-related items impacted our non-GAAP financial measures for the three months ended March 31, 2025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In the first quarter of 2025, unfavorable currency-related items of $342 million (3.7 pp) were driven by unfavorable currency translation rate changes of $365 million (4.0 pp), partially offset by extreme pricing of $23 million (0.3 pp). In Emerging Markets, unfavorable currency-related items of $252 million (6.8 pp) were driven by unfavorable currency translation rate changes of $275 million (7.4 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92785"/>
                <wp:effectExtent l="0" t="0" r="0" b="0"/>
                <wp:wrapNone/>
                <wp:docPr id="81" name="Frame2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partially offset by extreme pricing of $23 million (0.6 pp). In Developed Markets, unfavorable currency-related items of $90 million (1.6 pp) were driven by unfavorable currency translation rate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Operating Income: In the first quarter of 2025, unfavorable currency-related items of $27 million were driven by unfavorable currency translation rate changes of $31 million, partially offset by extreme pricing of $4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EPS: In the first quarter of 2025, unfavorable currency-related items of $0.02 were driven by unfavorable currency translation rate changes, as extreme pricing had an immaterial impact.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Acquisitions and Divestitures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During the fourth quarter of 2024</w:t>
      </w:r>
      <w:r>
        <w:rPr>
          <w:rFonts w:ascii="Arial;sans-serif" w:hAnsi="Arial;sans-serif"/>
          <w:b w:val="false"/>
          <w:color w:val="000000"/>
          <w:sz w:val="20"/>
        </w:rPr>
        <w:t xml:space="preserve">, we completed the acquisition of Evirth (Shanghai) </w:t>
      </w:r>
      <w:r>
        <w:rPr>
          <w:rFonts w:ascii="Arial;sans-serif" w:hAnsi="Arial;sans-serif"/>
          <w:b w:val="false"/>
          <w:color w:val="000000"/>
          <w:sz w:val="20"/>
          <w:shd w:fill="FFFFFF" w:val="clear"/>
        </w:rPr>
        <w:t xml:space="preserve">Industrial Co., Ltd, a leading manufacturer of cakes and pastries in China. </w:t>
      </w:r>
      <w:r>
        <w:rPr>
          <w:rFonts w:ascii="Arial;sans-serif" w:hAnsi="Arial;sans-serif"/>
          <w:b w:val="false"/>
          <w:color w:val="000000"/>
          <w:sz w:val="20"/>
        </w:rPr>
        <w:t xml:space="preserve">Refer to Note 2, </w:t>
      </w:r>
      <w:r>
        <w:rPr>
          <w:rFonts w:ascii="Arial;sans-serif" w:hAnsi="Arial;sans-serif"/>
          <w:b w:val="false"/>
          <w:i/>
          <w:color w:val="000000"/>
          <w:sz w:val="20"/>
        </w:rPr>
        <w:t>Acquisitions and Divestitures</w:t>
      </w:r>
      <w:r>
        <w:rPr>
          <w:rFonts w:ascii="Arial;sans-serif" w:hAnsi="Arial;sans-serif"/>
          <w:b w:val="false"/>
          <w:color w:val="000000"/>
          <w:sz w:val="20"/>
        </w:rPr>
        <w:t>, for additional details.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Equity Method Investment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JDE Peet’s Transactions (Euronext Amsterdam: “JDEP”)</w:t>
      </w:r>
    </w:p>
    <w:p>
      <w:pPr>
        <w:pStyle w:val="TextBody"/>
        <w:bidi w:val="0"/>
        <w:spacing w:lineRule="auto" w:line="288" w:before="0" w:after="0"/>
        <w:jc w:val="both"/>
        <w:rPr/>
      </w:pPr>
      <w:r>
        <w:rPr>
          <w:rFonts w:ascii="Arial;sans-serif" w:hAnsi="Arial;sans-serif"/>
          <w:b w:val="false"/>
          <w:color w:val="000000"/>
          <w:sz w:val="20"/>
        </w:rPr>
        <w:t xml:space="preserve">During the first quarter of 2024, we determined there was an other-than-temporary impairment of our investment in JDEP, resulting in an impairment charge of €612 million ($665 million). During the fourth quarter of 2024, we sold our remaining 85.9 million shares to JAB Holdings Company. For additional information, refer to Note 6, </w:t>
      </w:r>
      <w:r>
        <w:rPr>
          <w:rFonts w:ascii="Arial;sans-serif" w:hAnsi="Arial;sans-serif"/>
          <w:b w:val="false"/>
          <w:i/>
          <w:color w:val="000000"/>
          <w:sz w:val="20"/>
        </w:rPr>
        <w:t>Equity Method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Benefit Plans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third quarter of 2024, we entered into an annuity agreement with two third party insurance companies for the Mondelēz Global LLC Retirement Plan (“MDLZ Global Plan”), the pension plan for US salaried employees. The annuity agreement featured a buy-in of the plan assets with an option to elect a future buy-out conversion. The MDLZ Global Plan was terminated on December 31, 2024, and we currently intend to execute the buy-out conversion in the second quarter of 2025. Refer to Note 9, </w:t>
      </w:r>
      <w:r>
        <w:rPr>
          <w:rFonts w:ascii="Arial;sans-serif" w:hAnsi="Arial;sans-serif"/>
          <w:b w:val="false"/>
          <w:i/>
          <w:color w:val="000000"/>
          <w:sz w:val="20"/>
        </w:rPr>
        <w:t>Benefit Plans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monitor existing and potential future tax reform around the world. Numerous countries have now enacted the Organization of Economic Cooperation and Development’s model rules on a global minimum tax, effective for 2024. Important details of these minimum tax regimes are still being considered. Based on the guidance available thus far, this legislation did not have a material impact on our condensed consolidated financial statements but we will continue to evaluate it as additional guidance and clarification becomes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92785"/>
                <wp:effectExtent l="0" t="0" r="0" b="0"/>
                <wp:wrapNone/>
                <wp:docPr id="84" name="Frame2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Summary of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revenues increased 0.2% to $9.3 billion in the first quarter of 2025 as compared to the same period in the prior year. Net revenue growth in the first quarter of 2025 was driven by higher net pricing and incremental net revenue from our acquisition of Evirth, partially offset by unfavorable currency-related items, as the U.S. dollar strengthened relative to most currencies we operate in compared to exchange rates in the prior year, unfavorable volume/mix and lapping prior-year net revenue from a short-term distributor agreement related to the sale of our developed market gum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a non-GAAP financial measure, increased 3.1% to $9.6 billion in the first quarter of 2025 as compared to the same period in the prior year. During the first quarter Organic Net Revenue grew due to higher net pricing, partially offset by unfavorable volume/mix. Organic Net Revenue is reported on a constant currency basis and excludes revenue from acquisitions and divestitures.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Organic Net Revenue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net revenues.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Diluted EPS attributable to Mondelēz International decreased (70.2)% to $0.31 in the first quarter of 2025 as compared to the same period in the prior year. The decrease was driven by an unfavorable year-over-year change in mark-to-market impacts from commodity and foreign currency derivatives, a decrease in Adjusted EPS and costs incurred for the ERP System Implementation program. These unfavorable items were partially offset by lapping a prior-year equity method investment impairment, lapping prior-year costs for the completed Simplify to Grow Program, lower acquisition integration costs and contingent consideration adjustments and lower losses on remeasurement of net monetary position in highly inflationary countries.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a non-GAAP financial measure, decreased (20.4)% to $0.74 in the first quarter of 2025 as compared to the same period in the prior year. On a constant currency basis, Adjusted EPS decreased (18.3)% to $0.76 in the first quarter of 2025 as compared to the same period in the prior year. The decrease in Adjusted EPS was driven by operating declines, higher interest and other expense and unfavorable currency-related items, partially offset by fewer shares outstanding, lower taxes and the impact from an acquisition.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Adjusted EPS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diluted EPS.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92785"/>
                <wp:effectExtent l="0" t="0" r="0" b="0"/>
                <wp:wrapNone/>
                <wp:docPr id="87" name="Frame3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Discussion and Analysis of Historical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Items Affecting Comparability of Financial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includes significant income or (expense) items that affected the comparability of our results of operations and our effective tax rates. Please refer to the notes to the condensed consolidated financial statements indicated below for additional information. Refer to the </w:t>
      </w:r>
      <w:r>
        <w:rPr>
          <w:rFonts w:ascii="Arial;sans-serif" w:hAnsi="Arial;sans-serif"/>
          <w:b w:val="false"/>
          <w:i/>
          <w:color w:val="000000"/>
          <w:sz w:val="20"/>
        </w:rPr>
        <w:t>Consolidated Results of Operations – Net Earnings and Earnings per Share Attributable to Mondelēz International</w:t>
      </w:r>
      <w:r>
        <w:rPr>
          <w:color w:val="000000"/>
        </w:rPr>
        <w:t xml:space="preserve"> </w:t>
      </w:r>
      <w:r>
        <w:rPr>
          <w:rFonts w:ascii="Arial;sans-serif" w:hAnsi="Arial;sans-serif"/>
          <w:b w:val="false"/>
          <w:color w:val="000000"/>
          <w:sz w:val="20"/>
        </w:rPr>
        <w:t xml:space="preserve">table and the </w:t>
      </w:r>
      <w:r>
        <w:rPr>
          <w:rFonts w:ascii="Arial;sans-serif" w:hAnsi="Arial;sans-serif"/>
          <w:b w:val="false"/>
          <w:i/>
          <w:color w:val="000000"/>
          <w:sz w:val="20"/>
        </w:rPr>
        <w:t>Non-GAAP Financial Measures</w:t>
      </w:r>
      <w:r>
        <w:rPr>
          <w:color w:val="000000"/>
        </w:rPr>
        <w:t xml:space="preserve"> </w:t>
      </w:r>
      <w:r>
        <w:rPr>
          <w:rFonts w:ascii="Arial;sans-serif" w:hAnsi="Arial;sans-serif"/>
          <w:b w:val="false"/>
          <w:color w:val="000000"/>
          <w:sz w:val="20"/>
        </w:rPr>
        <w:t>section for the after-tax per share impacts and definitions of these items.</w:t>
      </w:r>
    </w:p>
    <w:p>
      <w:pPr>
        <w:pStyle w:val="TextBody"/>
        <w:bidi w:val="0"/>
        <w:spacing w:before="0" w:after="0"/>
        <w:jc w:val="both"/>
        <w:rPr/>
      </w:pPr>
      <w:r>
        <w:rPr/>
      </w:r>
    </w:p>
    <w:tbl>
      <w:tblPr>
        <w:tblW w:w="8679" w:type="dxa"/>
        <w:jc w:val="left"/>
        <w:tblInd w:w="0" w:type="dxa"/>
        <w:tblLayout w:type="fixed"/>
        <w:tblCellMar>
          <w:top w:w="28" w:type="dxa"/>
          <w:left w:w="28" w:type="dxa"/>
          <w:bottom w:w="28" w:type="dxa"/>
          <w:right w:w="28" w:type="dxa"/>
        </w:tblCellMar>
      </w:tblPr>
      <w:tblGrid>
        <w:gridCol w:w="1584"/>
        <w:gridCol w:w="1392"/>
        <w:gridCol w:w="1403"/>
        <w:gridCol w:w="270"/>
        <w:gridCol w:w="270"/>
        <w:gridCol w:w="271"/>
        <w:gridCol w:w="109"/>
        <w:gridCol w:w="109"/>
        <w:gridCol w:w="109"/>
        <w:gridCol w:w="285"/>
        <w:gridCol w:w="346"/>
        <w:gridCol w:w="367"/>
        <w:gridCol w:w="147"/>
        <w:gridCol w:w="147"/>
        <w:gridCol w:w="147"/>
        <w:gridCol w:w="285"/>
        <w:gridCol w:w="590"/>
        <w:gridCol w:w="367"/>
        <w:gridCol w:w="109"/>
        <w:gridCol w:w="109"/>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Simplify to Grow Program</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Mark-to-market (losses)/gains from derivatives </w:t>
            </w:r>
            <w:r>
              <w:rPr>
                <w:rFonts w:ascii="Arial;sans-serif" w:hAnsi="Arial;sans-serif"/>
                <w:b/>
                <w:color w:val="000000"/>
                <w:sz w:val="12"/>
              </w:rPr>
              <w:t>(1)</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Acquisition-related items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Divestiture-related items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Incremental costs due to war in Ukraine</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ERP System Implementation costs </w:t>
            </w:r>
            <w:r>
              <w:rPr>
                <w:rFonts w:ascii="Arial;sans-serif" w:hAnsi="Arial;sans-serif"/>
                <w:b/>
                <w:color w:val="000000"/>
                <w:sz w:val="12"/>
              </w:rPr>
              <w:t>(2)</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Remeasurement of net monetary position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Impact from pension participation changes </w:t>
            </w:r>
            <w:r>
              <w:rPr>
                <w:rFonts w:ascii="Arial;sans-serif" w:hAnsi="Arial;sans-serif"/>
                <w:b/>
                <w:color w:val="000000"/>
                <w:sz w:val="12"/>
              </w:rPr>
              <w:t>(1)</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Initial impacts from enacted tax law changes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Loss on equity method investment transactions </w:t>
            </w:r>
            <w:r>
              <w:rPr>
                <w:rFonts w:ascii="Arial;sans-serif" w:hAnsi="Arial;sans-serif"/>
                <w:b/>
                <w:color w:val="000000"/>
                <w:sz w:val="12"/>
              </w:rPr>
              <w:t>(3)</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Effective tax rate</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impacts recorded in operating income and interest expense and other, net in the accompanying condensed consolidated statements of earnings.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(2)Refer to Recent Developments and Significant Items Affecting Comparability - </w:t>
      </w:r>
      <w:r>
        <w:rPr>
          <w:rFonts w:ascii="Arial;sans-serif" w:hAnsi="Arial;sans-serif"/>
          <w:b w:val="false"/>
          <w:i/>
          <w:color w:val="000000"/>
          <w:sz w:val="16"/>
        </w:rPr>
        <w:t>ERP System Implementation</w:t>
      </w:r>
      <w:r>
        <w:rPr>
          <w:rFonts w:ascii="Arial;sans-serif" w:hAnsi="Arial;sans-serif"/>
          <w:b w:val="false"/>
          <w:color w:val="000000"/>
          <w:sz w:val="16"/>
        </w:rPr>
        <w:t>, for more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(3)Loss on equity method investment transactions includes impairments and is recorded outside pre-tax operating results on the condensed consolidated statement of earnings.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2785"/>
                <wp:effectExtent l="0" t="0" r="0" b="0"/>
                <wp:wrapNone/>
                <wp:docPr id="90" name="Frame3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tbl>
      <w:tblPr>
        <w:tblW w:w="9274" w:type="dxa"/>
        <w:jc w:val="left"/>
        <w:tblInd w:w="0" w:type="dxa"/>
        <w:tblLayout w:type="fixed"/>
        <w:tblCellMar>
          <w:top w:w="28" w:type="dxa"/>
          <w:left w:w="28" w:type="dxa"/>
          <w:bottom w:w="28" w:type="dxa"/>
          <w:right w:w="28" w:type="dxa"/>
        </w:tblCellMar>
      </w:tblPr>
      <w:tblGrid>
        <w:gridCol w:w="1652"/>
        <w:gridCol w:w="1275"/>
        <w:gridCol w:w="1288"/>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99"/>
        <w:gridCol w:w="301"/>
        <w:gridCol w:w="581"/>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increased $23 million (0.2%) to $9,313 million in the first quarter of 2025, and Organic Net Revenue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$291 million (3.1%) to $9,556 million. Emerging markets net revenues decreased (0.3)% and emerging markets Organic Net Revenue increased 3.9% </w:t>
      </w:r>
      <w:r>
        <w:rPr>
          <w:rFonts w:ascii="Arial;sans-serif" w:hAnsi="Arial;sans-serif"/>
          <w:b w:val="false"/>
          <w:color w:val="000000"/>
          <w:sz w:val="12"/>
        </w:rPr>
        <w:t>(1)</w:t>
      </w:r>
      <w:r>
        <w:rPr>
          <w:rFonts w:ascii="Arial;sans-serif" w:hAnsi="Arial;sans-serif"/>
          <w:b w:val="false"/>
          <w:color w:val="000000"/>
          <w:sz w:val="20"/>
        </w:rPr>
        <w:t xml:space="preserve">. Developed markets net revenues increased 0.6% and developed markets Organic Net Revenue increased 2.6% </w:t>
      </w:r>
      <w:r>
        <w:rPr>
          <w:rFonts w:ascii="Arial;sans-serif" w:hAnsi="Arial;sans-serif"/>
          <w:b w:val="false"/>
          <w:color w:val="000000"/>
          <w:sz w:val="12"/>
        </w:rPr>
        <w:t>(1)</w:t>
      </w:r>
      <w:r>
        <w:rPr>
          <w:rFonts w:ascii="Arial;sans-serif" w:hAnsi="Arial;sans-serif"/>
          <w:b w:val="false"/>
          <w:color w:val="000000"/>
          <w:sz w:val="20"/>
        </w:rPr>
        <w:t>. The underlying changes in net revenues and Organic Net Revenue are detailed below:</w:t>
      </w:r>
    </w:p>
    <w:tbl>
      <w:tblPr>
        <w:tblW w:w="7876" w:type="dxa"/>
        <w:jc w:val="left"/>
        <w:tblInd w:w="0" w:type="dxa"/>
        <w:tblLayout w:type="fixed"/>
        <w:tblCellMar>
          <w:top w:w="28" w:type="dxa"/>
          <w:left w:w="28" w:type="dxa"/>
          <w:bottom w:w="28" w:type="dxa"/>
          <w:right w:w="28" w:type="dxa"/>
        </w:tblCellMar>
      </w:tblPr>
      <w:tblGrid>
        <w:gridCol w:w="1267"/>
        <w:gridCol w:w="1112"/>
        <w:gridCol w:w="1116"/>
        <w:gridCol w:w="211"/>
        <w:gridCol w:w="646"/>
        <w:gridCol w:w="346"/>
        <w:gridCol w:w="109"/>
        <w:gridCol w:w="109"/>
        <w:gridCol w:w="109"/>
        <w:gridCol w:w="211"/>
        <w:gridCol w:w="646"/>
        <w:gridCol w:w="346"/>
        <w:gridCol w:w="109"/>
        <w:gridCol w:w="109"/>
        <w:gridCol w:w="109"/>
        <w:gridCol w:w="223"/>
        <w:gridCol w:w="683"/>
        <w:gridCol w:w="415"/>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March 31, 2025</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3,723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5,590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9,313</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3,876</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5,680</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9,556</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March 31, 2024</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3,733</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5,557</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9,290</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distributor agreements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3,730</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5,535</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9,265</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distributor agreements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(3.5)pp</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Net revenue increase of 0.2% was driven by our underlying Organic Net Revenue growth of 3.1% and the impact of an acquisition, partially offset by unfavorable currency-related items and lapping prior-year net revenue from a short-term distributor agreement related to the sale of our developed market gum business. Organic Net Revenue growth was driven by higher net pricing, partially offset by unfavorable volume/mix. Higher net pricing was due to the benefit of carryover pricing from 2024 as well as the effects of input cost-driven pricing actions taken during the first three months of 2025. Higher net pricing was reflected in all regions except North America. Unfavorable volume/mix was experienced across all regions, driven by volume declines reflecting pricing elasticity impacts in Europe, AMEA and Latin America as well as biscuit &amp; baked snacks category softness in North America. The November 1, 2024 acquisition of Evirth added incremental net revenues of $99 million (constant currency basis) in the first quarter of 2025. Refer to Note 2, </w:t>
      </w:r>
      <w:r>
        <w:rPr>
          <w:rFonts w:ascii="Arial;sans-serif" w:hAnsi="Arial;sans-serif"/>
          <w:b w:val="false"/>
          <w:i/>
          <w:color w:val="000000"/>
          <w:sz w:val="20"/>
        </w:rPr>
        <w:t xml:space="preserve">Acquisitions and Divestitures, </w:t>
      </w:r>
      <w:r>
        <w:rPr>
          <w:rFonts w:ascii="Arial;sans-serif" w:hAnsi="Arial;sans-serif"/>
          <w:b w:val="false"/>
          <w:color w:val="000000"/>
          <w:sz w:val="20"/>
        </w:rPr>
        <w:t xml:space="preserve">for additional information. Currency-related items decreased net revenues by $342 million, driven by unfavorable currency translation rate changes, partially offset by extreme pricing in Argentina. Refer to </w:t>
      </w:r>
      <w:r>
        <w:rPr>
          <w:rFonts w:ascii="Arial;sans-serif" w:hAnsi="Arial;sans-serif"/>
          <w:b w:val="false"/>
          <w:i/>
          <w:color w:val="000000"/>
          <w:sz w:val="20"/>
        </w:rPr>
        <w:t xml:space="preserve">Recent Developments and Significant Items Affecting Comparability </w:t>
      </w:r>
      <w:r>
        <w:rPr>
          <w:rFonts w:ascii="Arial;sans-serif" w:hAnsi="Arial;sans-serif"/>
          <w:b w:val="false"/>
          <w:color w:val="000000"/>
          <w:sz w:val="20"/>
        </w:rPr>
        <w:t xml:space="preserve">for additional information. Unfavorable currency translation rate changes were due to the strength of the U.S. dollar relative to most currencies, primarily the Brazilian real, Mexican peso, euro, Argentinean peso, Egyptian pound, Indian rupee, Canadian dollar, Australian dollar and Turkish lira. The lapping of the prior-year short-term distributor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2785"/>
                <wp:effectExtent l="0" t="0" r="0" b="0"/>
                <wp:wrapNone/>
                <wp:docPr id="93" name="Frame3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agreement related to the sale of our developed market gum business, which ended in the first quarter of 2024, resulted in a year-over-year incremental reduction in net revenue of $25 million.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 xml:space="preserve">Operating income decreased $2,047 million (75.1%) to $680 million in the first quarter of 2025. Adjusted Operating Income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decreased $335 million (19.6%) to $1,375 million and Adjusted Operating Income on a constant currency basis </w:t>
      </w:r>
      <w:r>
        <w:rPr>
          <w:rFonts w:ascii="Arial;sans-serif" w:hAnsi="Arial;sans-serif"/>
          <w:b w:val="false"/>
          <w:color w:val="000000"/>
          <w:sz w:val="12"/>
        </w:rPr>
        <w:t>(1)</w:t>
      </w:r>
      <w:r>
        <w:rPr>
          <w:color w:val="000000"/>
        </w:rPr>
        <w:t> </w:t>
      </w:r>
      <w:r>
        <w:rPr>
          <w:rFonts w:ascii="Arial;sans-serif" w:hAnsi="Arial;sans-serif"/>
          <w:b w:val="false"/>
          <w:color w:val="000000"/>
          <w:sz w:val="20"/>
        </w:rPr>
        <w:t>decreased $308 million (18.0%) to $1,402 million due to the following:</w:t>
      </w:r>
    </w:p>
    <w:tbl>
      <w:tblPr>
        <w:tblW w:w="10205" w:type="dxa"/>
        <w:jc w:val="left"/>
        <w:tblInd w:w="0" w:type="dxa"/>
        <w:tblLayout w:type="fixed"/>
        <w:tblCellMar>
          <w:top w:w="28" w:type="dxa"/>
          <w:left w:w="28" w:type="dxa"/>
          <w:bottom w:w="28" w:type="dxa"/>
          <w:right w:w="28" w:type="dxa"/>
        </w:tblCellMar>
      </w:tblPr>
      <w:tblGrid>
        <w:gridCol w:w="1873"/>
        <w:gridCol w:w="1561"/>
        <w:gridCol w:w="1566"/>
        <w:gridCol w:w="219"/>
        <w:gridCol w:w="674"/>
        <w:gridCol w:w="113"/>
        <w:gridCol w:w="113"/>
        <w:gridCol w:w="113"/>
        <w:gridCol w:w="113"/>
        <w:gridCol w:w="219"/>
        <w:gridCol w:w="674"/>
        <w:gridCol w:w="113"/>
        <w:gridCol w:w="109"/>
        <w:gridCol w:w="109"/>
        <w:gridCol w:w="109"/>
        <w:gridCol w:w="211"/>
        <w:gridCol w:w="699"/>
        <w:gridCol w:w="109"/>
        <w:gridCol w:w="109"/>
        <w:gridCol w:w="109"/>
        <w:gridCol w:w="109"/>
        <w:gridCol w:w="295"/>
        <w:gridCol w:w="297"/>
        <w:gridCol w:w="589"/>
      </w:tblGrid>
      <w:tr>
        <w:trPr/>
        <w:tc>
          <w:tcPr>
            <w:tcW w:w="187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5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5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(75.1)</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Mark-to-market losses/(gains) from derivatives </w:t>
            </w:r>
            <w:r>
              <w:rPr>
                <w:rFonts w:ascii="Arial;sans-serif" w:hAnsi="Arial;sans-serif"/>
                <w:b w:val="false"/>
                <w:color w:val="000000"/>
                <w:sz w:val="13"/>
              </w:rPr>
              <w:t>(3)</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Acquisition-related items </w:t>
            </w:r>
            <w:r>
              <w:rPr>
                <w:rFonts w:ascii="Arial;sans-serif" w:hAnsi="Arial;sans-serif"/>
                <w:b w:val="false"/>
                <w:color w:val="000000"/>
                <w:sz w:val="13"/>
              </w:rPr>
              <w:t>(4)</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items </w:t>
            </w:r>
            <w:r>
              <w:rPr>
                <w:rFonts w:ascii="Arial;sans-serif" w:hAnsi="Arial;sans-serif"/>
                <w:b w:val="false"/>
                <w:color w:val="000000"/>
                <w:sz w:val="13"/>
              </w:rPr>
              <w:t>(4)</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results from short-term distributor agreements </w:t>
            </w:r>
            <w:r>
              <w:rPr>
                <w:rFonts w:ascii="Arial;sans-serif" w:hAnsi="Arial;sans-serif"/>
                <w:b w:val="false"/>
                <w:color w:val="000000"/>
                <w:sz w:val="13"/>
              </w:rPr>
              <w:t>(1)</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(5)</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System Implementation costs </w:t>
            </w:r>
            <w:r>
              <w:rPr>
                <w:rFonts w:ascii="Arial;sans-serif" w:hAnsi="Arial;sans-serif"/>
                <w:b w:val="false"/>
                <w:color w:val="000000"/>
                <w:sz w:val="13"/>
              </w:rPr>
              <w:t>(6)</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(7)</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(19.6)</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1,402</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1,710</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(18.0)</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tbl>
      <w:tblPr>
        <w:tblW w:w="9108" w:type="dxa"/>
        <w:jc w:val="left"/>
        <w:tblInd w:w="0" w:type="dxa"/>
        <w:tblLayout w:type="fixed"/>
        <w:tblCellMar>
          <w:top w:w="28" w:type="dxa"/>
          <w:left w:w="28" w:type="dxa"/>
          <w:bottom w:w="28" w:type="dxa"/>
          <w:right w:w="28" w:type="dxa"/>
        </w:tblCellMar>
      </w:tblPr>
      <w:tblGrid>
        <w:gridCol w:w="2261"/>
        <w:gridCol w:w="1982"/>
        <w:gridCol w:w="1997"/>
        <w:gridCol w:w="109"/>
        <w:gridCol w:w="109"/>
        <w:gridCol w:w="109"/>
        <w:gridCol w:w="109"/>
        <w:gridCol w:w="109"/>
        <w:gridCol w:w="109"/>
        <w:gridCol w:w="109"/>
        <w:gridCol w:w="109"/>
        <w:gridCol w:w="109"/>
        <w:gridCol w:w="109"/>
        <w:gridCol w:w="109"/>
        <w:gridCol w:w="109"/>
        <w:gridCol w:w="211"/>
        <w:gridCol w:w="541"/>
        <w:gridCol w:w="109"/>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Higher net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Higher input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volume/mix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Lower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Impact from acquisitions</w:t>
            </w:r>
            <w:r>
              <w:rPr>
                <w:color w:val="000000"/>
              </w:rPr>
              <w:t xml:space="preserve">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Lower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Lower 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Operating Income (constant currency)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(2)Refer to Note 13,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8, </w:t>
      </w:r>
      <w:r>
        <w:rPr>
          <w:rFonts w:ascii="Arial;sans-serif" w:hAnsi="Arial;sans-serif"/>
          <w:b w:val="false"/>
          <w:i/>
          <w:color w:val="000000"/>
          <w:sz w:val="16"/>
        </w:rPr>
        <w:t>Financial Instruments</w:t>
      </w:r>
      <w:r>
        <w:rPr>
          <w:rFonts w:ascii="Arial;sans-serif" w:hAnsi="Arial;sans-serif"/>
          <w:b w:val="false"/>
          <w:color w:val="000000"/>
          <w:sz w:val="16"/>
        </w:rPr>
        <w:t xml:space="preserve">, and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 for additional information on the unrealized gains/losses on commodity and foreign currency derivative contracts economically hedging forecasted transactions.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2, </w:t>
      </w:r>
      <w:r>
        <w:rPr>
          <w:rFonts w:ascii="Arial;sans-serif" w:hAnsi="Arial;sans-serif"/>
          <w:b w:val="false"/>
          <w:i/>
          <w:color w:val="000000"/>
          <w:sz w:val="16"/>
        </w:rPr>
        <w:t>Acquisitions and Divestitures</w:t>
      </w:r>
      <w:r>
        <w:rPr>
          <w:rFonts w:ascii="Arial;sans-serif" w:hAnsi="Arial;sans-serif"/>
          <w:b w:val="false"/>
          <w:color w:val="000000"/>
          <w:sz w:val="16"/>
        </w:rPr>
        <w:t xml:space="preserve">, for additional information on the November 1, 2024 acquisition of Evirth and divestiture-related costs.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Recent Developments and Significant Items Affecting Comparability - </w:t>
      </w:r>
      <w:r>
        <w:rPr>
          <w:rFonts w:ascii="Arial;sans-serif" w:hAnsi="Arial;sans-serif"/>
          <w:b w:val="false"/>
          <w:i/>
          <w:color w:val="000000"/>
          <w:sz w:val="16"/>
        </w:rPr>
        <w:t>War in Ukraine</w:t>
      </w:r>
      <w:r>
        <w:rPr>
          <w:rFonts w:ascii="Arial;sans-serif" w:hAnsi="Arial;sans-serif"/>
          <w:b w:val="false"/>
          <w:color w:val="000000"/>
          <w:sz w:val="16"/>
        </w:rPr>
        <w:t xml:space="preserve">, for information on accounting impacts resulting from the war in Ukraine. </w:t>
      </w:r>
    </w:p>
    <w:p>
      <w:pPr>
        <w:pStyle w:val="TextBody"/>
        <w:bidi w:val="0"/>
        <w:spacing w:lineRule="auto" w:line="288" w:before="0" w:after="0"/>
        <w:ind w:left="0" w:right="0" w:hanging="360"/>
        <w:jc w:val="both"/>
        <w:rPr/>
      </w:pPr>
      <w:r>
        <w:rPr>
          <w:rFonts w:ascii="Arial;sans-serif" w:hAnsi="Arial;sans-serif"/>
          <w:b w:val="false"/>
          <w:color w:val="000000"/>
          <w:sz w:val="16"/>
        </w:rPr>
        <w:t xml:space="preserve">(6)Refer to Recent Developments and Significant Items Affecting Comparability - </w:t>
      </w:r>
      <w:r>
        <w:rPr>
          <w:rFonts w:ascii="Arial;sans-serif" w:hAnsi="Arial;sans-serif"/>
          <w:b w:val="false"/>
          <w:i/>
          <w:color w:val="000000"/>
          <w:sz w:val="16"/>
        </w:rPr>
        <w:t>ERP System Implementation</w:t>
      </w:r>
      <w:r>
        <w:rPr>
          <w:rFonts w:ascii="Arial;sans-serif" w:hAnsi="Arial;sans-serif"/>
          <w:b w:val="false"/>
          <w:color w:val="000000"/>
          <w:sz w:val="16"/>
        </w:rPr>
        <w:t>, for more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(7)Refer to Note 1, </w:t>
      </w:r>
      <w:r>
        <w:rPr>
          <w:rFonts w:ascii="Arial;sans-serif" w:hAnsi="Arial;sans-serif"/>
          <w:b w:val="false"/>
          <w:i/>
          <w:color w:val="000000"/>
          <w:sz w:val="16"/>
        </w:rPr>
        <w:t>Basis of Presentation</w:t>
      </w:r>
      <w:r>
        <w:rPr>
          <w:rFonts w:ascii="Arial;sans-serif" w:hAnsi="Arial;sans-serif"/>
          <w:b w:val="false"/>
          <w:color w:val="000000"/>
          <w:sz w:val="16"/>
        </w:rPr>
        <w:t xml:space="preserve">, for information on our application of highly inflationary accounting for Argentina, Türkiye, Egypt and Nigeria.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92785"/>
                <wp:effectExtent l="0" t="0" r="0" b="0"/>
                <wp:wrapNone/>
                <wp:docPr id="96" name="Frame3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2025, we realized higher net pricing, which was more than offset by increased input costs and unfavorable volume/mix. Higher net pricing, which included the carryover impact of pricing actions taken in 2024 as well as the effects of input cost-driven pricing actions taken during the first three months of 2025, was reflected across all regions except North America. The increase in input costs was driven by higher raw material costs, partially offset by lower manufacturing costs driven by productivity. Higher raw material costs were primarily due to higher cocoa, dairy, packaging, energy, nuts and other ingredient costs, as well as unfavorable year-over-year currency exchange transaction costs on imported materials, partially offset by lower sugar, grains and edible oils costs. Overall, unfavorable volume/mix was primarily due to volume declines, reflected across all regions.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decreased $227 million from the first quarter of 2024, which was net of benefits from a number of factors noted in the table above, including in part, a favorable currency-related impact to expenses, favorable contingent consideration adjustments related to the Clif Bar acquisition and lower acquisition integration costs, lapping prior-year implementation costs for the completed Simplify to Grow Program, lapping prior-year divestiture-related costs and the impact from acquisitions, marginally offset by costs incurred for the ERP System Implementation program. Excluding these factors, selling, general and administrative expenses decreased $132 million from the first quarter of 2024. The decrease was driven primarily by lower advertising and consumer promotion costs and lower overhead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Unfavorable currency-related items, net of extreme pricing in Argentina, decreased operating income by $27 million primarily due to the strength of the U.S. dollar relative to most currencies, including the Mexican peso, Brazilian real, euro, Australian dollar, Egyptian pound, Indian rupee, Chinese yuan and Canadian dollar.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decreased from 29.4% in the first quarter of 2024 to 7.3% in the first quarter of 2025. The decrease in operating income margin was driven primarily by an unfavorable year-over-year change in mark-to-market impacts from commodity and foreign currency derivatives, lower Adjusted Operating Income margin and costs incurred for the ERP System Implementation program, partially offset by lower acquisition integration costs and contingent consideration adjustments and lapping prior-year costs for the completed Simplify to Grow Program. Adjusted Operating Income margin decreased from 18.5% for the first quarter of 2024 to 14.8% for the first quarter of 2025. The decrease was driven primarily by higher raw material costs and unfavorable product mix, partially offset by higher net pricing, lower advertising and consumer promotion costs, lower manufacturing costs driven by productivity and lower overhead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92785"/>
                <wp:effectExtent l="0" t="0" r="0" b="0"/>
                <wp:wrapNone/>
                <wp:docPr id="99" name="Frame3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 xml:space="preserve">Net earnings attributable to Mondelēz International of $402 million decreased by $1,010 million (71.5%) in the first quarter of 2025. Diluted EPS attributable to Mondelēz International was $0.31 in the first quarter of 2025, down $0.73 (70.2%) from the first quarter of 2024.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$0.74 in the first quarter of 2025, down $0.19 (20.4%) from the first quarter of 2024.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$0.76 in the first quarter of 2025, down $0.17 (18.3%) from the first quarter of 2024.</w:t>
      </w:r>
    </w:p>
    <w:tbl>
      <w:tblPr>
        <w:tblW w:w="9910" w:type="dxa"/>
        <w:jc w:val="left"/>
        <w:tblInd w:w="0" w:type="dxa"/>
        <w:tblLayout w:type="fixed"/>
        <w:tblCellMar>
          <w:top w:w="28" w:type="dxa"/>
          <w:left w:w="28" w:type="dxa"/>
          <w:bottom w:w="28" w:type="dxa"/>
          <w:right w:w="28" w:type="dxa"/>
        </w:tblCellMar>
      </w:tblPr>
      <w:tblGrid>
        <w:gridCol w:w="1734"/>
        <w:gridCol w:w="1524"/>
        <w:gridCol w:w="1526"/>
        <w:gridCol w:w="244"/>
        <w:gridCol w:w="626"/>
        <w:gridCol w:w="126"/>
        <w:gridCol w:w="126"/>
        <w:gridCol w:w="126"/>
        <w:gridCol w:w="126"/>
        <w:gridCol w:w="244"/>
        <w:gridCol w:w="626"/>
        <w:gridCol w:w="126"/>
        <w:gridCol w:w="109"/>
        <w:gridCol w:w="109"/>
        <w:gridCol w:w="109"/>
        <w:gridCol w:w="211"/>
        <w:gridCol w:w="601"/>
        <w:gridCol w:w="109"/>
        <w:gridCol w:w="109"/>
        <w:gridCol w:w="109"/>
        <w:gridCol w:w="109"/>
        <w:gridCol w:w="299"/>
        <w:gridCol w:w="301"/>
        <w:gridCol w:w="581"/>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(70.2)</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Mark-to-market losses/(gains) from derivatives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Acquisition-related items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ERP System Implementation costs </w:t>
            </w:r>
            <w:r>
              <w:rPr>
                <w:rFonts w:ascii="Arial;sans-serif" w:hAnsi="Arial;sans-serif"/>
                <w:b w:val="false"/>
                <w:color w:val="000000"/>
                <w:sz w:val="13"/>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Loss on equity method investment transactions </w:t>
            </w:r>
            <w:r>
              <w:rPr>
                <w:rFonts w:ascii="Arial;sans-serif" w:hAnsi="Arial;sans-serif"/>
                <w:b w:val="false"/>
                <w:color w:val="000000"/>
                <w:sz w:val="13"/>
              </w:rPr>
              <w:t>(3)</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0.74</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0.76</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0.93</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(18.3)</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7907" w:type="dxa"/>
        <w:jc w:val="left"/>
        <w:tblInd w:w="0" w:type="dxa"/>
        <w:tblLayout w:type="fixed"/>
        <w:tblCellMar>
          <w:top w:w="28" w:type="dxa"/>
          <w:left w:w="28" w:type="dxa"/>
          <w:bottom w:w="28" w:type="dxa"/>
          <w:right w:w="28" w:type="dxa"/>
        </w:tblCellMar>
      </w:tblPr>
      <w:tblGrid>
        <w:gridCol w:w="1804"/>
        <w:gridCol w:w="1584"/>
        <w:gridCol w:w="1591"/>
        <w:gridCol w:w="109"/>
        <w:gridCol w:w="109"/>
        <w:gridCol w:w="109"/>
        <w:gridCol w:w="109"/>
        <w:gridCol w:w="109"/>
        <w:gridCol w:w="109"/>
        <w:gridCol w:w="109"/>
        <w:gridCol w:w="109"/>
        <w:gridCol w:w="109"/>
        <w:gridCol w:w="109"/>
        <w:gridCol w:w="109"/>
        <w:gridCol w:w="109"/>
        <w:gridCol w:w="211"/>
        <w:gridCol w:w="601"/>
        <w:gridCol w:w="109"/>
        <w:gridCol w:w="109"/>
        <w:gridCol w:w="109"/>
        <w:gridCol w:w="109"/>
        <w:gridCol w:w="109"/>
        <w:gridCol w:w="109"/>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Impact from acquisitions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Change in interest and other expense,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Change in income taxes</w:t>
            </w:r>
            <w:r>
              <w:rPr>
                <w:color w:val="000000"/>
              </w:rPr>
              <w:t xml:space="preserve"> </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shares outstanding </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 xml:space="preserve">Non-GAAP Financial Measures </w:t>
      </w:r>
      <w:r>
        <w:rPr>
          <w:rFonts w:ascii="Arial;sans-serif" w:hAnsi="Arial;sans-serif"/>
          <w:b w:val="false"/>
          <w:color w:val="000000"/>
          <w:sz w:val="16"/>
        </w:rPr>
        <w:t>section appearing later in this section. The tax expense/(benefit) of each of the pre-tax items excluded from our U.S. GAAP results was computed based on the facts and tax assumptions associated with each item, and such impacts have also been excluded from Adjusted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March 31, 2025, taxes for the: mark-to-market losses from derivatives were $(136) million, acquisition integration costs and contingent consideration adjustments were $5 million and ERP System Implementation program were $(8)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March 31, 2024, taxes for the: Simplify to Grow Program were $(11) million, mark-to-market gains from derivatives were $227 million, acquisition integration costs and contingent consideration adjustments were $(10) million, remeasurement of net monetary position was zero and loss on equity method investment transactions was zero.</w:t>
      </w:r>
    </w:p>
    <w:p>
      <w:pPr>
        <w:pStyle w:val="TextBody"/>
        <w:bidi w:val="0"/>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Operating Income</w:t>
      </w:r>
      <w:r>
        <w:rPr>
          <w:color w:val="000000"/>
        </w:rPr>
        <w:t xml:space="preserve"> </w:t>
      </w:r>
      <w:r>
        <w:rPr>
          <w:rFonts w:ascii="Arial;sans-serif" w:hAnsi="Arial;sans-serif"/>
          <w:b w:val="false"/>
          <w:color w:val="000000"/>
          <w:sz w:val="16"/>
        </w:rPr>
        <w:t>table above and the related footnotes 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6, </w:t>
      </w:r>
      <w:r>
        <w:rPr>
          <w:rFonts w:ascii="Arial;sans-serif" w:hAnsi="Arial;sans-serif"/>
          <w:b w:val="false"/>
          <w:i/>
          <w:color w:val="000000"/>
          <w:sz w:val="16"/>
        </w:rPr>
        <w:t>Equity Method Investments</w:t>
      </w:r>
      <w:r>
        <w:rPr>
          <w:rFonts w:ascii="Arial;sans-serif" w:hAnsi="Arial;sans-serif"/>
          <w:b w:val="false"/>
          <w:color w:val="000000"/>
          <w:sz w:val="16"/>
        </w:rPr>
        <w:t>, for additional information on gains/losses on equity method investment transactions.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14, </w:t>
      </w:r>
      <w:r>
        <w:rPr>
          <w:rFonts w:ascii="Arial;sans-serif" w:hAnsi="Arial;sans-serif"/>
          <w:b w:val="false"/>
          <w:i/>
          <w:color w:val="000000"/>
          <w:sz w:val="16"/>
        </w:rPr>
        <w:t>Income Taxes</w:t>
      </w:r>
      <w:r>
        <w:rPr>
          <w:rFonts w:ascii="Arial;sans-serif" w:hAnsi="Arial;sans-serif"/>
          <w:b w:val="false"/>
          <w:color w:val="000000"/>
          <w:sz w:val="16"/>
        </w:rPr>
        <w:t>, for additional information on the items affecting income taxes.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Note 11, </w:t>
      </w:r>
      <w:r>
        <w:rPr>
          <w:rFonts w:ascii="Arial;sans-serif" w:hAnsi="Arial;sans-serif"/>
          <w:b w:val="false"/>
          <w:i/>
          <w:color w:val="000000"/>
          <w:sz w:val="16"/>
        </w:rPr>
        <w:t>Stock Plans</w:t>
      </w:r>
      <w:r>
        <w:rPr>
          <w:rFonts w:ascii="Arial;sans-serif" w:hAnsi="Arial;sans-serif"/>
          <w:b w:val="false"/>
          <w:color w:val="000000"/>
          <w:sz w:val="16"/>
        </w:rPr>
        <w:t xml:space="preserve">, for additional information on our equity compensation programs and share repurchase program and Note 15, </w:t>
      </w:r>
      <w:r>
        <w:rPr>
          <w:rFonts w:ascii="Arial;sans-serif" w:hAnsi="Arial;sans-serif"/>
          <w:b w:val="false"/>
          <w:i/>
          <w:color w:val="000000"/>
          <w:sz w:val="16"/>
        </w:rPr>
        <w:t>Earnings per Share</w:t>
      </w:r>
      <w:r>
        <w:rPr>
          <w:rFonts w:ascii="Arial;sans-serif" w:hAnsi="Arial;sans-serif"/>
          <w:b w:val="false"/>
          <w:color w:val="000000"/>
          <w:sz w:val="16"/>
        </w:rPr>
        <w:t>, for earnings per share weighted-average share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92785"/>
                <wp:effectExtent l="0" t="0" r="0" b="0"/>
                <wp:wrapNone/>
                <wp:docPr id="102" name="Frame3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7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Results of Operations by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and management structure are organized into four operating segments: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Latin America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AMEA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Europe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use segment operating income to evaluate segment performance and allocate resources. We believe it is appropriate to disclose this measure to help investors analyze segment performance and trends. See Note 16,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 xml:space="preserve">for additional information on our segments and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earlier in this section for items affecting our segment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reconciliation of segment net revenues and earnings to consolidated financial statement totals were:</w:t>
      </w:r>
    </w:p>
    <w:tbl>
      <w:tblPr>
        <w:tblW w:w="7004" w:type="dxa"/>
        <w:jc w:val="left"/>
        <w:tblInd w:w="0" w:type="dxa"/>
        <w:tblLayout w:type="fixed"/>
        <w:tblCellMar>
          <w:top w:w="28" w:type="dxa"/>
          <w:left w:w="28" w:type="dxa"/>
          <w:bottom w:w="28" w:type="dxa"/>
          <w:right w:w="28" w:type="dxa"/>
        </w:tblCellMar>
      </w:tblPr>
      <w:tblGrid>
        <w:gridCol w:w="1508"/>
        <w:gridCol w:w="1319"/>
        <w:gridCol w:w="1328"/>
        <w:gridCol w:w="221"/>
        <w:gridCol w:w="678"/>
        <w:gridCol w:w="114"/>
        <w:gridCol w:w="114"/>
        <w:gridCol w:w="114"/>
        <w:gridCol w:w="114"/>
        <w:gridCol w:w="221"/>
        <w:gridCol w:w="678"/>
        <w:gridCol w:w="114"/>
        <w:gridCol w:w="109"/>
        <w:gridCol w:w="109"/>
        <w:gridCol w:w="109"/>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(losses)/gains on hedging activities</w:t>
              <w:br/>
              <w:t>(mark-to-market impacts)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92785"/>
                <wp:effectExtent l="0" t="0" r="0" b="0"/>
                <wp:wrapNone/>
                <wp:docPr id="105" name="Frame3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Latin America</w:t>
      </w:r>
    </w:p>
    <w:tbl>
      <w:tblPr>
        <w:tblW w:w="7508"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1"/>
        <w:gridCol w:w="541"/>
        <w:gridCol w:w="109"/>
        <w:gridCol w:w="109"/>
        <w:gridCol w:w="109"/>
        <w:gridCol w:w="109"/>
        <w:gridCol w:w="299"/>
        <w:gridCol w:w="30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696"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27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$116 million (8.8%), due to an unfavorable impact of currency-related items (12.7 pp) and unfavorable volume/mix (2.5 pp), partially offset by higher net pricing (6.4 pp). Currency-related items were unfavorable, net of extreme pricing in Argentina, due to currency translation rate changes. Unfavorable currency translation impacts were primarily due to the strength of the U.S. dollar relative to most currencies in the region, including the Brazilian real, Mexican peso and Argentinean peso. Unfavorable volume/mix reflected volume declines due to pricing elasticity impacts, primarily in Mexico and Argentina. Overall, unfavorable volume/mix was driven by declines in refreshment beverages, candy, gum and cheese &amp; grocery, partially offset by gains in chocolate and biscuits &amp; baked snacks. Higher net pricing, net of extreme pricing in Argentina, was driven by input cost-driven pricing actions and reflected across all categories, primarily in Argentina, Brazil and Mexico.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$18 million (11.5%), primarily due to higher raw material costs, unfavorable volume/mix, higher other selling, general and administrative expenses, costs incurred for the ERP System Implementation program and unfavorable currency-related items. These unfavorable items were partially offset by higher pricing, lower manufacturing costs driven by productivity, lower advertising and consumer promotion costs and lower acquisition integration costs.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AMEA</w:t>
      </w:r>
    </w:p>
    <w:tbl>
      <w:tblPr>
        <w:tblW w:w="7503"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99"/>
        <w:gridCol w:w="30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691"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$66 million (3.4%), due to the impact of an acquisition (5.1 pp) and higher net pricing (4.8 pp), partially offset by unfavorable currency translation rate changes (3.5 pp) and unfavorable volume/mix (3.0 pp). The November 1, 2024 acquisition of Evirth added incremental net revenues of $99 million (constant currency basis) in the first quarter of 2025. Higher net pricing, driven by input cost-driven pricing actions, was reflected across all categories except cheese &amp; grocery. Unfavorable currency translation impacts were due to the strength of the U.S. dollar relative to most currencies in the region, including the Egyptian pound, Indian rupee, and Australian dollar. Unfavorable volume/mix reflected volume declines due to pricing elasticity impacts. Overall, unfavorable volume/mix was driven by declines in chocolate, refreshment beverages and cheese &amp; grocery, partially offset by gains in gum and biscuits &amp; baked snacks.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Segment operating income decreased $68 million (16.5%), primarily due to higher raw material costs, unfavorable volume/mix, higher other selling, general and administrative expenses, unfavorable currency translation rate changes, higher acquisition integration costs and contingent consideration adjustments and costs incurred for the ERP Systems Implementation program. These unfavorable items were partially offset by higher net pricing, lower advertising and consumer promotion costs, lower manufacturing costs driven by productivity and the impact from our Evirth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92785"/>
                <wp:effectExtent l="0" t="0" r="0" b="0"/>
                <wp:wrapNone/>
                <wp:docPr id="108" name="Frame3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Europe</w:t>
      </w:r>
    </w:p>
    <w:tbl>
      <w:tblPr>
        <w:tblW w:w="7503"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99"/>
        <w:gridCol w:w="30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691"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$182 million (5.4%), due to higher net pricing (13.4 pp), partially offset by unfavorable volume/mix (4.5 pp), unfavorable currency translation rate changes (2.7 pp) and lapping the prior-year net revenue from a short-term distributor agreements (0.8 pp). Higher net pricing, driven by input cost-driven pricing actions, was reflected across all categories. Unfavorable volume/mix reflected volume declines due to pricing elasticity impacts. Overall, unfavorable volume/mix was driven by declines in chocolate, candy, gum, refreshment beverages and cheese &amp; grocery, partially offset by a gain in biscuits &amp; baked snacks. Unfavorable currency translation rate changes reflected the strength of the U.S. dollar relative to most currencies across the region, primarily the euro and Turkish lira. The lapping of the prior-year short-term distributor agreement related to the sale of our developed market gum business, which ended in the first quarter of 2024, resulted in a year-over-year incremental reduction in net revenue of $25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$129 million (21.8%), primarily due to higher raw material costs, unfavorable volume/mix, higher other selling, general and administrative expenses and costs incurred for the ERP System Implementation program. These unfavorable items were partially offset by higher net pricing, lower advertising and consumer promotion costs, lapping prior-year costs for the completed Simplify to Grow Program, lower manufacturing costs driven by productivity and lower divestiture-related costs.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North America</w:t>
      </w:r>
    </w:p>
    <w:tbl>
      <w:tblPr>
        <w:tblW w:w="7508"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1"/>
        <w:gridCol w:w="541"/>
        <w:gridCol w:w="109"/>
        <w:gridCol w:w="109"/>
        <w:gridCol w:w="109"/>
        <w:gridCol w:w="109"/>
        <w:gridCol w:w="299"/>
        <w:gridCol w:w="30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696"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$109 million (4.1%), due to unfavorable volume/mix (3.1 pp), unfavorable currency translation rate changes (0.5 pp)and lower net pricing (0.5 pp). Unfavorable volume/mix was driven by declines in biscuits &amp; baked snacks, primarily due to category softness in the U.S., and candy, slightly offset by a gain in chocolate. Unfavorable currency translation rate changes were due to the strength of the U.S. dollar relative to the Canadian dollar. Lower net pricing in biscuits &amp; baked snacks was partially offset by higher net pricing in candy and chocolate.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$64 million (11.7%), primarily due to higher raw material costs, unfavorable volume/mix, lower net pricing and costs incurred for the ERP System Implementation program. These unfavorable items were partially offset by a favorable contingent consideration adjustment related to Clif Bar as well as lower acquisition integration costs, lower advertising and consumer promotion costs, lower other selling, general and administrative expenses and lower manufacturing costs due to productivity.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92785"/>
                <wp:effectExtent l="0" t="0" r="0" b="0"/>
                <wp:wrapNone/>
                <wp:docPr id="111" name="Frame3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conflicts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Long-term cash requirements primarily relate to funding long-term debt repayments (refer to Note 7, </w:t>
      </w:r>
      <w:r>
        <w:rPr>
          <w:rFonts w:ascii="Arial;sans-serif" w:hAnsi="Arial;sans-serif"/>
          <w:b w:val="false"/>
          <w:i/>
          <w:color w:val="000000"/>
          <w:sz w:val="20"/>
        </w:rPr>
        <w:t>Debt and Borrowing Arrangements</w:t>
      </w:r>
      <w:r>
        <w:rPr>
          <w:rFonts w:ascii="Arial;sans-serif" w:hAnsi="Arial;sans-serif"/>
          <w:b w:val="false"/>
          <w:color w:val="000000"/>
          <w:sz w:val="20"/>
        </w:rPr>
        <w:t xml:space="preserve">), our U.S. tax reform transition tax liability and deferred taxes (refer to Note 16,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in our Annual Report on Form 10-K for the year ended December 31, 2024), our long-term benefit plan obligations (refer to Note 9, </w:t>
      </w:r>
      <w:r>
        <w:rPr>
          <w:rFonts w:ascii="Arial;sans-serif" w:hAnsi="Arial;sans-serif"/>
          <w:b w:val="false"/>
          <w:i/>
          <w:color w:val="000000"/>
          <w:sz w:val="20"/>
        </w:rPr>
        <w:t xml:space="preserve">Benefit Plans,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Note 11</w:t>
      </w:r>
      <w:r>
        <w:rPr>
          <w:rFonts w:ascii="Arial;sans-serif" w:hAnsi="Arial;sans-serif"/>
          <w:b w:val="false"/>
          <w:i/>
          <w:color w:val="000000"/>
          <w:sz w:val="20"/>
        </w:rPr>
        <w:t>, Benefit Plans,</w:t>
      </w:r>
      <w:r>
        <w:rPr>
          <w:color w:val="000000"/>
        </w:rPr>
        <w:t xml:space="preserve"> </w:t>
      </w:r>
      <w:r>
        <w:rPr>
          <w:rFonts w:ascii="Arial;sans-serif" w:hAnsi="Arial;sans-serif"/>
          <w:b w:val="false"/>
          <w:color w:val="000000"/>
          <w:sz w:val="20"/>
        </w:rPr>
        <w:t xml:space="preserve">in our Annual report on Form 10-K for the year ended December 31, 2024) and commodity-related purchase commitments and derivative contracts (refer to Note 8,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generally fund short- and long-term cash requirements with cash from operating activities as well as cash proceeds from short- and long-term debt financing (refer to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below). We generally do not use equity to fund our ongoing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pStyle w:val="TextBody"/>
        <w:bidi w:val="0"/>
        <w:spacing w:before="0" w:after="0"/>
        <w:jc w:val="both"/>
        <w:rPr/>
      </w:pPr>
      <w:r>
        <w:rPr/>
      </w:r>
    </w:p>
    <w:tbl>
      <w:tblPr>
        <w:tblW w:w="5360" w:type="dxa"/>
        <w:jc w:val="left"/>
        <w:tblInd w:w="0" w:type="dxa"/>
        <w:tblLayout w:type="fixed"/>
        <w:tblCellMar>
          <w:top w:w="28" w:type="dxa"/>
          <w:left w:w="28" w:type="dxa"/>
          <w:bottom w:w="28" w:type="dxa"/>
          <w:right w:w="28" w:type="dxa"/>
        </w:tblCellMar>
      </w:tblPr>
      <w:tblGrid>
        <w:gridCol w:w="1035"/>
        <w:gridCol w:w="909"/>
        <w:gridCol w:w="915"/>
        <w:gridCol w:w="221"/>
        <w:gridCol w:w="676"/>
        <w:gridCol w:w="114"/>
        <w:gridCol w:w="114"/>
        <w:gridCol w:w="114"/>
        <w:gridCol w:w="114"/>
        <w:gridCol w:w="239"/>
        <w:gridCol w:w="732"/>
        <w:gridCol w:w="177"/>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3" w:before="0" w:after="0"/>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23" w:before="0" w:after="0"/>
              <w:ind w:left="0" w:right="0" w:firstLine="637"/>
              <w:jc w:val="center"/>
              <w:rPr>
                <w:rFonts w:ascii="Arial;sans-serif" w:hAnsi="Arial;sans-serif"/>
                <w:b/>
                <w:color w:val="000000"/>
                <w:sz w:val="16"/>
              </w:rPr>
            </w:pPr>
            <w:r>
              <w:rPr>
                <w:rFonts w:ascii="Arial;sans-serif" w:hAnsi="Arial;sans-serif"/>
                <w:b/>
                <w:color w:val="000000"/>
                <w:sz w:val="16"/>
              </w:rPr>
              <w:t>2024</w:t>
            </w:r>
          </w:p>
        </w:tc>
      </w:tr>
      <w:tr>
        <w:trPr/>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5"/>
              <w:jc w:val="left"/>
              <w:rPr>
                <w:rFonts w:ascii="Arial;sans-serif" w:hAnsi="Arial;sans-serif"/>
                <w:b w:val="false"/>
                <w:color w:val="000000"/>
                <w:sz w:val="20"/>
              </w:rPr>
            </w:pPr>
            <w:r>
              <w:rPr>
                <w:rFonts w:ascii="Arial;sans-serif" w:hAnsi="Arial;sans-serif"/>
                <w:b w:val="false"/>
                <w:color w:val="000000"/>
                <w:sz w:val="20"/>
              </w:rPr>
              <w:t>Net cash provided by/(used in):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Provided by 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decrease in net cash provided by operating activities was primarily due to lower cash-basis net earnings, combined with higher year-over-year working capital movements.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Investing Activities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reduction in net cash used in investing activities was largely driven by lapping prior year investment contributions. We continue to make capital expenditures primarily to modernize manufacturing facilities, implement new product manufacturing and support productivity initiatives. We expect 2025 capital expenditures to be up to $1.3 billion, including capital expenditures in connection with funding our strategic priorities. We expect to continue to fund these expenditures with cash from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92785"/>
                <wp:effectExtent l="0" t="0" r="0" b="0"/>
                <wp:wrapNone/>
                <wp:docPr id="114" name="Frame3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Financing Activities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 in cash used in financing activities was primarily due to higher debt proceeds combined with lower debt repayments, partially offset by higher share repurchases and higher dividends paid in the first three months of 2025 compared to the same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paid dividends of $623 million in the first three months of 2025 and $578 million in the first three months of 2024. The first quarter 2025 dividend of $0.470 per share, declared on February 13, 2025 for shareholders of record as of March 31, 2025, was paid on April 14, 2025.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bidi w:val="0"/>
        <w:spacing w:lineRule="auto" w:line="288" w:before="0" w:after="0"/>
        <w:jc w:val="both"/>
        <w:rPr/>
      </w:pPr>
      <w:r>
        <w:rPr>
          <w:rFonts w:ascii="Arial;sans-serif" w:hAnsi="Arial;sans-serif"/>
          <w:b w:val="false"/>
          <w:color w:val="000000"/>
          <w:sz w:val="20"/>
        </w:rPr>
        <w:t xml:space="preserve">As discussed in Note 10, </w:t>
      </w:r>
      <w:r>
        <w:rPr>
          <w:rFonts w:ascii="Arial;sans-serif" w:hAnsi="Arial;sans-serif"/>
          <w:b w:val="false"/>
          <w:i/>
          <w:color w:val="000000"/>
          <w:sz w:val="20"/>
        </w:rPr>
        <w:t>Commitments and Contingencies</w:t>
      </w:r>
      <w:r>
        <w:rPr>
          <w:rFonts w:ascii="Arial;sans-serif" w:hAnsi="Arial;sans-serif"/>
          <w:b w:val="false"/>
          <w:color w:val="000000"/>
          <w:sz w:val="20"/>
        </w:rPr>
        <w:t>, we enter into third-party guarantees primarily to cover the long-term obligations of our vendors. As part of these transactions, we guarantee that third parties will make contractual payments or achieve performance measures. As of March 31, 2025 and December 31, 2024, we had no material third-party guarantees recorded on our condensed consolidated balance sheets. Guarantees do not have, and we do not expect them to have, a material effect on our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our December 2024 meeting, the Board of Directors approved a new $4 billion long-term financing authorization that replaced the prior long-term financing authorization of $2 billion. As of March 31, 2025, $4 billion of the long-term financing authorization remained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total debt was $19.5 billion as of March 31, 2025 and $17.7 billion as of December 31, 2024. Our debt-to-capitalization ratio was 0.43 at March 31, 2025 and 0.40 at December 31, 2024. At March 31, 2025, the weighted-average term of our outstanding long-term debt was 7.6 years. Our average daily commercial paper borrowings outstanding were $1.7 billion in the first three months of 2025 and $1.0 billion in the first three months of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of our subsidiaries, Mondelez International Holdings Netherlands B.V. (“MIHN”), has outstanding debt. The operations held by MIHN generated approximately 75.3% (or $7.0 billion) of the $9.3 billion of consolidated net revenue for the three months ended March 31, 2025. The operations held by MIHN represented approximately 88.8% (or $22.9 billion) of the $25.8 billion of consolidated net assets as of March 31,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Note 7, </w:t>
      </w:r>
      <w:r>
        <w:rPr>
          <w:rFonts w:ascii="Arial;sans-serif" w:hAnsi="Arial;sans-serif"/>
          <w:b w:val="false"/>
          <w:i/>
          <w:color w:val="000000"/>
          <w:sz w:val="20"/>
        </w:rPr>
        <w:t xml:space="preserve">Debt and Borrowing Arrangements, </w:t>
      </w:r>
      <w:r>
        <w:rPr>
          <w:rFonts w:ascii="Arial;sans-serif" w:hAnsi="Arial;sans-serif"/>
          <w:b w:val="false"/>
          <w:color w:val="000000"/>
          <w:sz w:val="20"/>
        </w:rPr>
        <w:t>for additional information on our debt and debt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Commodity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regularly monitor worldwide supply, commodity cost and currency trends so we can cost-effectively secure ingredients, packaging and fuel required for production. During the first three months of 2025, the primary drivers of the increase in our aggregate commodity costs were higher cocoa, dairy, packaging, energy, nuts and other ingredient costs, as well as unfavorable year-over-year currency exchange transaction costs on imported materials, partially offset by lower sugar, grains and edible oils costs. While the costs of our principal raw materials fluctuate, generally we believe there will continue to be an adequate supply of the raw materials we use and that they will broadly remain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number of external factors such as the current macroeconomic environment, including global inflation, effects of geopolitical uncertainty, climate and weather conditions, commodity, transportation and labor market conditions, exchange rate volatility and the effects of local and global regulations, including trade policies, governmental agricultural or other programs affect the availability and cost of raw materials and agricultural materials used in our products. In particular, the supply of cocoa is exposed to many of these factors, including climate change and weather events, local regulations in cocoa-producing countries, and global regulations such as the EU Deforestation Regulation (which requires companies to ensure that the products they place on the EU market or export from it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92785"/>
                <wp:effectExtent l="0" t="0" r="0" b="0"/>
                <wp:wrapNone/>
                <wp:docPr id="117" name="Frame4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8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associated with deforestation). These factors could impact the supply of cocoa, which could potentially limit our ability to produce our products and significantly impact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three months of 2025,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we expect to face elevated cocoa costs in the near- and medium-term due to these factors. It is possible that we may not be able to increase prices sufficiently to fully cover the incremental costs of cocoa prices in this environment and/or our hedging strategies may not protect us from increases in cocoa costs, which could result in a significant impact on our profitability.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sans-serif" w:hAnsi="Arial;sans-serif"/>
          <w:b w:val="false"/>
          <w:i/>
          <w:color w:val="000000"/>
          <w:sz w:val="20"/>
        </w:rPr>
        <w:t xml:space="preserve">Management’s Discussion and Analysis of Financial Condition and Results of Operations, </w:t>
      </w:r>
      <w:r>
        <w:rPr>
          <w:rFonts w:ascii="Arial;sans-serif" w:hAnsi="Arial;sans-serif"/>
          <w:b w:val="false"/>
          <w:color w:val="000000"/>
          <w:sz w:val="20"/>
        </w:rPr>
        <w:t xml:space="preserve">respectively, in our Annual Report on Form 10-K for the year ended December 31, 2024. Also refer to Note 1, </w:t>
      </w:r>
      <w:r>
        <w:rPr>
          <w:rFonts w:ascii="Arial;sans-serif" w:hAnsi="Arial;sans-serif"/>
          <w:b w:val="false"/>
          <w:i/>
          <w:color w:val="000000"/>
          <w:sz w:val="20"/>
        </w:rPr>
        <w:t>Basis of Presentation</w:t>
      </w:r>
      <w:r>
        <w:rPr>
          <w:rFonts w:ascii="Arial;sans-serif" w:hAnsi="Arial;sans-serif"/>
          <w:b w:val="false"/>
          <w:color w:val="000000"/>
          <w:sz w:val="20"/>
        </w:rPr>
        <w:t>,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weakness in macroeconomic conditions in our markets, including as a result of inflation (and related monetary policy actions by governments in response to inflation) and the instability of certain financial institutions;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from operating globally including geopolitical, trade, tariff and regulatory uncertainties affecting developed and emerging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92785"/>
                <wp:effectExtent l="0" t="0" r="0" b="0"/>
                <wp:wrapNone/>
                <wp:docPr id="120" name="Frame4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cocoa and other commodity input costs, our ability to effectively hedge such costs and the availability of commodities;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competition and our response to channel shifts and pricing and other competitive pressures;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pricing actions and customer and consumer responses to such 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promotion and protection of our reputation and brand image;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weakness in consumer spending and/or changes in consumer preferences and demand and our ability to predict, identify, interpret and meet these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outcome and effects on us of legal and tax proceedings and government investigations;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use of information technology and third party service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unanticipated disruptions to our business, such as malware incidents, cyberattacks or other security breaches, and supply, commodity, labor and transportation constraints;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identify, complete, manage and realize the full extent of the benefits, cost savings, efficiencies and/or synergies presented by strategic acquisitions and other transactions as well as other strategic initiatives, such as our ERP System Implementation program;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investments and our ownership interests in those investments;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impact of climate change on our supply chain and operations;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or regional health pandemics or epidemics;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consolidation of retail customers and competition with retailer and other economy brands;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our relationships with customers, suppliers or distributors;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management of our workforce and shifts in labor availability or labor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compliance with legal, regulatory, tax and benefit laws and related changes, claims or actions;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perceived or actual product quality issues or product recalls;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failure to maintain effective internal control over financial reporting or disclosure controls and procedures;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protect our intellectual property and intangible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tax matters including changes in tax laws and rates, disagreements with taxing authorities and imposition of new taxes;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currency exchange rates, controls and restrictions;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and access to capital or other markets, interest rates, the effectiveness of our cash management programs and our liquidity;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pension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changes in valuation factors that may adversely affect our impairment testing of goodwill and intangible assets;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risks and uncertainties, as they may be amended from time to time, set forth in our filings with the U.S. Securities and Exchange Commission, including our Annual Report on Form 10-K for the year ended December 31, 2024 and subsequent Quarterly Reports on Form 10-Q.</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use non-GAAP financial measures internally to make operating and strategic decisions, including the preparation of our annual operating plan, evaluation of business performance and as a factor in determining incentive compensation. We believe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We also believe that presenting these measures allows investors to view our performance using the same measures that management and our Board of Directors use in evaluating our business performance and trends. However, non-GAAP financial measures should be considered in addition to, and not as substitutes for, financial information prepared in accordance with U.S. GAAP. In addition, the company’s non-GAAP financial measures may not be the same as or comparable to similar non-GAAP measures presented by other companies.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92785"/>
                <wp:effectExtent l="0" t="0" r="0" b="0"/>
                <wp:wrapNone/>
                <wp:docPr id="123" name="Frame4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provided the reconciliations between the GAAP and non-GAAP financial measures along with a discussion of our underlying GAAP results throughout our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in this Form 10-Q.</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primary non-GAAP financial measures and corresponding metrics, listed below,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sans-serif" w:hAnsi="Arial;sans-serif"/>
          <w:b w:val="false"/>
          <w:color w:val="000000"/>
          <w:sz w:val="12"/>
        </w:rPr>
        <w:t>(1)</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is defined as net revenues (the most comparable U.S. GAAP financial measure) excluding, when they occur, the impacts of acquisitions, divestitures </w:t>
      </w:r>
      <w:r>
        <w:rPr>
          <w:rFonts w:ascii="Arial;sans-serif" w:hAnsi="Arial;sans-serif"/>
          <w:b w:val="false"/>
          <w:color w:val="000000"/>
          <w:sz w:val="13"/>
        </w:rPr>
        <w:t>(2)</w:t>
      </w:r>
      <w:r>
        <w:rPr>
          <w:rFonts w:ascii="Arial;sans-serif" w:hAnsi="Arial;sans-serif"/>
          <w:b w:val="false"/>
          <w:color w:val="000000"/>
          <w:sz w:val="20"/>
        </w:rPr>
        <w:t xml:space="preserve">, short-term distributor agreements related to the sale of a business </w:t>
      </w:r>
      <w:r>
        <w:rPr>
          <w:rFonts w:ascii="Arial;sans-serif" w:hAnsi="Arial;sans-serif"/>
          <w:b w:val="false"/>
          <w:color w:val="000000"/>
          <w:sz w:val="13"/>
        </w:rPr>
        <w:t xml:space="preserve">(3) </w:t>
      </w:r>
      <w:r>
        <w:rPr>
          <w:rFonts w:ascii="Arial;sans-serif" w:hAnsi="Arial;sans-serif"/>
          <w:b w:val="false"/>
          <w:color w:val="000000"/>
          <w:sz w:val="20"/>
        </w:rPr>
        <w:t xml:space="preserve">and currency-related items </w:t>
      </w:r>
      <w:r>
        <w:rPr>
          <w:rFonts w:ascii="Arial;sans-serif" w:hAnsi="Arial;sans-serif"/>
          <w:b w:val="false"/>
          <w:color w:val="000000"/>
          <w:sz w:val="13"/>
        </w:rPr>
        <w:t>(4)</w:t>
      </w:r>
      <w:r>
        <w:rPr>
          <w:rFonts w:ascii="Arial;sans-serif" w:hAnsi="Arial;sans-serif"/>
          <w:b w:val="false"/>
          <w:color w:val="000000"/>
          <w:sz w:val="20"/>
        </w:rPr>
        <w:t xml:space="preserve">. We believe that Organic Net Revenue reflects the underlying growth from the ongoing activities of our business and provides improved comparability of results. Organic Net Revenue growth is presented on a consolidated and segment basis and for the company’s emerging markets and developed markets., and these underlying measures are also reconciled to the most comparable U.S. GAAP financial measures above.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developed markets include the entire North America region, the Europe region excluding the countries included in the emerging markets definition, and Australia, New Zealand and Japan from the AMEA region.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Operating Income” is defined as operating income (the most comparable U.S. GAAP financial measure) excluding, when they occur, the impacts of the Simplify to Grow Program </w:t>
      </w:r>
      <w:r>
        <w:rPr>
          <w:rFonts w:ascii="Arial;sans-serif" w:hAnsi="Arial;sans-serif"/>
          <w:b w:val="false"/>
          <w:color w:val="000000"/>
          <w:sz w:val="13"/>
        </w:rPr>
        <w:t>(5)</w:t>
      </w:r>
      <w:r>
        <w:rPr>
          <w:rFonts w:ascii="Arial;sans-serif" w:hAnsi="Arial;sans-serif"/>
          <w:b w:val="false"/>
          <w:color w:val="000000"/>
          <w:sz w:val="20"/>
        </w:rPr>
        <w:t xml:space="preserve">; gains or losses (including non-cash impairment charges) on goodwill and intangible assets; divestiture-related items </w:t>
      </w:r>
      <w:r>
        <w:rPr>
          <w:rFonts w:ascii="Arial;sans-serif" w:hAnsi="Arial;sans-serif"/>
          <w:b w:val="false"/>
          <w:color w:val="000000"/>
          <w:sz w:val="13"/>
        </w:rPr>
        <w:t>(2)</w:t>
      </w:r>
      <w:r>
        <w:rPr>
          <w:rFonts w:ascii="Arial;sans-serif" w:hAnsi="Arial;sans-serif"/>
          <w:b w:val="false"/>
          <w:color w:val="000000"/>
          <w:sz w:val="20"/>
        </w:rPr>
        <w:t xml:space="preserve">; acquisition-related items </w:t>
      </w:r>
      <w:r>
        <w:rPr>
          <w:rFonts w:ascii="Arial;sans-serif" w:hAnsi="Arial;sans-serif"/>
          <w:b w:val="false"/>
          <w:color w:val="000000"/>
          <w:sz w:val="13"/>
        </w:rPr>
        <w:t>(6)</w:t>
      </w:r>
      <w:r>
        <w:rPr>
          <w:rFonts w:ascii="Arial;sans-serif" w:hAnsi="Arial;sans-serif"/>
          <w:b w:val="false"/>
          <w:color w:val="000000"/>
          <w:sz w:val="20"/>
        </w:rPr>
        <w:t xml:space="preserve">; operating results from short-term distributor agreements related to the sale of a business </w:t>
      </w:r>
      <w:r>
        <w:rPr>
          <w:rFonts w:ascii="Arial;sans-serif" w:hAnsi="Arial;sans-serif"/>
          <w:b w:val="false"/>
          <w:color w:val="000000"/>
          <w:sz w:val="13"/>
        </w:rPr>
        <w:t>(3)</w:t>
      </w:r>
      <w:r>
        <w:rPr>
          <w:rFonts w:ascii="Arial;sans-serif" w:hAnsi="Arial;sans-serif"/>
          <w:b w:val="false"/>
          <w:color w:val="000000"/>
          <w:sz w:val="20"/>
        </w:rPr>
        <w:t xml:space="preserve">; remeasurement of net monetary position of highly inflationary countries </w:t>
      </w:r>
      <w:r>
        <w:rPr>
          <w:rFonts w:ascii="Arial;sans-serif" w:hAnsi="Arial;sans-serif"/>
          <w:b w:val="false"/>
          <w:color w:val="000000"/>
          <w:sz w:val="13"/>
        </w:rPr>
        <w:t>(7)</w:t>
      </w:r>
      <w:r>
        <w:rPr>
          <w:rFonts w:ascii="Arial;sans-serif" w:hAnsi="Arial;sans-serif"/>
          <w:b w:val="false"/>
          <w:color w:val="000000"/>
          <w:sz w:val="20"/>
        </w:rPr>
        <w:t xml:space="preserve">; mark-to-market impacts from commodity and foreign currency derivative contracts economically hedging forecasted transactions </w:t>
      </w:r>
      <w:r>
        <w:rPr>
          <w:rFonts w:ascii="Arial;sans-serif" w:hAnsi="Arial;sans-serif"/>
          <w:b w:val="false"/>
          <w:color w:val="000000"/>
          <w:sz w:val="13"/>
        </w:rPr>
        <w:t>(8)</w:t>
      </w:r>
      <w:r>
        <w:rPr>
          <w:rFonts w:ascii="Arial;sans-serif" w:hAnsi="Arial;sans-serif"/>
          <w:b w:val="false"/>
          <w:color w:val="000000"/>
          <w:sz w:val="20"/>
        </w:rPr>
        <w:t xml:space="preserve">; impact from resolution of indirect tax matters; 2017 malware incident net recoveries; incremental costs due to the war in Ukraine </w:t>
      </w:r>
      <w:r>
        <w:rPr>
          <w:rFonts w:ascii="Arial;sans-serif" w:hAnsi="Arial;sans-serif"/>
          <w:b w:val="false"/>
          <w:color w:val="000000"/>
          <w:sz w:val="13"/>
        </w:rPr>
        <w:t>(9)</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impact from the European Commission legal matter </w:t>
      </w:r>
      <w:r>
        <w:rPr>
          <w:rFonts w:ascii="Arial;sans-serif" w:hAnsi="Arial;sans-serif"/>
          <w:b w:val="false"/>
          <w:color w:val="000000"/>
          <w:sz w:val="13"/>
        </w:rPr>
        <w:t>(10)</w:t>
      </w:r>
      <w:r>
        <w:rPr>
          <w:rFonts w:ascii="Arial;sans-serif" w:hAnsi="Arial;sans-serif"/>
          <w:b w:val="false"/>
          <w:color w:val="000000"/>
          <w:sz w:val="20"/>
        </w:rPr>
        <w:t xml:space="preserve">; the impact from pension participation changes </w:t>
      </w:r>
      <w:r>
        <w:rPr>
          <w:rFonts w:ascii="Arial;sans-serif" w:hAnsi="Arial;sans-serif"/>
          <w:b w:val="false"/>
          <w:color w:val="000000"/>
          <w:sz w:val="13"/>
        </w:rPr>
        <w:t>(11)</w:t>
      </w:r>
      <w:r>
        <w:rPr>
          <w:rFonts w:ascii="Arial;sans-serif" w:hAnsi="Arial;sans-serif"/>
          <w:b w:val="false"/>
          <w:color w:val="000000"/>
          <w:sz w:val="20"/>
        </w:rPr>
        <w:t xml:space="preserve">; and operating costs from the ERP System Implementation program </w:t>
      </w:r>
      <w:r>
        <w:rPr>
          <w:rFonts w:ascii="Arial;sans-serif" w:hAnsi="Arial;sans-serif"/>
          <w:b w:val="false"/>
          <w:color w:val="000000"/>
          <w:sz w:val="13"/>
        </w:rPr>
        <w:t>(12)</w:t>
      </w:r>
      <w:r>
        <w:rPr>
          <w:rFonts w:ascii="Arial;sans-serif" w:hAnsi="Arial;sans-serif"/>
          <w:b w:val="false"/>
          <w:color w:val="000000"/>
          <w:sz w:val="20"/>
        </w:rPr>
        <w:t xml:space="preserve">. We also present Adjusted Operating Income margin, which is subject to the same adjustments as Adjusted Operating Income. We also evaluate growth in our Adjusted Operating Income on a constant currency basis </w:t>
      </w:r>
      <w:r>
        <w:rPr>
          <w:rFonts w:ascii="Arial;sans-serif" w:hAnsi="Arial;sans-serif"/>
          <w:b w:val="false"/>
          <w:color w:val="000000"/>
          <w:sz w:val="13"/>
        </w:rPr>
        <w:t>(4)</w:t>
      </w:r>
      <w:r>
        <w:rPr>
          <w:rFonts w:ascii="Arial;sans-serif" w:hAnsi="Arial;sans-serif"/>
          <w:b w:val="false"/>
          <w:color w:val="000000"/>
          <w:sz w:val="20"/>
        </w:rPr>
        <w:t>. We believe these measures provide improved comparability of underlying operating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is defined as diluted EPS attributable to Mondelēz International (the most comparable U.S. GAAP financial measure) from continuing operations excluding, when they occur, the impacts of the items listed in the Adjusted Operating Income definition as well as gains or losses on debt extinguishment and related expenses; gains or losses on interest rate swaps no longer designated as accounting cash flow hedges due to changed financing and hedging plans; gains or losses on marketable securities transactions </w:t>
      </w:r>
      <w:r>
        <w:rPr>
          <w:rFonts w:ascii="Arial;sans-serif" w:hAnsi="Arial;sans-serif"/>
          <w:b w:val="false"/>
          <w:color w:val="000000"/>
          <w:sz w:val="13"/>
        </w:rPr>
        <w:t>(13)</w:t>
      </w:r>
      <w:r>
        <w:rPr>
          <w:rFonts w:ascii="Arial;sans-serif" w:hAnsi="Arial;sans-serif"/>
          <w:b w:val="false"/>
          <w:color w:val="000000"/>
          <w:sz w:val="20"/>
        </w:rPr>
        <w:t xml:space="preserve">; initial impacts from enacted tax law changes </w:t>
      </w:r>
      <w:r>
        <w:rPr>
          <w:rFonts w:ascii="Arial;sans-serif" w:hAnsi="Arial;sans-serif"/>
          <w:b w:val="false"/>
          <w:color w:val="000000"/>
          <w:sz w:val="13"/>
        </w:rPr>
        <w:t>(14)</w:t>
      </w:r>
      <w:r>
        <w:rPr>
          <w:rFonts w:ascii="Arial;sans-serif" w:hAnsi="Arial;sans-serif"/>
          <w:b w:val="false"/>
          <w:color w:val="000000"/>
          <w:sz w:val="20"/>
        </w:rPr>
        <w:t xml:space="preserve">; and gains or losses on equity method investment transactions </w:t>
      </w:r>
      <w:r>
        <w:rPr>
          <w:rFonts w:ascii="Arial;sans-serif" w:hAnsi="Arial;sans-serif"/>
          <w:b w:val="false"/>
          <w:color w:val="000000"/>
          <w:sz w:val="13"/>
        </w:rPr>
        <w:t>(15)</w:t>
      </w:r>
      <w:r>
        <w:rPr>
          <w:rFonts w:ascii="Arial;sans-serif" w:hAnsi="Arial;sans-serif"/>
          <w:b w:val="false"/>
          <w:color w:val="000000"/>
          <w:sz w:val="20"/>
        </w:rPr>
        <w:t xml:space="preserve">. We also evaluate growth in our Adjusted EPS on a constant currency basis </w:t>
      </w:r>
      <w:r>
        <w:rPr>
          <w:rFonts w:ascii="Arial;sans-serif" w:hAnsi="Arial;sans-serif"/>
          <w:b w:val="false"/>
          <w:color w:val="000000"/>
          <w:sz w:val="13"/>
        </w:rPr>
        <w:t>(4)</w:t>
      </w:r>
      <w:r>
        <w:rPr>
          <w:rFonts w:ascii="Arial;sans-serif" w:hAnsi="Arial;sans-serif"/>
          <w:b w:val="false"/>
          <w:color w:val="000000"/>
          <w:sz w:val="20"/>
        </w:rPr>
        <w:t>. We believe Adjusted EPS provides improved comparability of underlying operating results.</w:t>
      </w:r>
    </w:p>
    <w:p>
      <w:pPr>
        <w:pStyle w:val="TextBody"/>
        <w:bidi w:val="0"/>
        <w:spacing w:before="0" w:after="0"/>
        <w:jc w:val="both"/>
        <w:rPr/>
      </w:pPr>
      <w:r>
        <w:rPr/>
      </w:r>
    </w:p>
    <w:p>
      <w:pPr>
        <w:pStyle w:val="TextBody"/>
        <w:bidi w:val="0"/>
        <w:spacing w:lineRule="auto" w:line="256"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(1)When items no longer impact our current or future presentation of non-GAAP operating results, we remove these items from our non-GAAP definitions.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(2)Divestiture-related items include operating results from divestitures, divestiture-related costs and gains/(losses) on divestitures. Divestitures include completed sales of businesses, exits of major product lines upon completion of a sale or licensing agreement, the partial or full sales of an equity method investment and changes from equity method investment accounting to accounting for marketable securities. Divestiture-related costs include costs incurred in relation to the preparation and completion of our divestitures (including one-time costs such as severance related to elimination of stranded costs) as well as costs incurred associated with our publicly announced processes to sell businesses.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(3)We exclude the operating results from short-term distributor agreements that have been executed in conjunction with the sale of a business. We exclude this item to better facilitate comparisons of our underlying operating performance across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92785"/>
                <wp:effectExtent l="0" t="0" r="0" b="0"/>
                <wp:wrapNone/>
                <wp:docPr id="126" name="Frame4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5"/>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6"/>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(4)We evaluate the operating performance of the company and its international subsidiaries on a constant currency basis. The company's non-GAAP measures presented on a constant currency basis exclude the effects of currency translation rate changes and, beginning in the first quarter of 2024, extreme pricing increases in Argentina. We determine constant currency operating results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(5)Simplify to Grow Program reflects restructuring charges incurred under the company’s Simplify to Grow Program to reduce both its supply chain and overhead costs. It comprises charges, such as severance, asset write-downs, and other costs of implementing that program, partially offset by gains on sales of assets disposed of in connection with the program. The company completed its Simplify to Grow Program in the fourth quarter of 2024. Following the completion of the program any adjustments to the liability of previously recorded charges will be reflected here. </w:t>
      </w:r>
    </w:p>
    <w:p>
      <w:pPr>
        <w:pStyle w:val="TextBody"/>
        <w:bidi w:val="0"/>
        <w:spacing w:lineRule="auto" w:line="288" w:before="0" w:after="0"/>
        <w:ind w:left="0" w:right="0" w:hanging="360"/>
        <w:jc w:val="both"/>
        <w:rPr/>
      </w:pPr>
      <w:r>
        <w:rPr>
          <w:rFonts w:ascii="Arial;sans-serif" w:hAnsi="Arial;sans-serif"/>
          <w:b w:val="false"/>
          <w:color w:val="000000"/>
          <w:sz w:val="16"/>
        </w:rPr>
        <w:t xml:space="preserve">(6)Acquisition-related items include acquisition-related costs, acquisition integration costs and contingent consideration adjustments, inventory step-ups and gains from acquisitions. Acquisition-related costs include third-party advisor, investment banking and legal fees, one-time compensation expense related to the buyout of non-vested employee stock ownership plan shares and realized gains or losses from hedging activities associated with acquisition funds. Acquisition integration costs and contingent consideration adjustments include one-time costs related to the integration of acquisitions as well as any adjustments made to contingent compensation liabilities for earn-outs related to acquisitions that do not relate to recurring employee compensation expense. See Note 8, </w:t>
      </w:r>
      <w:r>
        <w:rPr>
          <w:rFonts w:ascii="Arial;sans-serif" w:hAnsi="Arial;sans-serif"/>
          <w:b w:val="false"/>
          <w:i/>
          <w:color w:val="000000"/>
          <w:sz w:val="16"/>
        </w:rPr>
        <w:t>Financial Instruments - Fair Value of Contingent Consideration</w:t>
      </w:r>
      <w:r>
        <w:rPr>
          <w:color w:val="000000"/>
        </w:rPr>
        <w:t xml:space="preserve"> </w:t>
      </w:r>
      <w:r>
        <w:rPr>
          <w:rFonts w:ascii="Arial;sans-serif" w:hAnsi="Arial;sans-serif"/>
          <w:b w:val="false"/>
          <w:color w:val="000000"/>
          <w:sz w:val="16"/>
        </w:rPr>
        <w:t>for additional information. Other acquisition-related items include incremental costs from inventory step-ups associated with acquired companies related to the fair market valuation of the acquired inventory and acquisition gains, when they occur, from the remeasurement of an existing noncontrolling investment to fair value when the company acquires the remaining equity shares of the investee. We exclude these items to better facilitate comparisons of our underlying operating performance across periods.</w:t>
      </w:r>
    </w:p>
    <w:p>
      <w:pPr>
        <w:pStyle w:val="TextBody"/>
        <w:bidi w:val="0"/>
        <w:spacing w:lineRule="auto" w:line="288" w:before="0" w:after="0"/>
        <w:ind w:left="0" w:right="0" w:hanging="360"/>
        <w:jc w:val="both"/>
        <w:rPr/>
      </w:pPr>
      <w:r>
        <w:rPr>
          <w:rFonts w:ascii="Arial;sans-serif" w:hAnsi="Arial;sans-serif"/>
          <w:b w:val="false"/>
          <w:color w:val="000000"/>
          <w:sz w:val="16"/>
        </w:rPr>
        <w:t xml:space="preserve">(7)In connection with our applying highly inflationary accounting (refer to Note 1, </w:t>
      </w:r>
      <w:r>
        <w:rPr>
          <w:rFonts w:ascii="Arial;sans-serif" w:hAnsi="Arial;sans-serif"/>
          <w:b w:val="false"/>
          <w:i/>
          <w:color w:val="000000"/>
          <w:sz w:val="16"/>
        </w:rPr>
        <w:t>Basis of Presentation</w:t>
      </w:r>
      <w:r>
        <w:rPr>
          <w:rFonts w:ascii="Arial;sans-serif" w:hAnsi="Arial;sans-serif"/>
          <w:b w:val="false"/>
          <w:color w:val="000000"/>
          <w:sz w:val="16"/>
        </w:rPr>
        <w:t>) for Argentina, Türkiye, Egypt and Nigeria, we exclude the related remeasurement gains or losses related to remeasuring net monetary assets or liabilities denominated in the local currency to the U.S. dollar during the periods presented and the realized gains and losses from derivatives that mitigate the foreign currency volatility related to the remeasurement of the respective net monetary assets or liabilities during the periods presented.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(8)We exclude unrealized gains and losses (mark-to-market impacts) from commodity and foreign currency 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(9)In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(10)In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We have cooperated with the investigation and reached a negotiated resolution to this matter. We subsequently adjusted our accrual accordingly and fulfilled our payment obligation in August 2024. Due to the unique nature of this matter, we believe it to be infrequent and unusual and therefore exclude it to better facilitate comparisons of our underlying operating performance across periods. Refer to Note 10, </w:t>
      </w:r>
      <w:r>
        <w:rPr>
          <w:rFonts w:ascii="Arial;sans-serif" w:hAnsi="Arial;sans-serif"/>
          <w:b w:val="false"/>
          <w:i/>
          <w:color w:val="000000"/>
          <w:sz w:val="16"/>
        </w:rPr>
        <w:t xml:space="preserve">Commitments and Contingencies,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(11)The impact from pension participation changes represents the charges incurred, primarily gains or losses from pension curtailments or settlements as well as other costs incurred when employee groups are withdrawn from multiemployer pension plans. We exclude these charges from our non-GAAP results because those amounts do not reflect our ongoing pension obligations. See Note 9, </w:t>
      </w:r>
      <w:r>
        <w:rPr>
          <w:rFonts w:ascii="Arial;sans-serif" w:hAnsi="Arial;sans-serif"/>
          <w:b w:val="false"/>
          <w:i/>
          <w:color w:val="000000"/>
          <w:sz w:val="16"/>
        </w:rPr>
        <w:t>Benefit Plans</w:t>
      </w:r>
      <w:r>
        <w:rPr>
          <w:rFonts w:ascii="Arial;sans-serif" w:hAnsi="Arial;sans-serif"/>
          <w:b w:val="false"/>
          <w:color w:val="000000"/>
          <w:sz w:val="16"/>
        </w:rPr>
        <w:t>, for additional information on the multiemployer pension plan withdrawal.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(12)In July 2024, our Board of Directors approved funding of $1.2 billion for a multi-year systems transformation program to upgrade our global ERP and supply chain systems (the “ERP System Implementation”), which is comprised of both capital expenditures and operating expenses, of which a majority is expected to be operating expenses. The ERP System Implementation program will be implemented in several phases with spending occurring over the next four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 These operating expenses will be excluded from our non-GAAP financial measures as they are nonrecurring and excluding those costs will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(13)We exclude mark-to-market unrealized gains or losses associated with our marketable securities as well as realized gains from sales of our marketable securities from our non-GAAP earnings measures. These marketable securities gains or losses are not indicative of underlying operations and are excluded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(14)We have excluded the initial impacts from enacted tax law changes. Initial impacts include items such as the remeasurement of deferred tax balances and transition taxes from tax reforms. We exclude initial impacts from enacted tax law changes from our Adjusted EPS as they do not reflect our ongoing tax obligations under the enacted tax law. </w:t>
      </w:r>
    </w:p>
    <w:p>
      <w:pPr>
        <w:pStyle w:val="TextBody"/>
        <w:bidi w:val="0"/>
        <w:spacing w:lineRule="auto" w:line="288" w:before="0" w:after="0"/>
        <w:ind w:left="0" w:right="0" w:hanging="360"/>
        <w:jc w:val="both"/>
        <w:rPr/>
      </w:pPr>
      <w:r>
        <w:rPr>
          <w:rFonts w:ascii="Arial;sans-serif" w:hAnsi="Arial;sans-serif"/>
          <w:b w:val="false"/>
          <w:color w:val="000000"/>
          <w:sz w:val="16"/>
        </w:rPr>
        <w:t xml:space="preserve">(15)We exclude gains and losses on partial or full sales of equity method investments as well as impairments of those investments. In addition, we also exclude from our non-GAAP financial measures any gains or losses realized on economic hedges of sales proceeds from our equity method investment transactions, which have been recorded in </w:t>
      </w:r>
      <w:r>
        <w:rPr>
          <w:rFonts w:ascii="Arial;sans-serif" w:hAnsi="Arial;sans-serif"/>
          <w:b w:val="false"/>
          <w:i/>
          <w:color w:val="000000"/>
          <w:sz w:val="16"/>
        </w:rPr>
        <w:t>Interest and other expense, net</w:t>
      </w:r>
      <w:r>
        <w:rPr>
          <w:rFonts w:ascii="Arial;sans-serif" w:hAnsi="Arial;sans-serif"/>
          <w:b w:val="false"/>
          <w:color w:val="000000"/>
          <w:sz w:val="16"/>
        </w:rPr>
        <w:t>. These items are not indicative of underlying operations and are excluded to better facilitate comparisons of our underlying operating performance across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92785"/>
                <wp:effectExtent l="0" t="0" r="0" b="0"/>
                <wp:wrapNone/>
                <wp:docPr id="129" name="Frame4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We believe that the presentation of these non-GAAP financial measures, when considered together with our U.S. GAAP financial measures and the reconciliations to the corresponding U.S. GAAP financial measures, provides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that have an impact on our U.S. GAAP reported results. The best way this limitation can be addressed is by evaluating our non-GAAP financial measures in combination with our U.S. GAAP reported results and carefully evaluating the tables that reconcile U.S. GAAP reported figures to the non-GAAP financial measures in this Form 10-Q, which can be found above under </w:t>
      </w:r>
      <w:r>
        <w:rPr>
          <w:rFonts w:ascii="Arial;sans-serif" w:hAnsi="Arial;sans-serif"/>
          <w:b w:val="false"/>
          <w:i/>
          <w:color w:val="000000"/>
          <w:sz w:val="20"/>
        </w:rPr>
        <w:t>Consolidated Results of Operations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92785"/>
                <wp:effectExtent l="0" t="0" r="0" b="0"/>
                <wp:wrapNone/>
                <wp:docPr id="132" name="Frame4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9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8,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for additional information on our debt activity, see Note 7, </w:t>
      </w:r>
      <w:r>
        <w:rPr>
          <w:rFonts w:ascii="Arial;sans-serif" w:hAnsi="Arial;sans-serif"/>
          <w:b w:val="false"/>
          <w:i/>
          <w:color w:val="000000"/>
          <w:sz w:val="20"/>
        </w:rPr>
        <w:t>Debt and Borrowing Arrangements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additional information on our strategies, policies and practices on an ongoing basis, refer to our Annual Report on Form 10-K 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2025. Based on this evaluation, the CEO and CFO concluded that our disclosure controls and procedures were effective as of March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together with our CEO and CFO, evaluated the changes in our internal control over financial reporting during the quarter ended March 31, 2025. There were no material changes in our internal control over financial reporting during the quarter ended March 31, 2025, that have materially affected, or are reasonably likely to materially affect, our internal control over financial reporting.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92785"/>
                <wp:effectExtent l="0" t="0" r="0" b="0"/>
                <wp:wrapNone/>
                <wp:docPr id="135" name="Frame4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1"/>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2"/>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Information regarding legal proceedings is available in Note 10, </w:t>
      </w:r>
      <w:r>
        <w:rPr>
          <w:rFonts w:ascii="Arial;sans-serif" w:hAnsi="Arial;sans-serif"/>
          <w:b w:val="false"/>
          <w:i/>
          <w:color w:val="000000"/>
          <w:sz w:val="20"/>
        </w:rPr>
        <w:t>Commitments and Contingencies</w:t>
      </w:r>
      <w:r>
        <w:rPr>
          <w:rFonts w:ascii="Arial;sans-serif" w:hAnsi="Arial;sans-serif"/>
          <w:b w:val="false"/>
          <w:color w:val="000000"/>
          <w:sz w:val="20"/>
        </w:rPr>
        <w:t>, to the condensed consolidated financial statements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material changes to the risk factors disclosed in our Annual Report on Form 10-K for the year ended December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stock repurchase activity for each of the three months in the quarter ended March 31, 2025 was:</w:t>
      </w:r>
    </w:p>
    <w:tbl>
      <w:tblPr>
        <w:tblW w:w="10205" w:type="dxa"/>
        <w:jc w:val="left"/>
        <w:tblInd w:w="0" w:type="dxa"/>
        <w:tblLayout w:type="fixed"/>
        <w:tblCellMar>
          <w:top w:w="28" w:type="dxa"/>
          <w:left w:w="28" w:type="dxa"/>
          <w:bottom w:w="28" w:type="dxa"/>
          <w:right w:w="28" w:type="dxa"/>
        </w:tblCellMar>
      </w:tblPr>
      <w:tblGrid>
        <w:gridCol w:w="790"/>
        <w:gridCol w:w="630"/>
        <w:gridCol w:w="433"/>
        <w:gridCol w:w="563"/>
        <w:gridCol w:w="563"/>
        <w:gridCol w:w="327"/>
        <w:gridCol w:w="109"/>
        <w:gridCol w:w="109"/>
        <w:gridCol w:w="109"/>
        <w:gridCol w:w="217"/>
        <w:gridCol w:w="666"/>
        <w:gridCol w:w="113"/>
        <w:gridCol w:w="109"/>
        <w:gridCol w:w="109"/>
        <w:gridCol w:w="109"/>
        <w:gridCol w:w="563"/>
        <w:gridCol w:w="563"/>
        <w:gridCol w:w="511"/>
        <w:gridCol w:w="109"/>
        <w:gridCol w:w="109"/>
        <w:gridCol w:w="109"/>
        <w:gridCol w:w="684"/>
        <w:gridCol w:w="2096"/>
        <w:gridCol w:w="505"/>
      </w:tblGrid>
      <w:tr>
        <w:trPr/>
        <w:tc>
          <w:tcPr>
            <w:tcW w:w="79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Period</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bidi w:val="0"/>
              <w:spacing w:lineRule="auto" w:line="240" w:before="0" w:after="0"/>
              <w:jc w:val="center"/>
              <w:rPr/>
            </w:pPr>
            <w:r>
              <w:rPr>
                <w:rFonts w:ascii="Arial;sans-serif" w:hAnsi="Arial;sans-serif"/>
                <w:b/>
                <w:color w:val="000000"/>
                <w:sz w:val="16"/>
              </w:rPr>
              <w:t xml:space="preserve">Purchased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40" w:before="0" w:after="0"/>
              <w:jc w:val="center"/>
              <w:rPr/>
            </w:pPr>
            <w:r>
              <w:rPr>
                <w:rFonts w:ascii="Arial;sans-serif" w:hAnsi="Arial;sans-serif"/>
                <w:b/>
                <w:color w:val="000000"/>
                <w:sz w:val="16"/>
              </w:rPr>
              <w:t>per Share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 Purchased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Part of Publicly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Announced Plans</w:t>
            </w:r>
          </w:p>
          <w:p>
            <w:pPr>
              <w:pStyle w:val="TableContents"/>
              <w:bidi w:val="0"/>
              <w:spacing w:lineRule="auto" w:line="240" w:before="0" w:after="0"/>
              <w:jc w:val="center"/>
              <w:rPr/>
            </w:pPr>
            <w:r>
              <w:rPr>
                <w:rFonts w:ascii="Arial;sans-serif" w:hAnsi="Arial;sans-serif"/>
                <w:b/>
                <w:color w:val="000000"/>
                <w:sz w:val="16"/>
              </w:rPr>
              <w:t xml:space="preserve">or Programs </w:t>
            </w:r>
            <w:r>
              <w:rPr>
                <w:rFonts w:ascii="Arial;sans-serif" w:hAnsi="Arial;sans-serif"/>
                <w:b/>
                <w:color w:val="000000"/>
                <w:sz w:val="10"/>
              </w:rPr>
              <w:t>(2)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of Shares That May Yet Be Purchased Under the Plans or Programs </w:t>
            </w:r>
            <w:r>
              <w:rPr>
                <w:rFonts w:ascii="Arial;sans-serif" w:hAnsi="Arial;sans-serif"/>
                <w:b/>
                <w:color w:val="000000"/>
                <w:sz w:val="10"/>
              </w:rPr>
              <w:t>(2)</w:t>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1-31, 2025</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24,391,743 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24,388,192 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7,592 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1-28, 2025</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373,450 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1-31, 2025</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744,342 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741,252 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7,545 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 Ended March 31, 2025</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25,509,535 </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25,129,444 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3,551 shares, 373,450 shares and 3,090 shares for the fiscal months of January, February and March 2025, respectively.</w:t>
      </w:r>
    </w:p>
    <w:p>
      <w:pPr>
        <w:pStyle w:val="TextBody"/>
        <w:bidi w:val="0"/>
        <w:spacing w:lineRule="auto" w:line="288" w:before="0" w:after="0"/>
        <w:ind w:left="0" w:right="0" w:hanging="360"/>
        <w:jc w:val="both"/>
        <w:rPr/>
      </w:pPr>
      <w:r>
        <w:rPr>
          <w:rFonts w:ascii="Arial;sans-serif" w:hAnsi="Arial;sans-serif"/>
          <w:b w:val="false"/>
          <w:color w:val="000000"/>
          <w:sz w:val="16"/>
        </w:rPr>
        <w:t xml:space="preserve">(2)Dollar values stated in millions. Effective January 1, 2025, our Board of Directors authorized a program for the repurchase of up to $9.0 billion of our Common Stock through December 31, 2027, excluding excise tax. During the three months ended March 31, 2025, we repurchased $1.5 billion, and as of March 31, 2025, we had approximately $7.5 billion share repurchase authorization remaining. See related information in Note 11, </w:t>
      </w:r>
      <w:r>
        <w:rPr>
          <w:rFonts w:ascii="Arial;sans-serif" w:hAnsi="Arial;sans-serif"/>
          <w:b w:val="false"/>
          <w:i/>
          <w:color w:val="000000"/>
          <w:sz w:val="16"/>
        </w:rPr>
        <w:t>Stock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(3)Our share repurchases in excess of issuances are subject to a 1% excise tax enacted by the Inflation Reduction Act. Any excise tax incurred on share repurchases is recognized as part of the cost basis of the shares acquired.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 Insider Trading Arrangements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March 31, 2025, no such plans or other arrangements were adopted or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92785"/>
                <wp:effectExtent l="0" t="0" r="0" b="0"/>
                <wp:wrapNone/>
                <wp:docPr id="138" name="Frame4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3"/>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4"/>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832"/>
        <w:gridCol w:w="2578"/>
        <w:gridCol w:w="367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Registrant agrees to furnish to the SEC upon request copies of any instruments defining the rights of holders of long-term debt of the Registrant and its consolidated subsidiaries that does not exceed 10 percent of the total assets of the Registrant and its consolidated subsidiaries.</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Arial;sans-serif" w:hAnsi="Arial;sans-serif"/>
                  <w:b w:val="false"/>
                  <w:color w:val="0000FF"/>
                  <w:sz w:val="20"/>
                  <w:u w:val="single"/>
                </w:rPr>
                <w:t>364 Day Revolving Credit Agreement, dated as of February 19, 2025, by and among Mondelēz International, Inc., the lenders named therein, and JPMorgan Chase Bank, N.A., as Administrative Agent (incorporated by reference to Exhibit 10.1 to the Registrants Current Report on Form 8-K filed with the SEC on February 20, 2025)</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6">
              <w:r>
                <w:rPr>
                  <w:rStyle w:val="InternetLink"/>
                  <w:rFonts w:ascii="Arial;sans-serif" w:hAnsi="Arial;sans-serif"/>
                  <w:b w:val="false"/>
                  <w:color w:val="0000FF"/>
                  <w:sz w:val="20"/>
                  <w:u w:val="single"/>
                </w:rPr>
                <w:t>Five Year Revolving Credit Agreement, dated as of February 19, 2025, by and among Mondelēz International, Inc., the lenders named therein, and JPMorgan Chase Bank, N.A., ., as Administrative Agent (incorporated by reference to Exhibit 10.2 to the Registrants Current Report on Form 8-K filed with the SEC on February 20, 2025).</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3_33125.htm">
              <w:r>
                <w:rPr>
                  <w:rStyle w:val="InternetLink"/>
                  <w:rFonts w:ascii="Arial;sans-serif" w:hAnsi="Arial;sans-serif"/>
                  <w:b w:val="false"/>
                  <w:color w:val="0000FF"/>
                  <w:sz w:val="20"/>
                  <w:u w:val="single"/>
                </w:rPr>
                <w:t>2025 Form of Mondelēz International, Inc. 2024 Performance Incentive Plan Non-Qualified Global Stock Options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4_33125.htm">
              <w:r>
                <w:rPr>
                  <w:rStyle w:val="InternetLink"/>
                  <w:rFonts w:ascii="Arial;sans-serif" w:hAnsi="Arial;sans-serif"/>
                  <w:b w:val="false"/>
                  <w:color w:val="0000FF"/>
                  <w:sz w:val="20"/>
                  <w:u w:val="single"/>
                </w:rPr>
                <w:t>2025 Form of Mondelēz International, Inc. 2024 Performance Incentive Plan Global Long-Term Incentive Grant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5_33125.htm">
              <w:r>
                <w:rPr>
                  <w:rStyle w:val="InternetLink"/>
                  <w:rFonts w:ascii="Arial;sans-serif" w:hAnsi="Arial;sans-serif"/>
                  <w:b w:val="false"/>
                  <w:color w:val="0000FF"/>
                  <w:sz w:val="20"/>
                  <w:u w:val="single"/>
                </w:rPr>
                <w:t>2025 Form of Mondelēz International, Inc. 2024 Performance Incentive Plan Global Deferred Stock Unit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33125.htm">
              <w:r>
                <w:rPr>
                  <w:rStyle w:val="InternetLink"/>
                  <w:rFonts w:ascii="Arial;sans-serif" w:hAnsi="Arial;sans-serif"/>
                  <w:b w:val="false"/>
                  <w:color w:val="0000FF"/>
                  <w:sz w:val="20"/>
                  <w:u w:val="single"/>
                </w:rPr>
                <w:t>Certification of Chief Executive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33125.htm">
              <w:r>
                <w:rPr>
                  <w:rStyle w:val="InternetLink"/>
                  <w:rFonts w:ascii="Arial;sans-serif" w:hAnsi="Arial;sans-serif"/>
                  <w:b w:val="false"/>
                  <w:color w:val="0000FF"/>
                  <w:sz w:val="20"/>
                  <w:u w:val="single"/>
                </w:rPr>
                <w:t>Certification of Chief Financial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33125.htm">
              <w:r>
                <w:rPr>
                  <w:rStyle w:val="InternetLink"/>
                  <w:rFonts w:ascii="Arial;sans-serif" w:hAnsi="Arial;sans-serif"/>
                  <w:b w:val="false"/>
                  <w:color w:val="0000FF"/>
                  <w:sz w:val="20"/>
                  <w:u w:val="single"/>
                </w:rPr>
                <w:t>Certifications of Chief Executive Officer and Chief Financial Officer pursuant to 18 U.S.C. 1350, as adopted pursuant to Section 906 of the Sarbanes-Oxley Act of 2002.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The following materials from Mondelēz International’s Quarterly Report on Form 10-Q for the quarter ended March 31, 2025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 </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cover page from Mondelēz International’s Quarterly Report on Form 10-Q for the quarter ended March 31, 2025, formatted in Inline XBRL (included as Exhibit 101).</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Arial;sans-serif" w:hAnsi="Arial;sans-serif"/>
                <w:b w:val="false"/>
                <w:color w:val="000000"/>
                <w:sz w:val="20"/>
              </w:rPr>
              <w:t>+ Indicates a management contract or compensatory plan or arrangement.</w:t>
            </w:r>
          </w:p>
        </w:tc>
      </w:tr>
    </w:tbl>
    <w:p>
      <w:pPr>
        <w:pStyle w:val="TextBody"/>
        <w:bidi w:val="0"/>
        <w:spacing w:before="100" w:after="283"/>
        <w:jc w:val="left"/>
        <w:rPr/>
      </w:pPr>
      <w:r>
        <w:rPr/>
      </w:r>
    </w:p>
    <w:p>
      <w:pPr>
        <w:pStyle w:val="TextBody"/>
        <w:bidi w:val="0"/>
        <w:spacing w:before="0" w:after="0"/>
        <w:ind w:left="0" w:right="0" w:firstLine="14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92785"/>
                <wp:effectExtent l="0" t="0" r="0" b="0"/>
                <wp:wrapNone/>
                <wp:docPr id="141" name="Frame4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7"/>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8"/>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1d8bfc794f14b219e06259497fe7d8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376" w:type="dxa"/>
        <w:jc w:val="left"/>
        <w:tblInd w:w="0" w:type="dxa"/>
        <w:tblLayout w:type="fixed"/>
        <w:tblCellMar>
          <w:top w:w="28" w:type="dxa"/>
          <w:left w:w="28" w:type="dxa"/>
          <w:bottom w:w="28" w:type="dxa"/>
          <w:right w:w="28" w:type="dxa"/>
        </w:tblCellMar>
      </w:tblPr>
      <w:tblGrid>
        <w:gridCol w:w="1081"/>
        <w:gridCol w:w="950"/>
        <w:gridCol w:w="134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MONDELĒZ INTERNATIONAL, INC.</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LUCA ZARAMELLA</w:t>
            </w:r>
          </w:p>
        </w:tc>
      </w:tr>
      <w:tr>
        <w:trPr/>
        <w:tc>
          <w:tcPr>
            <w:tcW w:w="3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(Duly Authorized Officer)</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2025</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92785"/>
                <wp:effectExtent l="0" t="0" r="0" b="0"/>
                <wp:wrapNone/>
                <wp:docPr id="144" name="Frame4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9"/>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481.35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100"/>
                                          <a:stretch>
                                            <a:fillRect/>
                                          </a:stretch>
                                        </pic:blipFill>
                                        <pic:spPr bwMode="auto">
                                          <a:xfrm>
                                            <a:off x="0" y="0"/>
                                            <a:ext cx="314325" cy="20955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10.3</w:t>
      </w:r>
    </w:p>
    <w:p>
      <w:pPr>
        <w:pStyle w:val="TextBody"/>
        <w:bidi w:val="0"/>
        <w:spacing w:lineRule="atLeast" w:line="264"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bidi w:val="0"/>
        <w:spacing w:lineRule="atLeast" w:line="264" w:before="0" w:after="240"/>
        <w:jc w:val="left"/>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Optionee</w:t>
      </w:r>
      <w:r>
        <w:rPr>
          <w:color w:val="000000"/>
        </w:rPr>
        <w:t>”</w:t>
      </w:r>
      <w:r>
        <w:rPr>
          <w:rFonts w:ascii="Times New Roman;sans-serif" w:hAnsi="Times New Roman;sans-serif"/>
          <w:b w:val="false"/>
          <w:color w:val="000000"/>
          <w:sz w:val="22"/>
        </w:rPr>
        <w:t>) identified in the award statement provided to the Optionee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under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non-qualified stock options (the “</w:t>
      </w:r>
      <w:r>
        <w:rPr>
          <w:rFonts w:ascii="Times New Roman;sans-serif" w:hAnsi="Times New Roman;sans-serif"/>
          <w:b w:val="false"/>
          <w:color w:val="000000"/>
          <w:sz w:val="22"/>
          <w:u w:val="single"/>
        </w:rPr>
        <w:t>Option</w:t>
      </w:r>
      <w:r>
        <w:rPr>
          <w:color w:val="000000"/>
        </w:rPr>
        <w:t>”</w:t>
      </w:r>
      <w:r>
        <w:rPr>
          <w:rFonts w:ascii="Times New Roman;sans-serif" w:hAnsi="Times New Roman;sans-serif"/>
          <w:b w:val="false"/>
          <w:color w:val="000000"/>
          <w:sz w:val="22"/>
        </w:rPr>
        <w:t>). The Option entitles the Optionee to exercise options for up to the aggregate number of shares set forth in the Award Statement (the “</w:t>
      </w:r>
      <w:r>
        <w:rPr>
          <w:rFonts w:ascii="Times New Roman;sans-serif" w:hAnsi="Times New Roman;sans-serif"/>
          <w:b w:val="false"/>
          <w:color w:val="000000"/>
          <w:sz w:val="22"/>
          <w:u w:val="single"/>
        </w:rPr>
        <w:t>Option Shares</w:t>
      </w:r>
      <w:r>
        <w:rPr>
          <w:color w:val="000000"/>
        </w:rPr>
        <w:t>”</w:t>
      </w:r>
      <w:r>
        <w:rPr>
          <w:rFonts w:ascii="Times New Roman;sans-serif" w:hAnsi="Times New Roman;sans-serif"/>
          <w:b w:val="false"/>
          <w:color w:val="000000"/>
          <w:sz w:val="22"/>
        </w:rPr>
        <w:t>) of the Company’s Common Stock, at the price per share set forth in the Award Statement (the “</w:t>
      </w:r>
      <w:r>
        <w:rPr>
          <w:rFonts w:ascii="Times New Roman;sans-serif" w:hAnsi="Times New Roman;sans-serif"/>
          <w:b w:val="false"/>
          <w:color w:val="000000"/>
          <w:sz w:val="22"/>
          <w:u w:val="single"/>
        </w:rPr>
        <w:t>Grant Price</w:t>
      </w:r>
      <w:r>
        <w:rPr>
          <w:color w:val="000000"/>
        </w:rPr>
        <w:t>”</w:t>
      </w:r>
      <w:r>
        <w:rPr>
          <w:rFonts w:ascii="Times New Roman;sans-serif" w:hAnsi="Times New Roman;sans-serif"/>
          <w:b w:val="false"/>
          <w:color w:val="000000"/>
          <w:sz w:val="22"/>
        </w:rPr>
        <w:t>). Capitalized terms not otherwise defined in this Non-Qualified Global Stock Option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333" w:before="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The Option is subject to the following terms and conditions (including the country-specific terms set forth in Appendix A to this Agreement):</w:t>
      </w:r>
    </w:p>
    <w:p>
      <w:pPr>
        <w:pStyle w:val="TextBody"/>
        <w:bidi w:val="0"/>
        <w:spacing w:lineRule="auto" w:line="333" w:before="0" w:after="240"/>
        <w:ind w:left="0" w:right="0" w:firstLine="360"/>
        <w:jc w:val="left"/>
        <w:rPr>
          <w:rFonts w:ascii="Times New Roman;sans-serif" w:hAnsi="Times New Roman;sans-serif"/>
          <w:b/>
          <w:color w:val="000000"/>
          <w:sz w:val="22"/>
        </w:rPr>
      </w:pPr>
      <w:r>
        <w:rPr>
          <w:rFonts w:ascii="Times New Roman;sans-serif" w:hAnsi="Times New Roman;sans-serif"/>
          <w:b/>
          <w:color w:val="000000"/>
          <w:sz w:val="22"/>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pStyle w:val="TextBody"/>
        <w:bidi w:val="0"/>
        <w:spacing w:lineRule="auto" w:line="333" w:before="0" w:after="240"/>
        <w:ind w:left="0" w:right="0" w:firstLine="45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this Option may not be exercised before the vesting requirements (“</w:t>
      </w:r>
      <w:r>
        <w:rPr>
          <w:rFonts w:ascii="Times New Roman;sans-serif" w:hAnsi="Times New Roman;sans-serif"/>
          <w:b w:val="false"/>
          <w:color w:val="000000"/>
          <w:sz w:val="22"/>
          <w:u w:val="single"/>
        </w:rPr>
        <w:t>Vesting Requirements</w:t>
      </w:r>
      <w:r>
        <w:rPr>
          <w:color w:val="000000"/>
        </w:rPr>
        <w:t>”</w:t>
      </w:r>
      <w:r>
        <w:rPr>
          <w:rFonts w:ascii="Times New Roman;sans-serif" w:hAnsi="Times New Roman;sans-serif"/>
          <w:b w:val="false"/>
          <w:color w:val="000000"/>
          <w:sz w:val="22"/>
        </w:rPr>
        <w:t>) set forth in the schedule to the Award Statement (the “</w:t>
      </w:r>
      <w:r>
        <w:rPr>
          <w:rFonts w:ascii="Times New Roman;sans-serif" w:hAnsi="Times New Roman;sans-serif"/>
          <w:b w:val="false"/>
          <w:color w:val="000000"/>
          <w:sz w:val="22"/>
          <w:u w:val="single"/>
        </w:rPr>
        <w:t>Schedule</w:t>
      </w:r>
      <w:r>
        <w:rPr>
          <w:color w:val="000000"/>
        </w:rPr>
        <w:t>”</w:t>
      </w:r>
      <w:r>
        <w:rPr>
          <w:rFonts w:ascii="Times New Roman;sans-serif" w:hAnsi="Times New Roman;sans-serif"/>
          <w:b w:val="false"/>
          <w:color w:val="000000"/>
          <w:sz w:val="22"/>
        </w:rPr>
        <w:t>) have been satisfied.</w:t>
      </w:r>
    </w:p>
    <w:p>
      <w:pPr>
        <w:pStyle w:val="TextBody"/>
        <w:bidi w:val="0"/>
        <w:spacing w:lineRule="atLeast" w:line="264" w:before="0" w:after="240"/>
        <w:ind w:left="0" w:right="0" w:firstLine="45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Vesting Upon Termination of Employment</w:t>
      </w:r>
      <w:r>
        <w:rPr>
          <w:rFonts w:ascii="Times New Roman;sans-serif" w:hAnsi="Times New Roman;sans-serif"/>
          <w:b w:val="false"/>
          <w:color w:val="000000"/>
          <w:sz w:val="22"/>
        </w:rPr>
        <w:t xml:space="preserve">.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 </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Optionee’s death or Disability (as defined below in paragraph 15), then this Option will become immediately exercisable for 100% of the Option Shares identified in the Award Statement; or </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(b)     the Optionee’s Retirement (as defined below in paragraph 15) occurring at least 180 days after the date of grant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pStyle w:val="TextBody"/>
        <w:bidi w:val="0"/>
        <w:spacing w:lineRule="atLeast" w:line="264" w:before="0" w:after="240"/>
        <w:ind w:left="0" w:right="0" w:firstLine="45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Exercisability Upon Termination of Employment from the Mondelēz Group</w:t>
      </w:r>
      <w:r>
        <w:rPr>
          <w:rFonts w:ascii="Times New Roman;sans-serif" w:hAnsi="Times New Roman;sans-serif"/>
          <w:b w:val="false"/>
          <w:color w:val="000000"/>
          <w:sz w:val="22"/>
        </w:rPr>
        <w:t xml:space="preserve">. During the period commencing on the first date that the Vesting Requirements are satisfied (or, such earlier date determined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96240"/>
                <wp:effectExtent l="0" t="0" r="0" b="0"/>
                <wp:wrapNone/>
                <wp:docPr id="147" name="Frame5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tLeast" w:line="264" w:before="0" w:after="240"/>
        <w:jc w:val="left"/>
        <w:rPr/>
      </w:pPr>
      <w:r>
        <w:rPr>
          <w:rFonts w:ascii="Times New Roman;sans-serif" w:hAnsi="Times New Roman;sans-serif"/>
          <w:b w:val="false"/>
          <w:color w:val="000000"/>
          <w:sz w:val="22"/>
        </w:rPr>
        <w:t>in accordance with paragraph 2) until the close of the market on the expiration date set forth in the Schedule (“</w:t>
      </w:r>
      <w:r>
        <w:rPr>
          <w:rFonts w:ascii="Times New Roman;sans-serif" w:hAnsi="Times New Roman;sans-serif"/>
          <w:b w:val="false"/>
          <w:color w:val="000000"/>
          <w:sz w:val="22"/>
          <w:u w:val="single"/>
        </w:rPr>
        <w:t>Expiration Date</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Date), this Option may be exercised in whole or in part with respect to such Option Shares, subject to the following provisions:</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In the event that the Optionee’s employment terminates by reason of Retirement, death or Disability, such Option may be exercised on or prior to the Expiration Date;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(b)    If employment is terminated by the Optionee (other than by Retirement, death or Disability), such Option may be exercised until the close of the market 90 days from the effective date of termination (the “</w:t>
      </w:r>
      <w:r>
        <w:rPr>
          <w:rFonts w:ascii="Times New Roman;sans-serif" w:hAnsi="Times New Roman;sans-serif"/>
          <w:b w:val="false"/>
          <w:color w:val="000000"/>
          <w:sz w:val="22"/>
          <w:u w:val="single"/>
        </w:rPr>
        <w:t>90-Day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90-Day Period);</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(c)    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Times New Roman;sans-serif" w:hAnsi="Times New Roman;sans-serif"/>
          <w:b w:val="false"/>
          <w:color w:val="000000"/>
          <w:sz w:val="22"/>
          <w:u w:val="single"/>
        </w:rPr>
        <w:t>12-Month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12-Month Period); and</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If the Optionee’s employment is involuntarily suspended or terminated by the Mondelēz Group for Cause, the Option shall be forfeited.</w:t>
      </w:r>
    </w:p>
    <w:p>
      <w:pPr>
        <w:pStyle w:val="TextBody"/>
        <w:bidi w:val="0"/>
        <w:spacing w:lineRule="atLeast" w:line="264" w:before="0" w:after="240"/>
        <w:jc w:val="left"/>
        <w:rPr/>
      </w:pPr>
      <w:r>
        <w:rPr>
          <w:color w:val="000000"/>
        </w:rPr>
        <w:t>        </w:t>
      </w:r>
      <w:r>
        <w:rPr>
          <w:rFonts w:ascii="Times New Roman;sans-serif" w:hAnsi="Times New Roman;sans-serif"/>
          <w:b w:val="false"/>
          <w:color w:val="000000"/>
          <w:sz w:val="22"/>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Times New Roman;sans-serif" w:hAnsi="Times New Roman;sans-serif"/>
          <w:b w:val="false"/>
          <w:color w:val="000000"/>
          <w:sz w:val="22"/>
          <w:u w:val="single"/>
        </w:rPr>
        <w:t>Exchange</w:t>
      </w:r>
      <w:r>
        <w:rPr>
          <w:color w:val="000000"/>
        </w:rPr>
        <w:t>”</w:t>
      </w:r>
      <w:r>
        <w:rPr>
          <w:rFonts w:ascii="Times New Roman;sans-serif" w:hAnsi="Times New Roman;sans-serif"/>
          <w:b w:val="false"/>
          <w:color w:val="000000"/>
          <w:sz w:val="22"/>
        </w:rPr>
        <w:t>) is open. Accordingly, if the Expiration Date (or the expiration of the 90-Day Period and/or the 12-Month Period) is a day the Exchange is closed, the Expiration Date (or the expiration of the 90-Day Period and/or the 12-Month Period) shall be the immediately preceding day on which the Exchange is open.</w:t>
      </w:r>
    </w:p>
    <w:p>
      <w:pPr>
        <w:pStyle w:val="TextBody"/>
        <w:bidi w:val="0"/>
        <w:spacing w:lineRule="auto" w:line="333" w:before="0" w:after="240"/>
        <w:ind w:left="0" w:right="0" w:firstLine="45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Exercise of Option and Withholding Taxes</w:t>
      </w:r>
      <w:r>
        <w:rPr>
          <w:rFonts w:ascii="Times New Roman;sans-serif" w:hAnsi="Times New Roman;sans-serif"/>
          <w:b w:val="false"/>
          <w:color w:val="000000"/>
          <w:sz w:val="22"/>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96240"/>
                <wp:effectExtent l="0" t="0" r="0" b="0"/>
                <wp:wrapNone/>
                <wp:docPr id="148" name="Frame5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(a)to the extent permitted by applicable law, by cash, check or cash equivalent; </w:t>
      </w:r>
    </w:p>
    <w:p>
      <w:pPr>
        <w:pStyle w:val="TextBody"/>
        <w:bidi w:val="0"/>
        <w:spacing w:lineRule="auto" w:line="333"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(b)consideration received by the Company from a cashless exercise through a licensed securities broker acceptable to the Company; </w:t>
      </w:r>
    </w:p>
    <w:p>
      <w:pPr>
        <w:pStyle w:val="TextBody"/>
        <w:bidi w:val="0"/>
        <w:spacing w:lineRule="auto" w:line="333"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(c)if the Optionee is a U.S. taxpayer or if permitted by the Committee, by surrender of shares of Common Stock previously owned by the Optionee which meet the conditions established by the Committee; or</w:t>
      </w:r>
    </w:p>
    <w:p>
      <w:pPr>
        <w:pStyle w:val="TextBody"/>
        <w:bidi w:val="0"/>
        <w:spacing w:lineRule="auto" w:line="333"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(d)any other methods approved by the Committee and permitted by applicable laws.</w:t>
      </w:r>
    </w:p>
    <w:p>
      <w:pPr>
        <w:pStyle w:val="TextBody"/>
        <w:bidi w:val="0"/>
        <w:spacing w:lineRule="auto" w:line="333" w:before="0" w:after="240"/>
        <w:jc w:val="left"/>
        <w:rPr/>
      </w:pPr>
      <w:r>
        <w:rPr>
          <w:color w:val="000000"/>
        </w:rPr>
        <w:t>        </w:t>
      </w:r>
      <w:r>
        <w:rPr>
          <w:rFonts w:ascii="Times New Roman;sans-serif" w:hAnsi="Times New Roman;sans-serif"/>
          <w:b w:val="false"/>
          <w:color w:val="000000"/>
          <w:sz w:val="22"/>
        </w:rPr>
        <w:t>The Optionee acknowledges that, regardless of any action taken by the Company or, if different, the Optionee’s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pStyle w:val="TextBody"/>
        <w:bidi w:val="0"/>
        <w:spacing w:lineRule="atLeast" w:line="264" w:before="0" w:after="240"/>
        <w:jc w:val="left"/>
        <w:rPr>
          <w:color w:val="000000"/>
        </w:rPr>
      </w:pPr>
      <w:r>
        <w:rPr>
          <w:color w:val="000000"/>
        </w:rPr>
        <w:t>    </w:t>
      </w:r>
      <w:r>
        <w:rPr>
          <w:rFonts w:ascii="Times New Roman;sans-serif" w:hAnsi="Times New Roman;sans-serif"/>
          <w:b w:val="false"/>
          <w:color w:val="000000"/>
          <w:sz w:val="22"/>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pStyle w:val="TextBody"/>
        <w:bidi w:val="0"/>
        <w:spacing w:lineRule="auto" w:line="333" w:before="0" w:after="240"/>
        <w:jc w:val="left"/>
        <w:rPr>
          <w:color w:val="000000"/>
        </w:rPr>
      </w:pPr>
      <w:r>
        <w:rPr>
          <w:color w:val="000000"/>
        </w:rPr>
        <w:t>    </w:t>
      </w:r>
      <w:r>
        <w:rPr>
          <w:rFonts w:ascii="Times New Roman;sans-serif" w:hAnsi="Times New Roman;sans-serif"/>
          <w:b w:val="false"/>
          <w:color w:val="000000"/>
          <w:sz w:val="22"/>
        </w:rPr>
        <w:t xml:space="preserve">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96240"/>
                <wp:effectExtent l="0" t="0" r="0" b="0"/>
                <wp:wrapNone/>
                <wp:docPr id="149" name="Frame5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 refund of any over-withheld amount in cash and will have no entitlement to the equivalent shares of Common Stock or, if not refunded, the Optionee may be able to seek a refund from the applicable tax authorities. In the event of under-withholding, the Optionee may be required to pay any additional Tax-Related Items directly to the applicable tax authority or to the Company and/or the Employer.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pStyle w:val="TextBody"/>
        <w:bidi w:val="0"/>
        <w:spacing w:lineRule="auto" w:line="333" w:before="0" w:after="240"/>
        <w:ind w:left="0" w:right="0" w:firstLine="45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Cash-Out of Option</w:t>
      </w:r>
      <w:r>
        <w:rPr>
          <w:rFonts w:ascii="Times New Roman;sans-serif" w:hAnsi="Times New Roman;sans-serif"/>
          <w:b w:val="false"/>
          <w:color w:val="000000"/>
          <w:sz w:val="22"/>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pStyle w:val="TextBody"/>
        <w:bidi w:val="0"/>
        <w:spacing w:lineRule="auto" w:line="333" w:before="0" w:after="240"/>
        <w:ind w:left="0" w:right="0" w:firstLine="45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Company’s chief human resources officer,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96240"/>
                <wp:effectExtent l="0" t="0" r="0" b="0"/>
                <wp:wrapNone/>
                <wp:docPr id="150" name="Frame5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Optionee,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tLeast" w:line="24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provisions contained herein in paragraph 6 are not in lieu of, but are in addition to, the Optionee’s confidentiality obligations to the Mondelēz Group.</w:t>
      </w:r>
    </w:p>
    <w:p>
      <w:pPr>
        <w:pStyle w:val="TextBody"/>
        <w:bidi w:val="0"/>
        <w:spacing w:before="0" w:after="0"/>
        <w:jc w:val="left"/>
        <w:rPr/>
      </w:pPr>
      <w:r>
        <w:rPr/>
      </w:r>
    </w:p>
    <w:p>
      <w:pPr>
        <w:pStyle w:val="TextBody"/>
        <w:bidi w:val="0"/>
        <w:spacing w:lineRule="atLeast" w:line="246" w:before="0" w:after="0"/>
        <w:ind w:left="0" w:right="0" w:firstLine="720"/>
        <w:jc w:val="left"/>
        <w:rPr/>
      </w:pPr>
      <w:r>
        <w:rPr>
          <w:rFonts w:ascii="Times New Roman;sans-serif" w:hAnsi="Times New Roman;sans-serif"/>
          <w:b w:val="false"/>
          <w:color w:val="000000"/>
          <w:sz w:val="22"/>
        </w:rPr>
        <w:t>(b)     The Optionee is under a continuing obligation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The Optionee understands and agrees that Confidential Information developed by the Optionee in the course of the Optionee’s employment by the Employer shall be subject to the terms and conditions of this Agreement as if the Employer furnished the same Confidential Information to the Optionee in the first instance.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By acceptance of any Grant (including the Option) under the Plan, the Optionee acknowledges and agrees that if the Optionee breaches any of the covenants set forth in paragraph 6: </w:t>
      </w:r>
    </w:p>
    <w:p>
      <w:pPr>
        <w:pStyle w:val="TextBody"/>
        <w:bidi w:val="0"/>
        <w:spacing w:before="0" w:after="0"/>
        <w:jc w:val="left"/>
        <w:rPr/>
      </w:pPr>
      <w:r>
        <w:rPr/>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portion of the Option) shall be immediately forfeited;</w:t>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96240"/>
                <wp:effectExtent l="0" t="0" r="0" b="0"/>
                <wp:wrapNone/>
                <wp:docPr id="151" name="Frame5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pStyle w:val="TextBody"/>
        <w:bidi w:val="0"/>
        <w:spacing w:lineRule="atLeast" w:line="246"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pStyle w:val="TextBody"/>
        <w:bidi w:val="0"/>
        <w:spacing w:before="0" w:after="0"/>
        <w:ind w:left="0" w:right="0" w:firstLine="720"/>
        <w:jc w:val="left"/>
        <w:rPr/>
      </w:pPr>
      <w:r>
        <w:rPr/>
      </w:r>
    </w:p>
    <w:p>
      <w:pPr>
        <w:pStyle w:val="TextBody"/>
        <w:bidi w:val="0"/>
        <w:spacing w:lineRule="auto" w:line="31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     The Optionee is hereby advised in writing to consult with an attorney before entering into the covenants outlined in this paragraph 6. The Optionee acknowledges that prior to acceptance of this Agreement, the Optionee has been advised by the Company of the Optionee’s right to seek independent advice from an attorney of the Optionee’s own selection regarding this Agreement, including the restraints imposed upon him or her pursuant to this paragraph 6. The Optionee acknowledges that they have entered into this Agreement knowingly and voluntarily and with full knowledge and understanding of the provisions of this Agreement after being given the opportunity to consult with counsel. The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96240"/>
                <wp:effectExtent l="0" t="0" r="0" b="0"/>
                <wp:wrapNone/>
                <wp:docPr id="152" name="Frame5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6</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6</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Optionee further represents that in entering into this Agreement, the Optionee is not relying on any statements or representations made by any of the Company’s directors, officers, employees or agents which are not expressly set forth herein, and that the Optionee is relying only upon their own judgment and any advice provided by the Optionee’s attorney. The Optionee acknowledges he or she has been provided at minimum 14 calendar days to review the provisions contained herein but may voluntarily waive this period and sign prior to the 14 calendar day period lapsing.</w:t>
      </w:r>
    </w:p>
    <w:p>
      <w:pPr>
        <w:pStyle w:val="TextBody"/>
        <w:bidi w:val="0"/>
        <w:spacing w:before="0" w:after="0"/>
        <w:jc w:val="left"/>
        <w:rPr/>
      </w:pPr>
      <w:r>
        <w:rPr/>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For purposes of this paragraph 6, the Company and any member of the Mondelēz Group shall be deemed to be third-party beneficiaries with the right to seek enforcement of any of the provisions of this paragraph 6. Further, for purposes of this paragraph 6, references to acting directly or indirectly include acting jointly with or through another person.</w:t>
      </w:r>
    </w:p>
    <w:p>
      <w:pPr>
        <w:pStyle w:val="TextBody"/>
        <w:bidi w:val="0"/>
        <w:spacing w:lineRule="auto" w:line="312" w:before="0" w:after="0"/>
        <w:ind w:left="0" w:right="0" w:firstLine="36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policies, the Optionee hereby expressly acknowledges and agrees that the Company shall have the right to reduce, cancel, or withhold against outstanding, unvested, vested, or future cash or equity-based compensation owed or due to the Optionee, to the maximum extent permitted under applicable law. No such recovery will be an event giving rise to a right to resign for Good Reason or be deemed a “constructive termination” (or any similar term) as such terms are used in any agreement between the Optionee and the Company or under any severance plans applicable to the Optionee.</w:t>
      </w:r>
    </w:p>
    <w:p>
      <w:pPr>
        <w:pStyle w:val="TextBody"/>
        <w:bidi w:val="0"/>
        <w:spacing w:before="0" w:after="0"/>
        <w:ind w:left="0" w:right="0" w:firstLine="720"/>
        <w:jc w:val="left"/>
        <w:rPr/>
      </w:pPr>
      <w:r>
        <w:rPr/>
      </w:r>
    </w:p>
    <w:p>
      <w:pPr>
        <w:pStyle w:val="TextBody"/>
        <w:bidi w:val="0"/>
        <w:spacing w:lineRule="auto" w:line="333" w:before="0" w:after="240"/>
        <w:ind w:left="0" w:right="0" w:firstLine="36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xml:space="preserve">. Unless otherwise required by law, this Option is not transferable or assignable by the Optionee in any manner other than by will or the laws of descent and distribution applicable to the Optionee and is exercisable during the Optionee’s lifetime only by the Optionee. </w:t>
      </w:r>
    </w:p>
    <w:p>
      <w:pPr>
        <w:pStyle w:val="TextBody"/>
        <w:bidi w:val="0"/>
        <w:spacing w:lineRule="atLeast" w:line="264" w:before="0" w:after="240"/>
        <w:ind w:left="0" w:right="0" w:firstLine="360"/>
        <w:jc w:val="left"/>
        <w:rPr/>
      </w:pPr>
      <w:r>
        <w:rPr>
          <w:rFonts w:ascii="Times New Roman;sans-serif" w:hAnsi="Times New Roman;sans-serif"/>
          <w:b w:val="false"/>
          <w:color w:val="000000"/>
          <w:sz w:val="22"/>
        </w:rPr>
        <w:t>9.</w:t>
      </w:r>
      <w:r>
        <w:rPr>
          <w:color w:val="000000"/>
        </w:rPr>
        <w:t xml:space="preserve">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xml:space="preserve">.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96240"/>
                <wp:effectExtent l="0" t="0" r="0" b="0"/>
                <wp:wrapNone/>
                <wp:docPr id="153" name="Frame5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7</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7</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firstLine="360"/>
        <w:jc w:val="left"/>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lineRule="auto" w:line="333" w:before="0" w:after="240"/>
        <w:ind w:left="0" w:right="0" w:firstLine="36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 </w:t>
      </w:r>
    </w:p>
    <w:p>
      <w:pPr>
        <w:pStyle w:val="TextBody"/>
        <w:bidi w:val="0"/>
        <w:spacing w:lineRule="atLeast" w:line="264" w:before="0" w:after="240"/>
        <w:ind w:left="0" w:right="0" w:firstLine="36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Grant Confers No Rights to Continued Employment - Nature of the Grant</w:t>
      </w:r>
      <w:r>
        <w:rPr>
          <w:rFonts w:ascii="Times New Roman;sans-serif" w:hAnsi="Times New Roman;sans-serif"/>
          <w:b w:val="false"/>
          <w:color w:val="000000"/>
          <w:sz w:val="22"/>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Group. The adoption and maintenance of the Plan shall not constitute an inducement to, or condition of, the employment of the Optionee. Further, the Optionee acknowledges, understands and agrees that:</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grant of the Option is exceptional, voluntary and occasional and does not create any contractual or other right to receive future grants of options, or benefits in lieu of options, even if options have been granted in the past; </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all decisions with respect to future option or other Grants, if any, will be at the sole discretion of the Committee; </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Optionee is voluntarily participating in the Plan;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96240"/>
                <wp:effectExtent l="0" t="0" r="0" b="0"/>
                <wp:wrapNone/>
                <wp:docPr id="154" name="Frame5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8</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8</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Option and the Option Shares subject to the Option, and the income and value of same, are not intended to replace any pension rights or compensation;</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 </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future value of the underlying shares of Common Stock is unknown, indeterminable and cannot be predicted; </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if the underlying shares of Common Stock do not increase in value, the Option will have no value;</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if the Optionee exercises the Option and obtains shares of Common Stock, the value of those shares of Common Stock acquired upon exercise may increase or decrease in value, even below the Grant Price; </w:t>
      </w:r>
    </w:p>
    <w:p>
      <w:pPr>
        <w:pStyle w:val="TextBody"/>
        <w:bidi w:val="0"/>
        <w:spacing w:lineRule="atLeast" w:line="264" w:before="0" w:after="240"/>
        <w:ind w:left="0" w:right="0" w:firstLine="81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 </w: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the Option is designated as not constituting an Incentive Stock Option; this Agreement shall be interpreted and treated consistently with such designation; </w:t>
      </w:r>
    </w:p>
    <w:p>
      <w:pPr>
        <w:pStyle w:val="TextBody"/>
        <w:bidi w:val="0"/>
        <w:spacing w:lineRule="auto" w:line="312" w:before="0" w:after="0"/>
        <w:ind w:left="0" w:right="0" w:firstLine="810"/>
        <w:jc w:val="left"/>
        <w:rPr/>
      </w:pPr>
      <w:r>
        <w:rPr>
          <w:rFonts w:ascii="Times New Roman;sans-serif" w:hAnsi="Times New Roman;sans-serif"/>
          <w:b w:val="false"/>
          <w:color w:val="000000"/>
          <w:sz w:val="22"/>
        </w:rPr>
        <w:t>(m)</w:t>
      </w:r>
      <w:r>
        <w:rPr>
          <w:rFonts w:ascii="Times New Roman;sans-serif" w:hAnsi="Times New Roman;sans-serif"/>
          <w:b w:val="false"/>
          <w:color w:val="000000"/>
          <w:sz w:val="22"/>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pStyle w:val="TextBody"/>
        <w:bidi w:val="0"/>
        <w:spacing w:before="0" w:after="0"/>
        <w:ind w:left="0" w:right="0" w:firstLine="1170"/>
        <w:jc w:val="left"/>
        <w:rPr/>
      </w:pPr>
      <w:r>
        <w:rPr/>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(n)</w:t>
      </w:r>
      <w:r>
        <w:rPr>
          <w:rFonts w:ascii="Times New Roman;sans-serif" w:hAnsi="Times New Roman;sans-serif"/>
          <w:b w:val="false"/>
          <w:color w:val="000000"/>
          <w:sz w:val="22"/>
        </w:rPr>
        <w:t>the Option and the shares of Common Stock subject to the Option, and the income and value of same, are not part of Optionee’s normal or expected compensation or salary for any purpose;</w:t>
      </w:r>
    </w:p>
    <w:p>
      <w:pPr>
        <w:pStyle w:val="TextBody"/>
        <w:bidi w:val="0"/>
        <w:spacing w:lineRule="atLeast" w:line="264" w:before="0" w:after="240"/>
        <w:ind w:left="0" w:right="0" w:firstLine="810"/>
        <w:jc w:val="left"/>
        <w:rPr/>
      </w:pPr>
      <w:r>
        <w:rPr>
          <w:rFonts w:ascii="Times New Roman;sans-serif" w:hAnsi="Times New Roman;sans-serif"/>
          <w:b w:val="false"/>
          <w:color w:val="000000"/>
          <w:sz w:val="22"/>
        </w:rPr>
        <w:t>(o)</w:t>
      </w:r>
      <w:r>
        <w:rPr>
          <w:rFonts w:ascii="Times New Roman;sans-serif" w:hAnsi="Times New Roman;sans-serif"/>
          <w:b w:val="false"/>
          <w:color w:val="000000"/>
          <w:sz w:val="22"/>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96240"/>
                <wp:effectExtent l="0" t="0" r="0" b="0"/>
                <wp:wrapNone/>
                <wp:docPr id="155" name="Frame5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9</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9</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firstLine="810"/>
        <w:jc w:val="left"/>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no claim or entitlement to compensation or damages shall arise from forfeiture of the Option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 xml:space="preserve">acquired under the Plan </w:t>
      </w:r>
      <w:r>
        <w:rPr>
          <w:rFonts w:ascii="Times New Roman;sans-serif" w:hAnsi="Times New Roman;sans-serif"/>
          <w:b w:val="false"/>
          <w:color w:val="000000"/>
          <w:sz w:val="22"/>
        </w:rPr>
        <w:t xml:space="preserve">resulting from (a)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tLeast" w:line="264" w:before="0" w:after="240"/>
        <w:ind w:left="0" w:right="0" w:firstLine="360"/>
        <w:jc w:val="left"/>
        <w:rPr/>
      </w:pPr>
      <w:r>
        <w:rPr>
          <w:rFonts w:ascii="Times New Roman;sans-serif" w:hAnsi="Times New Roman;sans-serif"/>
          <w:b w:val="false"/>
          <w:color w:val="000000"/>
          <w:sz w:val="22"/>
        </w:rPr>
        <w:t>13.</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Optionee’s participation in the Plan.</w:t>
      </w:r>
    </w:p>
    <w:p>
      <w:pPr>
        <w:pStyle w:val="TextBody"/>
        <w:bidi w:val="0"/>
        <w:spacing w:lineRule="atLeast" w:line="264"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pStyle w:val="TextBody"/>
        <w:bidi w:val="0"/>
        <w:spacing w:lineRule="auto" w:line="333" w:before="0" w:after="240"/>
        <w:ind w:left="0" w:right="0" w:firstLine="720"/>
        <w:jc w:val="left"/>
        <w:rPr/>
      </w:pPr>
      <w:r>
        <w:rPr>
          <w:rFonts w:ascii="Times New Roman;sans-serif" w:hAnsi="Times New Roman;sans-serif"/>
          <w:b/>
          <w:i/>
          <w:color w:val="000000"/>
          <w:sz w:val="22"/>
        </w:rPr>
        <w:t>The Optionee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96240"/>
                <wp:effectExtent l="0" t="0" r="0" b="0"/>
                <wp:wrapNone/>
                <wp:docPr id="156" name="Frame5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10</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10</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pStyle w:val="TextBody"/>
        <w:bidi w:val="0"/>
        <w:spacing w:lineRule="auto" w:line="333"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pStyle w:val="TextBody"/>
        <w:bidi w:val="0"/>
        <w:spacing w:lineRule="atLeast" w:line="264" w:before="0" w:after="240"/>
        <w:ind w:left="0" w:right="0" w:firstLine="270"/>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pStyle w:val="TextBody"/>
        <w:bidi w:val="0"/>
        <w:spacing w:lineRule="atLeast" w:line="264" w:before="0" w:after="240"/>
        <w:ind w:left="0" w:right="0" w:firstLine="270"/>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Miscellaneous Definitions</w:t>
      </w:r>
      <w:r>
        <w:rPr>
          <w:rFonts w:ascii="Times New Roman;sans-serif" w:hAnsi="Times New Roman;sans-serif"/>
          <w:b w:val="false"/>
          <w:color w:val="000000"/>
          <w:sz w:val="22"/>
        </w:rPr>
        <w:t>. 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the termination of employment on or after either (i) the date the Optionee is age 55</w:t>
      </w:r>
      <w:r>
        <w:rPr>
          <w:color w:val="000000"/>
        </w:rPr>
        <w:t xml:space="preserve"> </w:t>
      </w:r>
      <w:r>
        <w:rPr>
          <w:rFonts w:ascii="Times New Roman;sans-serif" w:hAnsi="Times New Roman;sans-serif"/>
          <w:b w:val="false"/>
          <w:color w:val="000000"/>
          <w:sz w:val="22"/>
        </w:rPr>
        <w:t>or older</w:t>
      </w:r>
      <w:r>
        <w:rPr>
          <w:color w:val="000000"/>
        </w:rPr>
        <w:t xml:space="preserve"> </w:t>
      </w:r>
      <w:r>
        <w:rPr>
          <w:rFonts w:ascii="Times New Roman;sans-serif" w:hAnsi="Times New Roman;sans-serif"/>
          <w:b w:val="false"/>
          <w:color w:val="000000"/>
          <w:sz w:val="22"/>
        </w:rPr>
        <w:t>with at least ten (10) or more years of active continuous employment with the Mondelēz Group or (ii) the date the Optionee is age 65 or older with at least five (5) or more years of active continuous employment with the Mondelēz Group.</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xml:space="preserve">. The Optionee acknowledges that he or she is sufficiently proficient in English, or, alternatively, the Optionee acknowledges that he or she will seek appropriate assistance, to understand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96240"/>
                <wp:effectExtent l="0" t="0" r="0" b="0"/>
                <wp:wrapNone/>
                <wp:docPr id="157" name="Frame6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11</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11</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terms and conditions in the Agreement. Furthermore, if this Agreement or any other document related to the Plan is translated into a language other than English and if the meaning of the translated version is different from the English version, the English version will control, unless otherwise required by applicable law.</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96240"/>
                <wp:effectExtent l="0" t="0" r="0" b="0"/>
                <wp:wrapNone/>
                <wp:docPr id="158" name="Frame6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12</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12</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Optionee may be subject to insider trading and/or market abuse laws which may affect the Optionee’s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pStyle w:val="TextBody"/>
        <w:bidi w:val="0"/>
        <w:spacing w:lineRule="atLeast" w:line="264" w:before="0" w:after="240"/>
        <w:ind w:left="0" w:right="0" w:firstLine="270"/>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In addition, the Optionee agrees to take any and all actions required by the Company, any other entity in the Mondelēz Group or the local laws, rules and regulations in the Optionee’s country of residence (and country of employment, if different) that may be required to comply with such laws, rules and regulations. The Optionee acknowledges that it is the Optionee’s responsibility to be compliant with such regulations, and the Optionee should consult his or her personal legal advisor for any details.</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96240"/>
                <wp:effectExtent l="0" t="0" r="0" b="0"/>
                <wp:wrapNone/>
                <wp:docPr id="159" name="Frame6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13</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13</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pStyle w:val="TextBody"/>
        <w:bidi w:val="0"/>
        <w:spacing w:lineRule="auto" w:line="333" w:before="0" w:after="240"/>
        <w:ind w:left="0" w:right="0" w:firstLine="270"/>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bidi w:val="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96240"/>
                <wp:effectExtent l="0" t="0" r="0" b="0"/>
                <wp:wrapNone/>
                <wp:docPr id="160" name="Frame6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14</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14</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333"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pStyle w:val="TextBody"/>
        <w:bidi w:val="0"/>
        <w:spacing w:before="0" w:after="0"/>
        <w:jc w:val="both"/>
        <w:rPr/>
      </w:pPr>
      <w:r>
        <w:rPr/>
      </w:r>
    </w:p>
    <w:p>
      <w:pPr>
        <w:pStyle w:val="TextBody"/>
        <w:bidi w:val="0"/>
        <w:spacing w:lineRule="auto" w:line="333"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240" w:after="283"/>
        <w:jc w:val="both"/>
        <w:rPr/>
      </w:pPr>
      <w:r>
        <w:rPr/>
      </w:r>
    </w:p>
    <w:tbl>
      <w:tblPr>
        <w:tblW w:w="3855" w:type="dxa"/>
        <w:jc w:val="left"/>
        <w:tblInd w:w="0" w:type="dxa"/>
        <w:tblLayout w:type="fixed"/>
        <w:tblCellMar>
          <w:top w:w="28" w:type="dxa"/>
          <w:left w:w="28" w:type="dxa"/>
          <w:bottom w:w="28" w:type="dxa"/>
          <w:right w:w="28" w:type="dxa"/>
        </w:tblCellMar>
      </w:tblPr>
      <w:tblGrid>
        <w:gridCol w:w="1234"/>
        <w:gridCol w:w="1085"/>
        <w:gridCol w:w="1536"/>
      </w:tblGrid>
      <w:tr>
        <w:trPr/>
        <w:tc>
          <w:tcPr>
            <w:tcW w:w="1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/s/ Laura Stein</w:t>
            </w:r>
          </w:p>
        </w:tc>
      </w:tr>
      <w:tr>
        <w:trPr/>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Corporate &amp;</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Legal Affairs, General Counsel and </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Secretary</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100" w:after="100"/>
        <w:jc w:val="center"/>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96240"/>
                <wp:effectExtent l="0" t="0" r="0" b="0"/>
                <wp:wrapNone/>
                <wp:docPr id="161" name="Frame6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15</w:t>
                            </w:r>
                            <w:r>
                              <w:br w:type="page"/>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15</w:t>
                      </w:r>
                    </w:p>
                    <w:p>
                      <w:pPr>
                        <w:pStyle w:val="TextBody"/>
                        <w:bidi w:val="0"/>
                        <w:spacing w:lineRule="auto" w:line="360" w:before="0" w:after="0"/>
                        <w:jc w:val="left"/>
                        <w:rPr>
                          <w:rFonts w:ascii="Palatino;serif" w:hAnsi="Palatino;serif"/>
                          <w:b w:val="false"/>
                          <w:color w:val="000000"/>
                          <w:sz w:val="18"/>
                        </w:rPr>
                      </w:pPr>
                      <w:r>
                        <w:rPr>
                          <w:rFonts w:ascii="Palatino;serif" w:hAnsi="Palatino;serif"/>
                          <w:b w:val="false"/>
                          <w:color w:val="000000"/>
                          <w:sz w:val="18"/>
                        </w:rPr>
                        <w:t>February 12, 2025</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tLeast" w:line="264"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bidi w:val="0"/>
        <w:spacing w:lineRule="auto" w:line="333" w:before="0" w:after="240"/>
        <w:jc w:val="left"/>
        <w:rPr/>
      </w:pPr>
      <w:r>
        <w:rPr>
          <w:rFonts w:ascii="Times New Roman;sans-serif" w:hAnsi="Times New Roman;sans-serif"/>
          <w:b w:val="false"/>
          <w:color w:val="000000"/>
          <w:sz w:val="22"/>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2025.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pStyle w:val="TextBody"/>
        <w:bidi w:val="0"/>
        <w:spacing w:lineRule="auto" w:line="333"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EUROPEAN UNION / EUROPEAN ECONOMIC AREA, SWITZERLAND AND THE UNITED KINGDOM</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lineRule="atLeast" w:line="246"/>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Optionee is based in the European Union (“EU”), the European Economic Area, Switzerland or the United Kingdom, the Optionee should note that Mondelēz International, Inc., with registered address at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94335"/>
                <wp:effectExtent l="0" t="0" r="0" b="0"/>
                <wp:wrapNone/>
                <wp:docPr id="162" name="Frame6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16</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16</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tLeast" w:line="24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905 West Fulton Market, Suite 200, Chicago, Illinois 60607, U.S.A. is the controller responsible for the processing of the Optionee’s Personal Data (as defined below) in connection with the Agreement and the Plan.</w:t>
      </w:r>
    </w:p>
    <w:p>
      <w:pPr>
        <w:pStyle w:val="TextBody"/>
        <w:bidi w:val="0"/>
        <w:spacing w:before="7" w:after="283"/>
        <w:jc w:val="both"/>
        <w:rPr/>
      </w:pPr>
      <w:r>
        <w:rPr/>
      </w:r>
    </w:p>
    <w:p>
      <w:pPr>
        <w:pStyle w:val="TextBody"/>
        <w:bidi w:val="0"/>
        <w:spacing w:lineRule="atLeast" w:line="264"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 </w:t>
      </w:r>
    </w:p>
    <w:p>
      <w:pPr>
        <w:pStyle w:val="TextBody"/>
        <w:bidi w:val="0"/>
        <w:spacing w:lineRule="auto" w:line="312" w:before="0" w:after="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xml:space="preserve">.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Morgan Stanley, PricewaterhouseCoopers LLP or KPMG LLP with such agreement being a condition to the Optionee’s ability to participate in the Plan. </w:t>
      </w:r>
    </w:p>
    <w:p>
      <w:pPr>
        <w:pStyle w:val="TextBody"/>
        <w:bidi w:val="0"/>
        <w:spacing w:lineRule="auto" w:line="333" w:before="0" w:after="240"/>
        <w:jc w:val="left"/>
        <w:rPr/>
      </w:pPr>
      <w:r>
        <w:rPr>
          <w:rFonts w:ascii="Times New Roman;sans-serif" w:hAnsi="Times New Roman;sans-serif"/>
          <w:b w:val="false"/>
          <w:color w:val="000000"/>
          <w:sz w:val="22"/>
        </w:rPr>
        <w:t xml:space="preserve">The Optionee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94335"/>
                <wp:effectExtent l="0" t="0" r="0" b="0"/>
                <wp:wrapNone/>
                <wp:docPr id="163" name="Frame6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17</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17</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lineRule="auto" w:line="333"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352"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Argentina,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pStyle w:val="TextBody"/>
        <w:bidi w:val="0"/>
        <w:spacing w:lineRule="auto" w:line="333" w:before="0" w:after="24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Notwithstanding anything to the contrary in the Agreement, paragraph 6 of the Agreement will not apply to Argentinian Optionees.</w:t>
      </w:r>
    </w:p>
    <w:p>
      <w:pPr>
        <w:pStyle w:val="TextBody"/>
        <w:bidi w:val="0"/>
        <w:spacing w:lineRule="auto" w:line="333"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12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94335"/>
                <wp:effectExtent l="0" t="0" r="0" b="0"/>
                <wp:wrapNone/>
                <wp:docPr id="164" name="Frame6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18</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18</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Optionee acknowledges and agrees that such benefits shall not accrue more frequently than on each vesting date.</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the Option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xml:space="preserve">). Neither this Agreement nor any other offering material related to the Option nor the underlying shares of Common Stock may be utilized in connection with any general offering to the public in Argentina.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is solely responsible for complying with the exchange control rules that may apply in 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352"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Australian Offer Document. </w:t>
      </w:r>
      <w:r>
        <w:rPr>
          <w:rFonts w:ascii="Times New Roman;sans-serif" w:hAnsi="Times New Roman;sans-serif"/>
          <w:b w:val="false"/>
          <w:color w:val="000000"/>
          <w:sz w:val="22"/>
        </w:rPr>
        <w:t xml:space="preserve">This offer is being made under Division 1A, Part 7.12 of the Corporations Act 2001 (Cth). The Optionee’s right to participate in the Plan and receive the grant of the Option under the Plan is subject to the terms and conditions as stated in the ESS Offer Document, the Plan and the Agreement. By accepting the grant of the Option, the Optionee acknowledges and confirms that the Optionee has received these documents. </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 certain threshold (currently, AUD10,000) and for international fund transfers. If an Australian bank is assisting with the transaction, the bank will file the report on the Optionee’s behalf, otherwise the Optionee will be responsible for complying with any exchange control reporting requirements.</w:t>
      </w:r>
    </w:p>
    <w:p>
      <w:pPr>
        <w:pStyle w:val="TextBody"/>
        <w:bidi w:val="0"/>
        <w:spacing w:lineRule="auto" w:line="333"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94335"/>
                <wp:effectExtent l="0" t="0" r="0" b="0"/>
                <wp:wrapNone/>
                <wp:docPr id="165" name="Frame6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19</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19</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Optionee must report the securities held on a quarterly basis to the Austrian National Bank as of the last day of the quarter, on or before the 15th day of the month following the end of the calendar quarter. Where the cash amounts held outside of Austria meet or exceed a certain threshold, monthly reporting obligations apply as explained in the next paragraph.</w:t>
      </w:r>
    </w:p>
    <w:p>
      <w:pPr>
        <w:pStyle w:val="TextBody"/>
        <w:bidi w:val="0"/>
        <w:spacing w:lineRule="auto" w:line="333" w:before="0" w:after="240"/>
        <w:jc w:val="left"/>
        <w:rPr/>
      </w:pPr>
      <w:r>
        <w:rPr>
          <w:rFonts w:ascii="Times New Roman;sans-serif" w:hAnsi="Times New Roman;sans-serif"/>
          <w:b w:val="false"/>
          <w:color w:val="000000"/>
          <w:sz w:val="22"/>
        </w:rPr>
        <w:t>If the Optionee sells shares of Common Stock, or receives any cash dividends, the Optionee may have exchange control obligations if the Optionee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352"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94335"/>
                <wp:effectExtent l="0" t="0" r="0" b="0"/>
                <wp:wrapNone/>
                <wp:docPr id="166" name="Frame6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20</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20</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Tax Considerations.</w:t>
      </w:r>
      <w:r>
        <w:rPr>
          <w:color w:val="000000"/>
        </w:rPr>
        <w:t xml:space="preserve"> </w:t>
      </w:r>
      <w:r>
        <w:rPr>
          <w:rFonts w:ascii="Times New Roman;sans-serif" w:hAnsi="Times New Roman;sans-serif"/>
          <w:b w:val="false"/>
          <w:color w:val="000000"/>
          <w:sz w:val="22"/>
        </w:rPr>
        <w:t>The Option must be accepted in writing either (i) within 60 days of the offer (for tax at offer), or (ii) after 60 days of the 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pStyle w:val="TextBody"/>
        <w:bidi w:val="0"/>
        <w:spacing w:lineRule="auto" w:line="333" w:before="0" w:after="240"/>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xml:space="preserve">. A stock exchange tax applies to transactions executed by Belgian residents through a non-Belgian financial intermediary, such as a U.S. broker. The stock exchange tax will apply when shares of Common Stock acquired upon exercise of the Options are sold. </w:t>
      </w:r>
    </w:p>
    <w:p>
      <w:pPr>
        <w:pStyle w:val="TextBody"/>
        <w:bidi w:val="0"/>
        <w:spacing w:lineRule="auto" w:line="333" w:before="0" w:after="240"/>
        <w:jc w:val="left"/>
        <w:rPr/>
      </w:pPr>
      <w:r>
        <w:rPr>
          <w:rFonts w:ascii="Times New Roman;sans-serif" w:hAnsi="Times New Roman;sans-serif"/>
          <w:b/>
          <w:color w:val="000000"/>
          <w:sz w:val="22"/>
        </w:rPr>
        <w:t xml:space="preserve">Annual Securities Accounts Tax. </w:t>
      </w:r>
      <w:r>
        <w:rPr>
          <w:rFonts w:ascii="Times New Roman;sans-serif" w:hAnsi="Times New Roman;sans-serif"/>
          <w:b w:val="false"/>
          <w:color w:val="000000"/>
          <w:sz w:val="22"/>
        </w:rPr>
        <w:t>An annual securities accounts tax may be payable if the total average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352"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Option, the Optionee acknowledges that he or she agrees to comply with applicable Brazilian laws and pay any and all applicable Tax-Related Items associated with the exercise of the Option, the receipt of any dividends and the sale of shares of Common Stock acquired under the Plan. </w:t>
      </w:r>
    </w:p>
    <w:p>
      <w:pPr>
        <w:pStyle w:val="TextBody"/>
        <w:bidi w:val="0"/>
        <w:spacing w:lineRule="auto" w:line="333" w:before="0" w:after="240"/>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Option, the Optionee understands, acknowledges and agrees that, for all legal purposes (i) the Optionee is making an investment decision and (ii) the value of the underlying shares of Common Stock are not fixed and may increase or decrease in value over the vesting period without compensation to the Optionee.</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94335"/>
                <wp:effectExtent l="0" t="0" r="0" b="0"/>
                <wp:wrapNone/>
                <wp:docPr id="167" name="Frame7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21</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21</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Individuals who are resident or domiciled in Brazil are generally required to submit an annual declaration of assets and rights held outside Brazil to the Central Bank of Brazil if the aggregate value of such assets and rights is greater than a certain threshold (currently, US$1,000,000). If such amount is equal to or greater than a certain threshold (currently,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333"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Payments to foreign countries (including payment of the Grant Price) and the repatriation of funds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exercises the Option through a cash purchase exercise, in order to remit funds out of Bulgaria, he or she will need to declare the purpose of the remittance to the local bank that is transferring the funds abroad. If the amount the Optionee wishes to transfer exceeds a certain threshold (currently,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pStyle w:val="TextBody"/>
        <w:bidi w:val="0"/>
        <w:spacing w:lineRule="auto" w:line="333" w:before="0" w:after="240"/>
        <w:jc w:val="left"/>
        <w:rPr/>
      </w:pPr>
      <w:r>
        <w:rPr>
          <w:rFonts w:ascii="Times New Roman;sans-serif" w:hAnsi="Times New Roman;sans-serif"/>
          <w:b w:val="false"/>
          <w:color w:val="000000"/>
          <w:sz w:val="22"/>
        </w:rPr>
        <w:t>In addition, the Optionee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if the total sum of all such receivables and securities equals or exceeds a certain threshold (currently, BGN 50,000) as of the previous calendar year end. The reports are due by March 31.</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contact his or her bank in Bulgaria for additional information regarding these requirements.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Notwithstanding anything in the Plan or the Agreement to the contrary, the Optionee is prohibited from surrendering shares of Common Stock that he or she already owns or attesting to the ownership of shares of Common Stock to pay the Grant Price or any Tax-Related Items in connection with the Option.</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94335"/>
                <wp:effectExtent l="0" t="0" r="0" b="0"/>
                <wp:wrapNone/>
                <wp:docPr id="168" name="Frame7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22</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22</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Options granted to employees resident in Canada shall be paid in shares of Common Stock only.</w:t>
      </w:r>
    </w:p>
    <w:p>
      <w:pPr>
        <w:pStyle w:val="TextBody"/>
        <w:bidi w:val="0"/>
        <w:spacing w:lineRule="auto" w:line="333" w:before="0" w:after="240"/>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paragraphs 2 and 3(d) of the Agreement:</w:t>
      </w:r>
    </w:p>
    <w:p>
      <w:pPr>
        <w:pStyle w:val="TextBody"/>
        <w:bidi w:val="0"/>
        <w:spacing w:lineRule="atLeast" w:line="269" w:before="0" w:after="0"/>
        <w:jc w:val="left"/>
        <w:rPr/>
      </w:pPr>
      <w:r>
        <w:rPr>
          <w:rFonts w:ascii="Times New Roman;sans-serif" w:hAnsi="Times New Roman;sans-serif"/>
          <w:b w:val="false"/>
          <w:color w:val="000000"/>
          <w:sz w:val="22"/>
        </w:rPr>
        <w:t>Except as expressly required by applicable legislation, the Optionee’s employment with the Mondelēz Group shall be deemed to be terminated, vesting will terminate and the period remaining to exercise any Options will be measured effective as of the date the Optionee is no longer actually providing services to the Mondelēz Group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Termination Date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common/civil law or otherwise. The Committee shall have the exclusive discretion to determine when the Optionee is no longer actively employed or providing services and the termination date for purposes of the Agreement.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Optionee’s right to vest in the Option under the Plan, if any, will terminate effective as of the last day of the Optionee’s minimum statutory notice period. The Optionee will not earn or be entitled to pro-rated vesting for that portion of time before the date on which the Optionee’s right to vest terminates or if the vesting date falls after the end of the Optionee’s statutory notice period, nor will the Optionee be entitled to any compensation for lost vesting. For further clarity, any reference to the Optionee’s termination of employment or a termination date under this Agreement or the Plan will be interpreted to mean the Termination Date.</w:t>
      </w:r>
    </w:p>
    <w:p>
      <w:pPr>
        <w:pStyle w:val="TextBody"/>
        <w:bidi w:val="0"/>
        <w:spacing w:before="0" w:after="0"/>
        <w:jc w:val="left"/>
        <w:rPr/>
      </w:pPr>
      <w:r>
        <w:rPr/>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Optionees resident in Quebec:</w:t>
      </w:r>
    </w:p>
    <w:p>
      <w:pPr>
        <w:pStyle w:val="TextBody"/>
        <w:bidi w:val="0"/>
        <w:spacing w:lineRule="auto" w:line="333" w:before="0" w:after="24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acknowledges and agrees that the Optionee’s personal information, including sensitive personal information, may be transferred or disclosed outside of the Province of Quebec, including to the United States. The Optionee further authorizes the Mondelēz Group to record such information and to keep such information in his or her employee file. The Optionee also acknowledges and authorizes the Company and any subsidiary or affiliate or other parties involved in the administration of the Plan to use technology for profiling purposes and to make automated decisions that may have an impact on the Optionee or the administration of the Plan.</w:t>
      </w:r>
    </w:p>
    <w:p>
      <w:pPr>
        <w:pStyle w:val="TextBody"/>
        <w:bidi w:val="0"/>
        <w:spacing w:lineRule="auto" w:line="333" w:before="0" w:after="240"/>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French translation of the Plan and the Agreement can be made available to the Optionee as soon as reasonably practicable upon the Optionee’s request. The Optionee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94335"/>
                <wp:effectExtent l="0" t="0" r="0" b="0"/>
                <wp:wrapNone/>
                <wp:docPr id="169" name="Frame7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23</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23</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Optionee dès que raisonnablement possible à la demande de l' Optionee. Le Optionee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46" w:before="0" w:after="0"/>
        <w:jc w:val="left"/>
        <w:rPr/>
      </w:pPr>
      <w:r>
        <w:rPr>
          <w:rFonts w:ascii="Times New Roman;sans-serif" w:hAnsi="Times New Roman;sans-serif"/>
          <w:b/>
          <w:color w:val="000000"/>
          <w:sz w:val="22"/>
        </w:rPr>
        <w:t xml:space="preserve">Non-Qualified Securities. </w:t>
      </w:r>
      <w:r>
        <w:rPr>
          <w:rFonts w:ascii="Times New Roman;sans-serif" w:hAnsi="Times New Roman;sans-serif"/>
          <w:b w:val="false"/>
          <w:color w:val="000000"/>
          <w:sz w:val="22"/>
        </w:rPr>
        <w:t xml:space="preserve">All or a portion of the shares of Common Stock subject to the Option may be “non-qualified securities” within the meaning of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 xml:space="preserve">(Canada). The Mondelēz Group shall provide the Optionee with additional information and/or appropriate notification regarding the characterization of the Option for Canadian income tax purposes as may be required by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(Canada) and the regulations thereunder.</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Optionee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specified foreign property (including shares of Common Stock) annually on Form T1135 (Foreign Income Verification Statement) if the total cost of the Optionee’s specified foreign property exceeds a certain threshold (currently, C$100,000) at any time during the year. The form must be filed by April 30th of the following year. Specified foreign property includes shares of Common Stock acquired under the Plan and may include Options. The Options must be reported‒generally at a nil cost‒if the applicable cost threshold is exceeded because of other specified foreign property the Optionee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pStyle w:val="TextBody"/>
        <w:bidi w:val="0"/>
        <w:spacing w:lineRule="auto" w:line="312"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12"/>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offer of the Option constitutes a private offering of securities in Chile effective as of the Grant Date.</w:t>
      </w:r>
      <w:r>
        <w:rPr>
          <w:color w:val="000000"/>
        </w:rPr>
        <w:t xml:space="preserve"> </w:t>
      </w:r>
      <w:r>
        <w:rPr>
          <w:rFonts w:ascii="Times New Roman;sans-serif" w:hAnsi="Times New Roman;sans-serif"/>
          <w:b w:val="false"/>
          <w:color w:val="000000"/>
          <w:sz w:val="22"/>
        </w:rPr>
        <w:t>The offer of the Option is made subject to general ruling N° 336 of the Chilean Commission for the Financial Market (“</w:t>
      </w:r>
      <w:r>
        <w:rPr>
          <w:rFonts w:ascii="Times New Roman;sans-serif" w:hAnsi="Times New Roman;sans-serif"/>
          <w:b w:val="false"/>
          <w:color w:val="000000"/>
          <w:sz w:val="24"/>
          <w:u w:val="single"/>
        </w:rPr>
        <w:t>CMF</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offer refers to securities not registered at the securities registry or at the foreign securities registry of the CMF, and, therefore, such securities are not subject to oversight of the CMF.</w:t>
      </w:r>
      <w:r>
        <w:rPr>
          <w:color w:val="000000"/>
        </w:rPr>
        <w:t xml:space="preserve"> </w:t>
      </w:r>
      <w:r>
        <w:rPr>
          <w:rFonts w:ascii="Times New Roman;sans-serif" w:hAnsi="Times New Roman;sans-serif"/>
          <w:b w:val="false"/>
          <w:color w:val="000000"/>
          <w:sz w:val="22"/>
        </w:rPr>
        <w:t>Given that the Option is not registered in Chile, the Company is not required to provide public information about the Option or the shares of Common Stock in Chile.</w:t>
      </w:r>
      <w:r>
        <w:rPr>
          <w:color w:val="000000"/>
        </w:rPr>
        <w:t xml:space="preserve"> </w:t>
      </w:r>
      <w:r>
        <w:rPr>
          <w:rFonts w:ascii="Times New Roman;sans-serif" w:hAnsi="Times New Roman;sans-serif"/>
          <w:b w:val="false"/>
          <w:color w:val="000000"/>
          <w:sz w:val="22"/>
        </w:rPr>
        <w:t>Unless the Option and/or the shares of Common Stock are registered with the CMF, a public offering of such securities cannot be made in Chile.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94335"/>
                <wp:effectExtent l="0" t="0" r="0" b="0"/>
                <wp:wrapNone/>
                <wp:docPr id="170" name="Frame7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24</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24</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before="0" w:after="0"/>
        <w:jc w:val="left"/>
        <w:rPr/>
      </w:pPr>
      <w:r>
        <w:rPr/>
      </w:r>
    </w:p>
    <w:p>
      <w:pPr>
        <w:pStyle w:val="TextBody"/>
        <w:bidi w:val="0"/>
        <w:spacing w:lineRule="atLeast" w:line="269" w:before="0" w:after="0"/>
        <w:jc w:val="left"/>
        <w:rPr/>
      </w:pPr>
      <w:r>
        <w:rPr>
          <w:rFonts w:ascii="Times New Roman;sans-serif" w:hAnsi="Times New Roman;sans-serif"/>
          <w:b w:val="false"/>
          <w:i/>
          <w:color w:val="000000"/>
          <w:sz w:val="22"/>
        </w:rPr>
        <w:t>Esta oferta de Opciónes constituye una oferta privada de valores en Chile y se inicia en la Fecha de la Concesión.</w:t>
      </w:r>
      <w:r>
        <w:rPr>
          <w:color w:val="000000"/>
        </w:rPr>
        <w:t xml:space="preserve"> </w:t>
      </w:r>
      <w:r>
        <w:rPr>
          <w:rFonts w:ascii="Times New Roman;sans-serif" w:hAnsi="Times New Roman;sans-serif"/>
          <w:b w:val="false"/>
          <w:i/>
          <w:color w:val="000000"/>
          <w:sz w:val="22"/>
        </w:rPr>
        <w:t>Esta oferta de Opciónes se acoge a las disposiciones de la Norma de Carácter General N° 336 de la Comisión para el Mercado Financiero de Chile (“</w:t>
      </w:r>
      <w:r>
        <w:rPr>
          <w:rFonts w:ascii="Times New Roman;sans-serif" w:hAnsi="Times New Roman;sans-serif"/>
          <w:b w:val="false"/>
          <w:i/>
          <w:color w:val="000000"/>
          <w:sz w:val="24"/>
          <w:u w:val="single"/>
        </w:rPr>
        <w:t>CMF</w:t>
      </w:r>
      <w:r>
        <w:rPr>
          <w:color w:val="000000"/>
        </w:rPr>
        <w:t>”</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i/>
          <w:color w:val="000000"/>
          <w:sz w:val="22"/>
        </w:rPr>
        <w:t>Esta oferta versa sobre valores no inscritos en el Registro de Valores o en el Registro de Valores Extranjeros que lleva la CMF, por lo que tales valores no están sujetos a la fiscalización de ésta. Por tratarse las Opciónes de valores no registrados en Chile, no existe obligación por parte de la Compañía de entregar en Chile información pública respecto de las Opciónes o sus Acciones.</w:t>
      </w:r>
      <w:r>
        <w:rPr>
          <w:color w:val="000000"/>
        </w:rPr>
        <w:t xml:space="preserve"> </w:t>
      </w:r>
      <w:r>
        <w:rPr>
          <w:rFonts w:ascii="Times New Roman;sans-serif" w:hAnsi="Times New Roman;sans-serif"/>
          <w:b w:val="false"/>
          <w:i/>
          <w:color w:val="000000"/>
          <w:sz w:val="22"/>
        </w:rPr>
        <w:t xml:space="preserve">Estos valores no podrán ser objeto de oferta pública en Chile mientras no sean inscritos en el Registro de Valores correspondiente. </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Optionee is not required to repatriate any funds he or she receives with respect to the Option and/or the shares of Common Stock (</w:t>
      </w:r>
      <w:r>
        <w:rPr>
          <w:rFonts w:ascii="Times New Roman;sans-serif" w:hAnsi="Times New Roman;sans-serif"/>
          <w:b w:val="false"/>
          <w:i/>
          <w:color w:val="000000"/>
          <w:sz w:val="24"/>
        </w:rPr>
        <w:t>e.g.</w:t>
      </w:r>
      <w:r>
        <w:rPr>
          <w:rFonts w:ascii="Times New Roman;sans-serif" w:hAnsi="Times New Roman;sans-serif"/>
          <w:b w:val="false"/>
          <w:color w:val="000000"/>
          <w:sz w:val="22"/>
        </w:rPr>
        <w:t>, proceeds from the sale of shares of Common Stock or dividends received) to Chile.</w:t>
      </w:r>
      <w:r>
        <w:rPr>
          <w:color w:val="000000"/>
        </w:rPr>
        <w:t xml:space="preserve"> </w:t>
      </w:r>
      <w:r>
        <w:rPr>
          <w:rFonts w:ascii="Times New Roman;sans-serif" w:hAnsi="Times New Roman;sans-serif"/>
          <w:b w:val="false"/>
          <w:color w:val="000000"/>
          <w:sz w:val="22"/>
        </w:rPr>
        <w:t>However, if the Optionee decides to repatriate such funds, he or she must do so through the Formal Exchange Market (</w:t>
      </w:r>
      <w:r>
        <w:rPr>
          <w:rFonts w:ascii="Times New Roman;sans-serif" w:hAnsi="Times New Roman;sans-serif"/>
          <w:b w:val="false"/>
          <w:i/>
          <w:color w:val="000000"/>
          <w:sz w:val="24"/>
        </w:rPr>
        <w:t>i.e.</w:t>
      </w:r>
      <w:r>
        <w:rPr>
          <w:rFonts w:ascii="Times New Roman;sans-serif" w:hAnsi="Times New Roman;sans-serif"/>
          <w:b w:val="false"/>
          <w:color w:val="000000"/>
          <w:sz w:val="22"/>
        </w:rPr>
        <w:t>, a commercial bank or registered foreign exchange office) if the amount of the funds repatriated exceeds a certain threshold (currently, US$10,000).</w:t>
      </w:r>
      <w:r>
        <w:rPr>
          <w:color w:val="000000"/>
        </w:rPr>
        <w:t xml:space="preserve"> </w:t>
      </w:r>
      <w:r>
        <w:rPr>
          <w:rFonts w:ascii="Times New Roman;sans-serif" w:hAnsi="Times New Roman;sans-serif"/>
          <w:b w:val="false"/>
          <w:color w:val="000000"/>
          <w:sz w:val="22"/>
        </w:rPr>
        <w:t>Exchange control requirements are subject to change.</w:t>
      </w:r>
      <w:r>
        <w:rPr>
          <w:color w:val="000000"/>
        </w:rPr>
        <w:t xml:space="preserve"> </w:t>
      </w:r>
      <w:r>
        <w:rPr>
          <w:rFonts w:ascii="Times New Roman;sans-serif" w:hAnsi="Times New Roman;sans-serif"/>
          <w:b w:val="false"/>
          <w:i/>
          <w:color w:val="000000"/>
          <w:sz w:val="24"/>
        </w:rPr>
        <w:t>The Optionee should consult with the Optionee’s personal legal advisor regarding any exchange control obligations that may apply in connection with the Option.</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color w:val="000000"/>
          <w:sz w:val="22"/>
        </w:rPr>
        <w:t>Foreign Asset / Account Reporting Information.</w:t>
      </w:r>
      <w:r>
        <w:rPr>
          <w:color w:val="000000"/>
        </w:rPr>
        <w:t xml:space="preserve"> </w:t>
      </w:r>
      <w:r>
        <w:rPr>
          <w:rFonts w:ascii="Times New Roman;sans-serif" w:hAnsi="Times New Roman;sans-serif"/>
          <w:b w:val="false"/>
          <w:color w:val="000000"/>
          <w:sz w:val="22"/>
        </w:rPr>
        <w:t>If the Optionee holds shares of Common Stock acquired under the Plan outside Chile, the Optionee will be required to inform the Chilean Internal Revenue Service (the “</w:t>
      </w:r>
      <w:r>
        <w:rPr>
          <w:rFonts w:ascii="Times New Roman;sans-serif" w:hAnsi="Times New Roman;sans-serif"/>
          <w:b w:val="false"/>
          <w:color w:val="000000"/>
          <w:sz w:val="24"/>
          <w:u w:val="single"/>
        </w:rPr>
        <w:t>CIRS</w:t>
      </w:r>
      <w:r>
        <w:rPr>
          <w:color w:val="000000"/>
        </w:rPr>
        <w:t>”</w:t>
      </w:r>
      <w:r>
        <w:rPr>
          <w:rFonts w:ascii="Times New Roman;sans-serif" w:hAnsi="Times New Roman;sans-serif"/>
          <w:b w:val="false"/>
          <w:color w:val="000000"/>
          <w:sz w:val="22"/>
        </w:rPr>
        <w:t>) of the details of the Optionee’s investment in the shares of Common Stock.</w:t>
      </w:r>
      <w:r>
        <w:rPr>
          <w:color w:val="000000"/>
        </w:rPr>
        <w:t xml:space="preserve"> </w:t>
      </w:r>
      <w:r>
        <w:rPr>
          <w:rFonts w:ascii="Times New Roman;sans-serif" w:hAnsi="Times New Roman;sans-serif"/>
          <w:b w:val="false"/>
          <w:color w:val="000000"/>
          <w:sz w:val="22"/>
        </w:rPr>
        <w:t xml:space="preserve">Further, if the Optionee wishes to receive a tax credit against the Optionee’s Chilean income taxes for any taxes paid abroad, the Optionee must report </w:t>
      </w:r>
      <w:r>
        <w:rPr>
          <w:rFonts w:ascii="Times New Roman;sans-serif" w:hAnsi="Times New Roman;sans-serif"/>
          <w:b w:val="false"/>
          <w:color w:val="000000"/>
          <w:sz w:val="24"/>
        </w:rPr>
        <w:t>the payment of taxes</w:t>
      </w:r>
      <w:r>
        <w:rPr>
          <w:color w:val="000000"/>
        </w:rPr>
        <w:t xml:space="preserve"> </w:t>
      </w:r>
      <w:r>
        <w:rPr>
          <w:rFonts w:ascii="Times New Roman;sans-serif" w:hAnsi="Times New Roman;sans-serif"/>
          <w:b w:val="false"/>
          <w:color w:val="000000"/>
          <w:sz w:val="22"/>
        </w:rPr>
        <w:t>abroad to the CIRS.</w:t>
      </w:r>
      <w:r>
        <w:rPr>
          <w:color w:val="000000"/>
        </w:rPr>
        <w:t xml:space="preserve"> </w:t>
      </w:r>
      <w:r>
        <w:rPr>
          <w:rFonts w:ascii="Times New Roman;sans-serif" w:hAnsi="Times New Roman;sans-serif"/>
          <w:b w:val="false"/>
          <w:color w:val="000000"/>
          <w:sz w:val="22"/>
        </w:rPr>
        <w:t xml:space="preserve">In either case, the Optionee must file Tax Form 1929 by July 1 each year, which should be submitted electronically through the CIRS website: </w:t>
      </w:r>
      <w:r>
        <w:rPr>
          <w:rFonts w:ascii="Times New Roman;sans-serif" w:hAnsi="Times New Roman;sans-serif"/>
          <w:b w:val="false"/>
          <w:color w:val="000000"/>
          <w:sz w:val="22"/>
          <w:shd w:fill="FFFFFF" w:val="clear"/>
        </w:rPr>
        <w:t xml:space="preserve">www.sii.cl.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pStyle w:val="TextBody"/>
        <w:bidi w:val="0"/>
        <w:spacing w:lineRule="auto" w:line="333"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xml:space="preserve">. Notwithstanding anything to the contrary in the Agreement, due to legal restrictions in China,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94335"/>
                <wp:effectExtent l="0" t="0" r="0" b="0"/>
                <wp:wrapNone/>
                <wp:docPr id="171" name="Frame7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25</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25</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tLeast" w:line="264" w:before="0" w:after="240"/>
        <w:jc w:val="left"/>
        <w:rPr/>
      </w:pPr>
      <w:r>
        <w:rPr>
          <w:rFonts w:ascii="Times New Roman;sans-serif" w:hAnsi="Times New Roman;sans-serif"/>
          <w:b w:val="false"/>
          <w:color w:val="000000"/>
          <w:sz w:val="22"/>
        </w:rPr>
        <w:t>In the event that the Optionee is not required to sell shares of Common Stock immediately upon exercise, any shares of Common Stock issued to the Optionee must be maintained in an account with Morgan Stanley Smith Barney, LLC (“</w:t>
      </w:r>
      <w:r>
        <w:rPr>
          <w:rFonts w:ascii="Times New Roman;sans-serif" w:hAnsi="Times New Roman;sans-serif"/>
          <w:b w:val="false"/>
          <w:color w:val="000000"/>
          <w:sz w:val="22"/>
          <w:u w:val="single"/>
        </w:rPr>
        <w:t>Morgan Stanley</w:t>
      </w:r>
      <w:r>
        <w:rPr>
          <w:color w:val="000000"/>
        </w:rPr>
        <w:t>”</w:t>
      </w:r>
      <w:r>
        <w:rPr>
          <w:rFonts w:ascii="Times New Roman;sans-serif" w:hAnsi="Times New Roman;sans-serif"/>
          <w:b w:val="false"/>
          <w:color w:val="000000"/>
          <w:sz w:val="22"/>
        </w:rPr>
        <w:t>) or such other broker as may be designated by the Company until the shares of Common Stock are sold through that broker. If the Company changes its designated broker, the Optionee acknowledges and agrees that the Company may transfer any shares of Common Stock issued under the Plan to the new designated broker if necessary for legal or administrative reasons. The Optionee agrees to sign any documentation necessary to facilitate the transfer.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pStyle w:val="TextBody"/>
        <w:bidi w:val="0"/>
        <w:spacing w:lineRule="atLeast" w:line="264" w:before="0" w:after="240"/>
        <w:jc w:val="left"/>
        <w:rPr/>
      </w:pPr>
      <w:r>
        <w:rPr>
          <w:rFonts w:ascii="Times New Roman;sans-serif" w:hAnsi="Times New Roman;sans-serif"/>
          <w:b/>
          <w:color w:val="000000"/>
          <w:sz w:val="22"/>
        </w:rPr>
        <w:t>Expiration Date.</w:t>
      </w:r>
      <w:r>
        <w:rPr>
          <w:color w:val="000000"/>
        </w:rPr>
        <w:t xml:space="preserve"> </w:t>
      </w:r>
      <w:r>
        <w:rPr>
          <w:rFonts w:ascii="Times New Roman;sans-serif" w:hAnsi="Times New Roman;sans-serif"/>
          <w:b w:val="false"/>
          <w:color w:val="000000"/>
          <w:sz w:val="22"/>
        </w:rPr>
        <w:t xml:space="preserve">Notwithstanding anything to the contrary in the Agreement, in the event of the Optionee’s termination of employment with the Mondelēz Group, the Optionee shall be permitted to exercise the Option for the </w:t>
      </w:r>
      <w:r>
        <w:rPr>
          <w:rFonts w:ascii="Times New Roman;sans-serif" w:hAnsi="Times New Roman;sans-serif"/>
          <w:b w:val="false"/>
          <w:color w:val="000000"/>
          <w:sz w:val="22"/>
          <w:u w:val="single"/>
        </w:rPr>
        <w:t>shorter</w:t>
      </w:r>
      <w:r>
        <w:rPr>
          <w:color w:val="000000"/>
        </w:rPr>
        <w:t xml:space="preserve"> </w:t>
      </w:r>
      <w:r>
        <w:rPr>
          <w:rFonts w:ascii="Times New Roman;sans-serif" w:hAnsi="Times New Roman;sans-serif"/>
          <w:b w:val="false"/>
          <w:color w:val="000000"/>
          <w:sz w:val="22"/>
        </w:rPr>
        <w:t>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pStyle w:val="TextBody"/>
        <w:bidi w:val="0"/>
        <w:spacing w:lineRule="atLeast" w:line="264"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The Optionee understands and agrees that, due to exchange control laws in China, he or she will be 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further agrees to comply with any other requirements that may be imposed by the Company in the future in order to facilitate compliance with exchange control requirements in China.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94335"/>
                <wp:effectExtent l="0" t="0" r="0" b="0"/>
                <wp:wrapNone/>
                <wp:docPr id="172" name="Frame7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26</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26</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Chinese residents may be required to report to the SAFE all details of their foreign financial assets and liabilities, as well as details of any economic transactions conducted with non-Chinese residents, including the Company.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12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tLeast" w:line="264"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as foreign investment held abroad. In addition, all payments relating to foreign investment originating in Colombia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payment of the Grant Price by cash exercise) and the liquidation of such investments must be transferred through the Colombian foreign exchange market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 xml:space="preserve">). If the Optionee exercises the Option by way of a cashless method of exercise, filing the appropriate foreign exchange form will not be required because no funds will be remitted out of Colombia. However, any sales proceeds related to shares of Common Stock acquired pursuant to cashless exercise must still be transferred through the Colombian foreign exchange market.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The Optionee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Optionee must describe each asset and indicate the jurisdiction in which it is located, its nature and its value.</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94335"/>
                <wp:effectExtent l="0" t="0" r="0" b="0"/>
                <wp:wrapNone/>
                <wp:docPr id="173" name="Frame7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27</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27</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center"/>
        <w:rPr/>
      </w:pPr>
      <w:r>
        <w:rPr>
          <w:rFonts w:ascii="Times New Roman;sans-serif" w:hAnsi="Times New Roman;sans-serif"/>
          <w:b/>
          <w:color w:val="000000"/>
          <w:sz w:val="22"/>
          <w:u w:val="single"/>
        </w:rPr>
        <w:t>COSTA RICA</w:t>
      </w:r>
      <w:r>
        <w:rPr>
          <w:color w:val="000000"/>
        </w:rPr>
        <w:t xml:space="preserve">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Optionee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Optionee’s responsibility to comply with Croatian exchange control laws.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333"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 xml:space="preserve">means permanent and total disability as determined under the procedures established by the Company for purposes of the Plan. </w:t>
      </w:r>
    </w:p>
    <w:p>
      <w:pPr>
        <w:pStyle w:val="TextBody"/>
        <w:bidi w:val="0"/>
        <w:spacing w:lineRule="auto" w:line="319" w:before="0" w:after="0"/>
        <w:jc w:val="left"/>
        <w:rPr/>
      </w:pPr>
      <w:r>
        <w:rPr>
          <w:rFonts w:ascii="Times New Roman;sans-serif" w:hAnsi="Times New Roman;sans-serif"/>
          <w:b/>
          <w:color w:val="000000"/>
          <w:sz w:val="22"/>
        </w:rPr>
        <w:t xml:space="preserve">Method of Exercise. </w:t>
      </w:r>
      <w:r>
        <w:rPr>
          <w:rFonts w:ascii="Times New Roman;sans-serif" w:hAnsi="Times New Roman;sans-serif"/>
          <w:b w:val="false"/>
          <w:color w:val="000000"/>
          <w:sz w:val="22"/>
        </w:rPr>
        <w:t>Notwithstanding anything to the contrary in the Agreement,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Option and the opening and maintenance of a foreign account, including reporting (i) foreign direct investments with a value equal to or exceeding a specified amount (currently, CZK 2,500,000) in the aggregate, (ii) foreign financial assets with a value equal to or exceeding a specified amount (currently, CZK 200,000,000), or (iii) at the request of the Czech National Bank. The Optionee should consult their personal legal advisor to ensure compliance with the applicable requirements.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94335"/>
                <wp:effectExtent l="0" t="0" r="0" b="0"/>
                <wp:wrapNone/>
                <wp:docPr id="174" name="Frame7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28</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28</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Optionee acknowledges that he or she has received an Employer Statement in Danish, which sets forth the additional terms of the Option to the extent that the Danish Stock Option Act applies.</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12" w:before="0" w:after="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accounts holding shares of Common Stock or cash established outside Denmark to the Danish Tax Administration as part of the Optionee’s tax return under the section related to foreign affairs and income.</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t>
      </w:r>
      <w:r>
        <w:rPr>
          <w:rFonts w:ascii="Times New Roman;sans-serif" w:hAnsi="Times New Roman;sans-serif"/>
          <w:b w:val="false"/>
          <w:color w:val="0000FF"/>
          <w:sz w:val="22"/>
          <w:u w:val="single"/>
        </w:rPr>
        <w:t>www.sri.gob.ec</w:t>
      </w:r>
      <w:r>
        <w:rPr>
          <w:rFonts w:ascii="Times New Roman;sans-serif" w:hAnsi="Times New Roman;sans-serif"/>
          <w:b w:val="false"/>
          <w:color w:val="000000"/>
          <w:sz w:val="22"/>
        </w:rPr>
        <w:t xml:space="preserve">). Penalties will apply to a late filing and it is not possible to seek an extension.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a certain threshold (currently, US$100,000). The Optionee should consult his or her legal or tax advisor to ensure compliance with all applicable reporting obligations.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If the Optionee transfers funds into or out of Egypt in connection with the Option, the Optionee is required to transfer the funds through a registered bank in Egypt.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Optionee must check their pre-completed 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94335"/>
                <wp:effectExtent l="0" t="0" r="0" b="0"/>
                <wp:wrapNone/>
                <wp:docPr id="175" name="Frame7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29</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29</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52"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12" w:before="0" w:after="0"/>
        <w:jc w:val="left"/>
        <w:rPr/>
      </w:pPr>
      <w:r>
        <w:rPr>
          <w:rFonts w:ascii="Times New Roman;sans-serif" w:hAnsi="Times New Roman;sans-serif"/>
          <w:b/>
          <w:color w:val="000000"/>
          <w:sz w:val="22"/>
        </w:rPr>
        <w:t>Option Not French-Qualified.</w:t>
      </w:r>
      <w:r>
        <w:rPr>
          <w:color w:val="000000"/>
        </w:rPr>
        <w:t xml:space="preserve"> </w:t>
      </w:r>
      <w:r>
        <w:rPr>
          <w:rFonts w:ascii="Times New Roman;sans-serif" w:hAnsi="Times New Roman;sans-serif"/>
          <w:b w:val="false"/>
          <w:color w:val="000000"/>
          <w:sz w:val="22"/>
        </w:rPr>
        <w:t>The Option granted under this Agreement are not intended to qualify for specific tax and social security treatment pursuant to Sections L. 225-177 to L. 225-186-1 and Sections L. 22-10-56 to L. 22-10-58 of the French Commercial Code, as amended.</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Optionee confirms having read and understood the Plan and Agreement, including all terms and conditions included therein, which were provided in the English language. The Optionee accepts the terms of those documents accordingly.</w:t>
      </w:r>
    </w:p>
    <w:p>
      <w:pPr>
        <w:pStyle w:val="TextBody"/>
        <w:bidi w:val="0"/>
        <w:spacing w:lineRule="atLeast" w:line="264" w:before="0" w:after="240"/>
        <w:jc w:val="left"/>
        <w:rPr/>
      </w:pPr>
      <w:r>
        <w:rPr>
          <w:rFonts w:ascii="Times New Roman;sans-serif" w:hAnsi="Times New Roman;sans-serif"/>
          <w:b w:val="false"/>
          <w:i/>
          <w:color w:val="000000"/>
          <w:sz w:val="22"/>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Times New Roman;sans-serif" w:hAnsi="Times New Roman;sans-serif"/>
          <w:b w:val="false"/>
          <w:color w:val="000000"/>
          <w:sz w:val="22"/>
        </w:rPr>
        <w:t>.</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Optionee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a certain amount (currently, €1,000,000) may have additional monthly reporting obligations.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333"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12"/>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Cross-border payments in connection with the purchase or sale or securities in excess of a certain amount (currently, €12,500) must be reported monthly to the German Federal Bank </w:t>
      </w:r>
      <w:r>
        <w:rPr>
          <w:rFonts w:ascii="Times New Roman;sans-serif" w:hAnsi="Times New Roman;sans-serif"/>
          <w:b w:val="false"/>
          <w:i/>
          <w:color w:val="000000"/>
          <w:sz w:val="24"/>
        </w:rPr>
        <w:t>(Bundesbank)</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If the Optionee receives a payment in excess of this amount (including if the Optionee acquires shares of Common Stock or receives dividends with a value in excess of this amount under the Plan or sells shares of Common Stock via a foreign broker, bank or service provider and receives proceeds in excess of this amount) and/or if the Company withholds or sells shares of Common Stock with a value in excess of this amount to cover Tax-Related Items, the Optionee must report the payment and/or the value of the shares of Common Stock withheld or sold to the Bundesbank.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94335"/>
                <wp:effectExtent l="0" t="0" r="0" b="0"/>
                <wp:wrapNone/>
                <wp:docPr id="176" name="Frame7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30</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30</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12" w:before="0" w:after="0"/>
        <w:jc w:val="left"/>
        <w:rPr/>
      </w:pPr>
      <w:r>
        <w:rPr>
          <w:rFonts w:ascii="Times New Roman;sans-serif" w:hAnsi="Times New Roman;sans-serif"/>
          <w:b w:val="false"/>
          <w:color w:val="000000"/>
          <w:sz w:val="22"/>
        </w:rPr>
        <w:t>Such reports must be filed either electronically using the “General Statistics Reporting Portal” (“</w:t>
      </w:r>
      <w:r>
        <w:rPr>
          <w:rFonts w:ascii="Times New Roman;sans-serif" w:hAnsi="Times New Roman;sans-serif"/>
          <w:b w:val="false"/>
          <w:i/>
          <w:color w:val="000000"/>
          <w:sz w:val="22"/>
        </w:rPr>
        <w:t>Allgemeine Meldeportal Statistik</w:t>
      </w:r>
      <w:r>
        <w:rPr>
          <w:color w:val="000000"/>
        </w:rPr>
        <w:t>”</w:t>
      </w:r>
      <w:r>
        <w:rPr>
          <w:rFonts w:ascii="Times New Roman;sans-serif" w:hAnsi="Times New Roman;sans-serif"/>
          <w:b w:val="false"/>
          <w:color w:val="000000"/>
          <w:sz w:val="22"/>
        </w:rPr>
        <w:t>) available via the Bundesbank’s website (</w:t>
      </w:r>
      <w:r>
        <w:rPr>
          <w:rFonts w:ascii="Times New Roman;sans-serif" w:hAnsi="Times New Roman;sans-serif"/>
          <w:b w:val="false"/>
          <w:color w:val="0000FF"/>
          <w:sz w:val="22"/>
          <w:u w:val="single"/>
        </w:rPr>
        <w:t>www.bundesbank.de</w:t>
      </w:r>
      <w:r>
        <w:rPr>
          <w:rFonts w:ascii="Times New Roman;sans-serif" w:hAnsi="Times New Roman;sans-serif"/>
          <w:b w:val="false"/>
          <w:color w:val="000000"/>
          <w:sz w:val="22"/>
        </w:rPr>
        <w:t xml:space="preserve">) or by such other method as is permitted or required by the Bundesbank. The report must be submitted monthly or within such timing as is permitted or required by the Bundesbank. </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Optionee owns at least 1% of the Company and the value of the Common Stock acquired exceeds a certain amount (currently, €150,000), or (ii) the Optionee holds Common Stock exceeding 10% of the total capital of the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GHANA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Optionee exercises the Options through a cash exercise, withdraws funds from a bank in Greece and remits those funds out of Greece (in an amount exceeding a specified threshold), the Optionee may be required to submit a written application to the bank.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HONDURAS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HONG KONG</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tLeast" w:line="264"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i/>
          <w:color w:val="000000"/>
          <w:sz w:val="22"/>
        </w:rPr>
        <w:t>Warning: The contents of this document have not been reviewed by any regulatory authority in Hong Kong. 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w:t>
      </w:r>
      <w:r>
        <w:rPr>
          <w:color w:val="000000"/>
        </w:rPr>
        <w:t xml:space="preserve"> </w:t>
      </w:r>
      <w:r>
        <w:rPr>
          <w:rFonts w:ascii="Times New Roman;sans-serif" w:hAnsi="Times New Roman;sans-serif"/>
          <w:b w:val="false"/>
          <w:i/>
          <w:color w:val="000000"/>
          <w:sz w:val="22"/>
        </w:rPr>
        <w:t xml:space="preserve">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 </w:t>
      </w:r>
    </w:p>
    <w:p>
      <w:pPr>
        <w:pStyle w:val="TextBody"/>
        <w:bidi w:val="0"/>
        <w:spacing w:lineRule="auto" w:line="333" w:before="0" w:after="240"/>
        <w:jc w:val="left"/>
        <w:rPr/>
      </w:pPr>
      <w:r>
        <w:rPr>
          <w:rFonts w:ascii="Times New Roman;sans-serif" w:hAnsi="Times New Roman;sans-serif"/>
          <w:b/>
          <w:color w:val="000000"/>
          <w:sz w:val="22"/>
        </w:rPr>
        <w:t>Sale of Shares.</w:t>
      </w:r>
      <w:r>
        <w:rPr>
          <w:color w:val="000000"/>
        </w:rPr>
        <w:t xml:space="preserve"> </w:t>
      </w:r>
      <w:r>
        <w:rPr>
          <w:rFonts w:ascii="Times New Roman;sans-serif" w:hAnsi="Times New Roman;sans-serif"/>
          <w:b w:val="false"/>
          <w:color w:val="000000"/>
          <w:sz w:val="22"/>
        </w:rPr>
        <w:t xml:space="preserve">Shares of Common Stock received under the Plan are accepted as a personal investment. In the event the Option vests within six months of the Grant Date, the Optionee agrees that he or she will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94335"/>
                <wp:effectExtent l="0" t="0" r="0" b="0"/>
                <wp:wrapNone/>
                <wp:docPr id="177" name="Frame8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31</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31</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 exercise the Option and sell the shares of Common Stock acquired prior to the six-month anniversary of the Grant Date.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color w:val="000000"/>
          <w:sz w:val="22"/>
        </w:rPr>
        <w:t xml:space="preserve">Settlement in Cash. </w:t>
      </w:r>
      <w:r>
        <w:rPr>
          <w:rFonts w:ascii="Times New Roman;sans-serif" w:hAnsi="Times New Roman;sans-serif"/>
          <w:b w:val="false"/>
          <w:color w:val="000000"/>
          <w:sz w:val="22"/>
        </w:rPr>
        <w:t>Notwithstanding anything to the contrary in the Agreement, due to regulatory requirements in Hungary, when the Optionee exercises the Option, the Company may provide that the value of such Option will be paid to the Optionee in cash.</w:t>
      </w:r>
      <w:r>
        <w:rPr>
          <w:color w:val="000000"/>
        </w:rPr>
        <w:t xml:space="preserve"> </w:t>
      </w:r>
      <w:r>
        <w:rPr>
          <w:rFonts w:ascii="Times New Roman;sans-serif" w:hAnsi="Times New Roman;sans-serif"/>
          <w:b w:val="false"/>
          <w:color w:val="000000"/>
          <w:sz w:val="22"/>
        </w:rPr>
        <w:t>In such case, the amount of the cash payment shall be based on the Fair Market Value of the shares of Common Stock on the exercise date less the Grant Price and the Optionee will not be entitled to receive and/or hold shares of Common Stock under the Plan.</w:t>
      </w:r>
      <w:r>
        <w:rPr>
          <w:color w:val="000000"/>
        </w:rPr>
        <w:t xml:space="preserve"> </w: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before="0" w:after="0"/>
        <w:jc w:val="center"/>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both"/>
        <w:rPr/>
      </w:pPr>
      <w:r>
        <w:rPr>
          <w:rFonts w:ascii="Times New Roman;sans-serif" w:hAnsi="Times New Roman;sans-serif"/>
          <w:b/>
          <w:color w:val="000000"/>
          <w:sz w:val="22"/>
        </w:rPr>
        <w:t>Cashless Sell-All Exercise Restriction.</w:t>
      </w:r>
      <w:r>
        <w:rPr>
          <w:color w:val="000000"/>
        </w:rPr>
        <w:t xml:space="preserve"> </w:t>
      </w:r>
      <w:r>
        <w:rPr>
          <w:rFonts w:ascii="Times New Roman;sans-serif" w:hAnsi="Times New Roman;sans-serif"/>
          <w:b w:val="false"/>
          <w:color w:val="000000"/>
          <w:sz w:val="22"/>
        </w:rPr>
        <w:t>Notwithstanding anything to the contrary in the Agreement or the Plan, due to regulatory issues in India, the Optionee will be required to pay the Grant Price by a cashless exercise, such that the Optionee will deliver a properly executed notice together with irrevocable instructions to a broker in a form acceptable to the Company providing for the assignment to the Company of the proceeds of a sale with respect to all of the Option Shares acquired upon the exercise of the Option pursuant to a program or procedure approved by the Company. The cash proceeds of sale, less the Grant Price, any Tax-Related Items and broker’s fees or commissions, will be remitted to the Optionee. In the event of changes in regulatory requirements, the Company reserves the right to eliminate the cashless sell-all method of exercise requirement and, in its sole discretion, to permit cash exercise or cashless sell-to-cover exercises.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both"/>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any funds recognized in connection with the Options (including any cash proceeds received upon the sale of shares of Common Stock) and convert such funds into local currency within specified timeframes as required under applicable regulations. Indian residents also are required to retain the foreign inward remittance certificate as evidence of repatriation. The Optionee is personally responsible for complying with exchange control laws in India, and neither the Company nor the Employer will be liable for any fines or penalties resulting from the Optionee’s failure to comply with applicable laws. The Optionee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Optionee should consult his or her personal tax or legal advisor before selling shares of Common Stock to ensure compliance with current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94335"/>
                <wp:effectExtent l="0" t="0" r="0" b="0"/>
                <wp:wrapNone/>
                <wp:docPr id="178" name="Frame8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32</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32</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declare foreign bank accounts and any foreign financial assets (including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52" w:before="0" w:after="240"/>
        <w:jc w:val="both"/>
        <w:rPr/>
      </w:pPr>
      <w:r>
        <w:rPr>
          <w:rFonts w:ascii="Times New Roman;sans-serif" w:hAnsi="Times New Roman;sans-serif"/>
          <w:b/>
          <w:color w:val="000000"/>
          <w:sz w:val="22"/>
          <w:shd w:fill="FFFFFF" w:val="clear"/>
        </w:rPr>
        <w:t>Language Consent and Notification</w:t>
      </w:r>
      <w:r>
        <w:rPr>
          <w:rFonts w:ascii="Times New Roman;sans-serif" w:hAnsi="Times New Roman;sans-serif"/>
          <w:b w:val="false"/>
          <w:color w:val="000000"/>
          <w:sz w:val="22"/>
          <w:shd w:fill="FFFFFF" w:val="clear"/>
        </w:rPr>
        <w:t>. A translation of the documents relating to this grant into Bahasa Indonesia can be provided to the Optionee upon request to Astrid Januarita, My Rewards Advisor ID,</w:t>
      </w:r>
      <w:r>
        <w:rPr>
          <w:color w:val="000000"/>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shd w:fill="FFFFFF" w:val="clear"/>
        </w:rPr>
        <w:t xml:space="preserve">.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 </w:t>
      </w:r>
    </w:p>
    <w:p>
      <w:pPr>
        <w:pStyle w:val="TextBody"/>
        <w:bidi w:val="0"/>
        <w:spacing w:lineRule="auto" w:line="333" w:before="0" w:after="240"/>
        <w:jc w:val="left"/>
        <w:rPr/>
      </w:pPr>
      <w:r>
        <w:rPr>
          <w:rFonts w:ascii="Times New Roman;sans-serif" w:hAnsi="Times New Roman;sans-serif"/>
          <w:b/>
          <w:color w:val="000000"/>
          <w:sz w:val="22"/>
          <w:shd w:fill="FFFFFF" w:val="clear"/>
        </w:rPr>
        <w:t>Language Consent and Notification.</w:t>
      </w:r>
      <w:r>
        <w:rPr>
          <w:color w:val="000000"/>
          <w:shd w:fill="FFFFFF" w:val="clear"/>
        </w:rPr>
        <w:t xml:space="preserve"> </w:t>
      </w:r>
      <w:r>
        <w:rPr>
          <w:rFonts w:ascii="Times New Roman;sans-serif" w:hAnsi="Times New Roman;sans-serif"/>
          <w:b w:val="false"/>
          <w:color w:val="000000"/>
          <w:sz w:val="22"/>
          <w:shd w:fill="FFFFFF" w:val="clear"/>
        </w:rPr>
        <w:t xml:space="preserve">Terjemahan dari dokumen-dokumen terkait dengan pemberian ini ke Bahasa Indonesia dapat disediakan untuk anda berdasarkan permintaan kepada Astrid Januarita, My Rewards Advisor ID, 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shd w:fill="FFFFFF" w:val="clear"/>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if the Optionee remits funds into or out of Indonesia, the Indonesian bank through which the transaction is made will submit a report on the transaction to the Bank of Indonesia for statistical reporting purposes. For transactions of a certain threshold (currently, US$10,000)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 </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94335"/>
                <wp:effectExtent l="0" t="0" r="0" b="0"/>
                <wp:wrapNone/>
                <wp:docPr id="179" name="Frame8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33</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33</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333"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Optionee is a director, shadow director</w:t>
      </w:r>
      <w:r>
        <w:rPr>
          <w:rFonts w:ascii="Palatino;serif" w:hAnsi="Palatino;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Optionee must notify the Irish subsidiary or affiliate in writing if (1) the Optionee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ISRAEL</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0"/>
        <w:jc w:val="left"/>
        <w:rPr/>
      </w:pPr>
      <w:r>
        <w:rPr>
          <w:rFonts w:ascii="Times New Roman;sans-serif" w:hAnsi="Times New Roman;sans-serif"/>
          <w:b/>
          <w:color w:val="000000"/>
          <w:sz w:val="22"/>
        </w:rPr>
        <w:t>Method of Exercise</w:t>
      </w:r>
      <w:r>
        <w:rPr>
          <w:rFonts w:ascii="Times New Roman;sans-serif" w:hAnsi="Times New Roman;sans-serif"/>
          <w:b w:val="false"/>
          <w:color w:val="000000"/>
          <w:sz w:val="22"/>
        </w:rPr>
        <w:t xml:space="preserve">. Notwithstanding anything to the contrary in the Agreement,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offer of this option does not constitute a public offering under the Securities Law, 1968.</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regulatory requirements in Italy, the Optionee may be required to pay the Grant Price by a cashless </w:t>
      </w:r>
    </w:p>
    <w:p>
      <w:pPr>
        <w:pStyle w:val="TextBody"/>
        <w:bidi w:val="0"/>
        <w:spacing w:lineRule="auto" w:line="33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 shadow director is an individual who is not on the board of the Irish Affiliate but who has sufficient control so that the board of directors acts in accordance with the “directions or instructions” of the individual.</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94335"/>
                <wp:effectExtent l="0" t="0" r="0" b="0"/>
                <wp:wrapNone/>
                <wp:docPr id="180" name="Frame8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34</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34</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w:t>
      </w:r>
    </w:p>
    <w:p>
      <w:pPr>
        <w:pStyle w:val="TextBody"/>
        <w:bidi w:val="0"/>
        <w:spacing w:lineRule="auto" w:line="333"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 xml:space="preserve">In accepting the grant of the Option, the Optionee acknowledges that he or she has received a copy of the Plan and the Agreement and has reviewed the Plan and the Agreement, including this Appendix A, in their entirety and fully understands and accepts all provisions of the Plan and the Agreement, including this Appendix A. </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are beneficial owners of the investment pursuant to Italian money laundering provisions.</w:t>
      </w:r>
    </w:p>
    <w:p>
      <w:pPr>
        <w:pStyle w:val="TextBody"/>
        <w:bidi w:val="0"/>
        <w:spacing w:lineRule="auto" w:line="333"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(and other financial assets) held outside Italy</w:t>
      </w:r>
      <w:r>
        <w:rPr>
          <w:color w:val="000000"/>
        </w:rPr>
        <w:t xml:space="preserve"> </w:t>
      </w:r>
      <w:r>
        <w:rPr>
          <w:rFonts w:ascii="Times New Roman;sans-serif" w:hAnsi="Times New Roman;sans-serif"/>
          <w:b w:val="false"/>
          <w:color w:val="000000"/>
          <w:sz w:val="22"/>
        </w:rPr>
        <w:t>is subject to a foreign assets tax. The 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Optionee acquires shares of Common Stock valued at more than a certain threshold (currently, ¥100,000,000) in a single transaction, the Optionee must file a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94335"/>
                <wp:effectExtent l="0" t="0" r="0" b="0"/>
                <wp:wrapNone/>
                <wp:docPr id="181" name="Frame8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35</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35</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Acquisition Report with the Ministry of Finance through the Bank of Japan within 20 days of the purchase of the shares of Common Stock.</w:t>
      </w:r>
    </w:p>
    <w:p>
      <w:pPr>
        <w:pStyle w:val="TextBody"/>
        <w:bidi w:val="0"/>
        <w:spacing w:lineRule="auto" w:line="333" w:before="0" w:after="240"/>
        <w:jc w:val="left"/>
        <w:rPr/>
      </w:pPr>
      <w:r>
        <w:rPr>
          <w:rFonts w:ascii="Times New Roman;sans-serif" w:hAnsi="Times New Roman;sans-serif"/>
          <w:b w:val="false"/>
          <w:color w:val="000000"/>
          <w:sz w:val="22"/>
        </w:rPr>
        <w:t>In addition, if the Optionee pays more than a certain threshold (currently, ¥30,000,000) in a single transaction for the purchase of shares of Common Stock when the Optionee exercises the Option, the Optionee must file a Payment Report with the Ministry of Finance through the Bank of Japan by the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the month following the month in which the payment was made. The precise reporting requirements vary depending on whether or not the relevant payment is made through a bank in Japan.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Payment Report is required independently from a Securities Acquisition Report. Therefore, if the total amount that the Optionee pays upon a one-time transaction for exercising the Option and purchasing shares exceeds a certain threshold (currently, ¥100,000,000), then the Optionee must file both a Payment Report and a Securities Acquisition Report. </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will be required to report details of any assets held outside Japan as of December 31st (including any shares of Common Stock acquired under the Plan) to the extent such assets have a total net fair market value exceeding a certain threshold (currently,¥50,000,000).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a certain threshold (currently, US$100,000).</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Optionee should consult with their personal legal advisor regarding any exchange control obligations that the Optionee may have prior to exercising the option or receiving proceeds from the sale of shares of Common Stock acquired under the Plan. The Optionee is responsible for ensuring compliance with all exchange control laws in Kazakhstan.</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KENYA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94335"/>
                <wp:effectExtent l="0" t="0" r="0" b="0"/>
                <wp:wrapNone/>
                <wp:docPr id="182" name="Frame8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36</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36</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Tax Registration Notification</w:t>
      </w:r>
      <w:r>
        <w:rPr>
          <w:rFonts w:ascii="Times New Roman;sans-serif" w:hAnsi="Times New Roman;sans-serif"/>
          <w:b w:val="false"/>
          <w:color w:val="000000"/>
          <w:sz w:val="22"/>
        </w:rPr>
        <w:t>. Under Tax Procedure Act, 2015, the Optionee is required to complete and submit a tax registration 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LEBANON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Plan does not constitute the marketing or offering of securities in Lebanon pursuant to Law No. 161 (2011), the Capital Markets Law. Offerings under the Plan are being made only to eligible employees of the Mondelēz Group.</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94335"/>
                <wp:effectExtent l="0" t="0" r="0" b="0"/>
                <wp:wrapNone/>
                <wp:docPr id="183" name="Frame8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37</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37</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59"/>
        <w:gridCol w:w="1459"/>
        <w:gridCol w:w="1462"/>
        <w:gridCol w:w="1646"/>
        <w:gridCol w:w="1646"/>
        <w:gridCol w:w="2333"/>
      </w:tblGrid>
      <w:tr>
        <w:trPr/>
        <w:tc>
          <w:tcPr>
            <w:tcW w:w="16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i/>
                <w:color w:val="000000"/>
                <w:sz w:val="22"/>
              </w:rPr>
              <w:t>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 </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Data will be transferred to Morgan Stanley Smith Barney, LLC (“Morgan Stanley”),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The Optionee understands that the Optionee may request a list with the names and addresses of any potential recipients of the Data by contacting the Optionee’s local human resources representative at Mondelez Malaysia Sales Sdn Bhd., Lot 9.01 Level 9, 1 First Avenue, 2A, Dataran Bandar Utama, Bandar Utama Damasara, 47800 Petaling Jaya, Selangor, Malaysia. The Optionee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 refusing or withdrawing the Optionee’s consent is that the Company would not be able to grant the Optionee an option or other equity awards or administer or maintain such awards. The Optionee also understands that the Company has no obligation to substitute other forms of awards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tc>
        <w:tc>
          <w:tcPr>
            <w:tcW w:w="5625"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Penerima Opsyen memahami bahawa Syarikat dan Majikan mungkin memegang maklumat peribadi tertentu Penerima Opsyen, termasuk, tetapi tidak terhad kepada, nama Penerima Opsyen, alamat rumah dan nombor telefon, almat emel, tarikh lahir, insurans sosial, nombor pasport atau pengenalan lain, gaji, kewarganegaraan, jawatan, apa-apa syer dalam Saham atau jawatan pengarah yang dipegang dalam Syarikat, maklumat berkaitan semua Opsyen-Opsyen atau apa-apa kelayakan lain untuk syer dalam saham yang dianugerahkan, dibatalkan, dilaksanakan, terletak hak, tidak diletak hak ataupun yang belum dijelaskan bagi faedah Penerima Opsyen, untuk tujuan eksklusif bagi melaksanakan, mentadbir dan menguruskan Pelan tersebut.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Penerima Opsyen memahami bahawa Data tersebut akan dipindahkan ke Morgan Stanley Smith Barney, LLC (“Morgan Stanley”) atau pembekal perkhidmatan pelan saham lain yang mungkin dipilih oleh Syarikat pada masa hadapan, yang membantu Syarikat melaksanakan, mentadbir dan menguruskan Pelan tersebut. Penerima Opsyen memahami bahawa Data juga mungkin dipindahkan kepada firma akauntansi awam berdaftar bebas Syarikat, PricewaterhouseCoopers LLP, atau firma akauntansi berdaftar lain yang mungkin digunakan oleh Syarikat pada masa hadapan. Penerima Opsyen turut memahami bahawa penerima Data mungkin berada di Amerika Syarikat atau negara lain dan negara asal penerima Data (contohnya, Amerika Syarikat) mungkin mempunyai undang-undang data peribadi serta perlindungan yang berbeza daripada negara asal Penerima Opsyen. Penerima Opsyen memahami bahawa Penerima Opsyen boleh meminta satu senarai yang mengandungi nama dan alamat penerima-penerima Data yang berpotensi dengan menghubungi wakil sumber manusia tempatan Penerima Opsyen di Mondelez Malaysia Sales Sdn Bhd, Lot 9.01 Level 9, 1 First Avenue, 2A, Dataran Bandar Utama, Bandar Utama Damasara, 47800 Petaling Jaya, Selangor, Malaysia. Penerima Opsyen dengan ini membenarkan Syarikat, Morgan Stanley serta mana-mana penerima data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Penerima Opsyen dalam Pelan. Penerima Opsyen memahami bahawa Data hanya akan disimpan untuk tempoh yang perlu bagi melaksanakan, mentadbir, dan menguruskan penyertaan Penerima Opsyen dalam Pelan. Penerima Opsyen memahami bahawa Penerima 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94335"/>
                <wp:effectExtent l="0" t="0" r="0" b="0"/>
                <wp:wrapNone/>
                <wp:docPr id="184" name="Frame8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38</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38</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Optionee is a director of the Company’s Malaysian subsidiary or affiliate, the Optionee is subject to certain notification requirements under the Malaysian Companies Act. Among these requirements is an obligation to notify the Malaysian subsidiary or affiliate in writing when the Optionee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an Option or shares of Common Stock) in the Company or any related company. Such notifications must be made within 14 days of receiving or disposing of any interest in the Company or any related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Option, the Optionee expressly recognizes that Mondelēz International, Inc., with registered 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Mondelēz México, S. de R.L. de C.V., located at Av. 18 de Noviembre 1028, Camino a Manzanilla, Heroica Puebla de Zaragoza, Puebla, C.P. 72304. Based on the foregoing, the Optionee expressly recognizes that the Plan and the benefits that he or she may derive from participating in the Plan do not establish any rights between the Optionee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Optionee’s employment.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pStyle w:val="TextBody"/>
        <w:bidi w:val="0"/>
        <w:spacing w:lineRule="auto" w:line="333"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Option, the Optionee acknowledges that Optionee has received copies of the Plan, has reviewed the Plan and the Agreement in their entirety and fully understands and accepts all provisions of the Plan and the Agreement.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94335"/>
                <wp:effectExtent l="0" t="0" r="0" b="0"/>
                <wp:wrapNone/>
                <wp:docPr id="185" name="Frame8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39</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39</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 </w:t>
      </w:r>
    </w:p>
    <w:p>
      <w:pPr>
        <w:pStyle w:val="TextBody"/>
        <w:bidi w:val="0"/>
        <w:spacing w:lineRule="atLeast" w:line="264" w:before="0" w:after="240"/>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tLeast" w:line="264" w:before="0" w:after="240"/>
        <w:jc w:val="left"/>
        <w:rPr/>
      </w:pPr>
      <w:r>
        <w:rPr>
          <w:rFonts w:ascii="Times New Roman;sans-serif" w:hAnsi="Times New Roman;sans-serif"/>
          <w:b/>
          <w:color w:val="000000"/>
          <w:sz w:val="22"/>
        </w:rPr>
        <w:t xml:space="preserve">Política Laboral.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aceptar el otorgamiento de la Opción de Compra de Acciones, el Optionee expresamente reconoce que Mondelēz International, Inc., con domicilio registrado ubicado en 905 West Fulton Market, Suite 200, Chicago, Illinois 60607,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Mondelēz México,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Optionee.</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pStyle w:val="TextBody"/>
        <w:bidi w:val="0"/>
        <w:spacing w:lineRule="atLeast" w:line="264"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Otorgamiento de la Opción de Compra de Acciones, el Optionee reconoce que ha recibido copias del Plan, que ha revisado el Plan y el Acuerdo en su totalidad y que entiende y acepta completamente todas las disposiciones contenidas en el Plan y en el Acuerdo.</w:t>
      </w:r>
    </w:p>
    <w:p>
      <w:pPr>
        <w:pStyle w:val="TextBody"/>
        <w:bidi w:val="0"/>
        <w:spacing w:lineRule="atLeast" w:line="264" w:before="0" w:after="240"/>
        <w:jc w:val="left"/>
        <w:rPr/>
      </w:pPr>
      <w:r>
        <w:rPr>
          <w:rFonts w:ascii="Times New Roman;sans-serif" w:hAnsi="Times New Roman;sans-serif"/>
          <w:b w:val="false"/>
          <w:color w:val="000000"/>
          <w:sz w:val="22"/>
        </w:rPr>
        <w:t xml:space="preserve">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w:t>
      </w:r>
      <w:r>
        <w:rPr>
          <w:rFonts w:ascii="Palatino;serif" w:hAnsi="Palatino;serif"/>
          <w:b w:val="false"/>
          <w:color w:val="000000"/>
          <w:sz w:val="22"/>
        </w:rPr>
        <w:t xml:space="preserve">Mondelēz International, Inc. </w:t>
      </w:r>
      <w:r>
        <w:rPr>
          <w:rFonts w:ascii="Times New Roman;sans-serif" w:hAnsi="Times New Roman;sans-serif"/>
          <w:b w:val="false"/>
          <w:color w:val="000000"/>
          <w:sz w:val="22"/>
        </w:rPr>
        <w:t>ni de cualqiuer Sociedad controlante, Subsidiaria o Filial son responsables por ninguna disminución en el valor de las Acciones subyacentes de la Opción de Compra de Acciones.</w:t>
      </w:r>
    </w:p>
    <w:p>
      <w:pPr>
        <w:pStyle w:val="TextBody"/>
        <w:bidi w:val="0"/>
        <w:spacing w:lineRule="atLeast" w:line="264" w:before="0" w:after="240"/>
        <w:jc w:val="left"/>
        <w:rPr/>
      </w:pPr>
      <w:r>
        <w:rPr>
          <w:rFonts w:ascii="Times New Roman;sans-serif" w:hAnsi="Times New Roman;sans-serif"/>
          <w:b w:val="false"/>
          <w:color w:val="000000"/>
          <w:sz w:val="22"/>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r>
        <w:rPr>
          <w:color w:val="000000"/>
        </w:rPr>
        <w:t xml:space="preserve"> </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94335"/>
                <wp:effectExtent l="0" t="0" r="0" b="0"/>
                <wp:wrapNone/>
                <wp:docPr id="186" name="Frame8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40</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40</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Option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12" w:before="0" w:after="0"/>
        <w:jc w:val="left"/>
        <w:rPr/>
      </w:pPr>
      <w:r>
        <w:rPr>
          <w:rFonts w:ascii="Times New Roman;sans-serif" w:hAnsi="Times New Roman;sans-serif"/>
          <w:b/>
          <w:color w:val="000000"/>
          <w:sz w:val="22"/>
        </w:rPr>
        <w:t>Cashless Exercise Restriction or Settlement in Cash.</w:t>
      </w:r>
      <w:r>
        <w:rPr>
          <w:color w:val="000000"/>
        </w:rPr>
        <w:t xml:space="preserve"> </w:t>
      </w:r>
      <w:r>
        <w:rPr>
          <w:rFonts w:ascii="Times New Roman;sans-serif" w:hAnsi="Times New Roman;sans-serif"/>
          <w:b w:val="false"/>
          <w:color w:val="000000"/>
          <w:sz w:val="22"/>
        </w:rPr>
        <w:t>Notwithstanding anything to the contrary in the Agreement, due to exchange control requirements in Morocco,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Alternatively, when the Optionee exercises the Option, the Company may provide that the value of such Option will be paid to the Optionee in cash by the Employer and not by the Company.</w:t>
      </w:r>
      <w:r>
        <w:rPr>
          <w:color w:val="000000"/>
        </w:rPr>
        <w:t xml:space="preserve"> </w:t>
      </w:r>
      <w:r>
        <w:rPr>
          <w:rFonts w:ascii="Times New Roman;sans-serif" w:hAnsi="Times New Roman;sans-serif"/>
          <w:b w:val="false"/>
          <w:color w:val="000000"/>
          <w:sz w:val="22"/>
        </w:rPr>
        <w:t>In such case, the amount of the cash payment shall be based on the Fair Market Value of the shares of Common Stock on the exercise date less the Grant Price and the Optionee will not be entitled to receive and/or hold shares of Common Stock under the Plan.</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Exercisability Upon Termination of Employment</w:t>
      </w:r>
      <w:r>
        <w:rPr>
          <w:rFonts w:ascii="Times New Roman;sans-serif" w:hAnsi="Times New Roman;sans-serif"/>
          <w:b w:val="false"/>
          <w:color w:val="000000"/>
          <w:sz w:val="22"/>
        </w:rPr>
        <w:t>. The following provision replaces in its entirety paragraph 3 of the Agreement: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pStyle w:val="TextBody"/>
        <w:bidi w:val="0"/>
        <w:spacing w:lineRule="atLeast" w:line="264" w:before="0" w:after="240"/>
        <w:jc w:val="left"/>
        <w:rPr/>
      </w:pPr>
      <w:r>
        <w:rPr>
          <w:rFonts w:ascii="Times New Roman;sans-serif" w:hAnsi="Times New Roman;sans-serif"/>
          <w:b/>
          <w:color w:val="000000"/>
          <w:sz w:val="22"/>
        </w:rPr>
        <w:t>Exchange Control Requirements.</w:t>
      </w:r>
      <w:r>
        <w:rPr>
          <w:color w:val="000000"/>
        </w:rPr>
        <w:t xml:space="preserve"> </w:t>
      </w:r>
      <w:r>
        <w:rPr>
          <w:rFonts w:ascii="Times New Roman;sans-serif" w:hAnsi="Times New Roman;sans-serif"/>
          <w:b w:val="false"/>
          <w:color w:val="000000"/>
          <w:sz w:val="22"/>
        </w:rPr>
        <w:t xml:space="preserve">The Optionee is required to immediately repatriate to Morocco the proceeds from the cashless exercise of 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Times New Roman;sans-serif" w:hAnsi="Times New Roman;sans-serif"/>
          <w:b w:val="false"/>
          <w:i/>
          <w:color w:val="000000"/>
          <w:sz w:val="22"/>
        </w:rPr>
        <w:t>Office des Changes</w:t>
      </w:r>
      <w:r>
        <w:rPr>
          <w:rFonts w:ascii="Times New Roman;sans-serif" w:hAnsi="Times New Roman;sans-serif"/>
          <w:b w:val="false"/>
          <w:color w:val="000000"/>
          <w:sz w:val="22"/>
        </w:rPr>
        <w:t>. The Optionee is responsible for ensuring compliance with all exchange control laws in Morocco.</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94335"/>
                <wp:effectExtent l="0" t="0" r="0" b="0"/>
                <wp:wrapNone/>
                <wp:docPr id="187" name="Frame9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41</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41</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333"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w:t>
      </w:r>
      <w:r>
        <w:rPr>
          <w:color w:val="000000"/>
        </w:rPr>
        <w:t xml:space="preserve"> </w:t>
      </w:r>
      <w:r>
        <w:rPr>
          <w:rFonts w:ascii="Times New Roman;sans-serif" w:hAnsi="Times New Roman;sans-serif"/>
          <w:b w:val="false"/>
          <w:i/>
          <w:color w:val="000000"/>
          <w:sz w:val="22"/>
        </w:rPr>
        <w:t>Optionee is being offered an Option which allows the Optionee to purchase shares of Common Stock in accordance with the terms of the Plan and the Agreement. The shares of Common Stock, if purchased, give the Optionee a stake in the ownership of the Company. The Optionee may receive a return if dividends are paid.</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Optionee will be paid only after all creditors and holders of preferred shares have been paid. The Optionee may lose some or all of his or her investment.</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Optionee understands that he or she should ask questions, read all documents carefully, and seek independent financial advice before exercising any Options under the Plan.</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 </w:t>
      </w:r>
    </w:p>
    <w:p>
      <w:pPr>
        <w:pStyle w:val="TextBody"/>
        <w:bidi w:val="0"/>
        <w:spacing w:lineRule="auto" w:line="333" w:before="0" w:after="240"/>
        <w:jc w:val="left"/>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i/>
          <w:color w:val="0000FF"/>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FF"/>
          <w:sz w:val="22"/>
          <w:u w:val="single"/>
        </w:rPr>
        <w:t>http://ir.mondelezinternational.com/sec.cfm</w:t>
      </w:r>
      <w:r>
        <w:rPr>
          <w:rFonts w:ascii="Times New Roman;sans-serif" w:hAnsi="Times New Roman;sans-serif"/>
          <w:b w:val="false"/>
          <w:color w:val="000000"/>
          <w:sz w:val="22"/>
        </w:rPr>
        <w:t xml:space="preserve">.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94335"/>
                <wp:effectExtent l="0" t="0" r="0" b="0"/>
                <wp:wrapNone/>
                <wp:docPr id="188" name="Frame9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42</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42</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Pakistan,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is required immediately to repatriate to Pakistan the proceeds from the sale of any Common Stock acquired from participation in Plan, including the proceeds from the cashless exercise of the Option.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PANAMA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the Options nor any shares of Common Stock that the Employee may acquire upon exercise of the Options constitute a public offering of securities, as they are available only to eligible employees of the Mondelēz Group.</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12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94335"/>
                <wp:effectExtent l="0" t="0" r="0" b="0"/>
                <wp:wrapNone/>
                <wp:docPr id="189" name="Frame9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43</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43</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rPr>
        <w:t xml:space="preserve">By accepting the Option, the Optionee acknowledges, understands and agrees that the Option is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Optionee.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Options is considered a private offering in Peru; therefore, it is not subject to registration. For 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Notwithstanding anything to the contrary in the Agreement, due to regulatory requirements in the 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a certain threshold (currently, PLN 7 million).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94335"/>
                <wp:effectExtent l="0" t="0" r="0" b="0"/>
                <wp:wrapNone/>
                <wp:docPr id="190" name="Frame9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44</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44</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Optionee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tLeast" w:line="264"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under the Plan and does not hold the shares of Common Stock with a Portuguese financial intermediary, the Optionee may need to file a report with the Portuguese Central Bank. If the shares of Common Stock are held by a Portuguese financial intermediary, it will file the report for the Optionee.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PUERTO RICO</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deposits proceeds from the sale of Common Stock in a bank account in Romania, the 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0"/>
        <w:jc w:val="both"/>
        <w:rPr/>
      </w:pPr>
      <w:r>
        <w:rPr>
          <w:rFonts w:ascii="Times New Roman;sans-serif" w:hAnsi="Times New Roman;sans-serif"/>
          <w:b/>
          <w:color w:val="000000"/>
          <w:sz w:val="22"/>
        </w:rPr>
        <w:t xml:space="preserve">Exercise of Options. </w:t>
      </w:r>
      <w:r>
        <w:rPr>
          <w:rFonts w:ascii="Times New Roman;sans-serif" w:hAnsi="Times New Roman;sans-serif"/>
          <w:b w:val="false"/>
          <w:color w:val="000000"/>
          <w:sz w:val="22"/>
        </w:rPr>
        <w:t>This provision supplements paragraph 4 of the Agreement:</w:t>
      </w:r>
    </w:p>
    <w:p>
      <w:pPr>
        <w:pStyle w:val="TextBody"/>
        <w:bidi w:val="0"/>
        <w:spacing w:before="0" w:after="0"/>
        <w:jc w:val="both"/>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Depending on applicable restrictions then in effect, the Company has the sole discretion to postpone the vesting and/or the ability to exercise the Option, or to cancel such Option for no consideration.  The Optionee understands that no shares of Common Stock will be issued upon exercise of the Option if the Company, in its sole discretion, determines that such issuance would not comply with applicable laws and regulations in Russia.</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This Agreement, the Plan and all other materials that the Optionee may receive concerning the grant of the Option and the Optionee’s participation in the Plan do not constitute advertising or an offering of securities in Russia. The Common Stock to be issued upon exercise of the Option have not and will not be registered in Russia and, therefore, the Common Stock described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94335"/>
                <wp:effectExtent l="0" t="0" r="0" b="0"/>
                <wp:wrapNone/>
                <wp:docPr id="191" name="Frame9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45</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45</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Plan documents may not be offered or placed in public circulation in Russia. In no event will Common Stock to be issued upon exercise of the Option be delivered to the Optionee in Russia. All Common Stock acquired under the Plan will be maintained on the Optionee’s behalf outside of Russia. The Optionee will not be permitted to sell Common Stock directly to a Russian legal entity or resident.</w:t>
      </w:r>
    </w:p>
    <w:p>
      <w:pPr>
        <w:pStyle w:val="TextBody"/>
        <w:bidi w:val="0"/>
        <w:spacing w:lineRule="auto" w:line="333" w:before="0" w:after="240"/>
        <w:jc w:val="left"/>
        <w:rPr/>
      </w:pPr>
      <w:r>
        <w:rPr>
          <w:rFonts w:ascii="Times New Roman;sans-serif" w:hAnsi="Times New Roman;sans-serif"/>
          <w:b/>
          <w:color w:val="000000"/>
          <w:sz w:val="22"/>
        </w:rPr>
        <w:t>Cashless Exercise Provision</w:t>
      </w:r>
      <w:r>
        <w:rPr>
          <w:rFonts w:ascii="Times New Roman;sans-serif" w:hAnsi="Times New Roman;sans-serif"/>
          <w:b w:val="false"/>
          <w:color w:val="000000"/>
          <w:sz w:val="22"/>
        </w:rPr>
        <w:t>. Notwithstanding anything to the contrary in the Agreement, depending on the development of local regulatory 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pStyle w:val="TextBody"/>
        <w:bidi w:val="0"/>
        <w:spacing w:lineRule="auto" w:line="333"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bidi w:val="0"/>
        <w:spacing w:lineRule="auto" w:line="333" w:before="0" w:after="240"/>
        <w:jc w:val="left"/>
        <w:rPr/>
      </w:pPr>
      <w:r>
        <w:rPr>
          <w:rFonts w:ascii="Times New Roman;sans-serif" w:hAnsi="Times New Roman;sans-serif"/>
          <w:b w:val="false"/>
          <w:color w:val="000000"/>
          <w:sz w:val="22"/>
        </w:rPr>
        <w:t>The Optionee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is responsible for complying with any and all Russian foreign exchange control requirements in connection with the</w:t>
      </w:r>
      <w:r>
        <w:rPr>
          <w:color w:val="000000"/>
        </w:rPr>
        <w:t xml:space="preserve"> </w:t>
      </w:r>
      <w:r>
        <w:rPr>
          <w:rFonts w:ascii="Palatino;serif" w:hAnsi="Palatino;serif"/>
          <w:b w:val="false"/>
          <w:color w:val="000000"/>
          <w:sz w:val="22"/>
        </w:rPr>
        <w:t>Option, any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color w:val="000000"/>
        </w:rPr>
        <w:t xml:space="preserve"> </w:t>
      </w:r>
      <w:r>
        <w:rPr>
          <w:rFonts w:ascii="Times New Roman;sans-serif" w:hAnsi="Times New Roman;sans-serif"/>
          <w:b w:val="false"/>
          <w:color w:val="000000"/>
          <w:sz w:val="22"/>
        </w:rPr>
        <w:t xml:space="preserve">acquired and funds remitted into Russia in connection with the Plan. This may include, in certain circumstances, reporting and repatriation requirements. The foreign exchange control rules and regulations in Russia are subject to frequent change.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 xml:space="preserve">should contact their personal advisor to determine applicability of all repatriation, remittance or other exchange control requirements to ensure compliance with all applicable exchange control requirements prior to exercise of the </w:t>
      </w:r>
      <w:r>
        <w:rPr>
          <w:rFonts w:ascii="Palatino;serif" w:hAnsi="Palatino;serif"/>
          <w:b w:val="false"/>
          <w:color w:val="000000"/>
          <w:sz w:val="22"/>
        </w:rPr>
        <w:t>Option and/or selling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rFonts w:ascii="Times New Roman;sans-serif" w:hAnsi="Times New Roman;sans-serif"/>
          <w:b w:val="false"/>
          <w:color w:val="000000"/>
          <w:sz w:val="22"/>
        </w:rPr>
        <w:t>.</w:t>
      </w:r>
    </w:p>
    <w:p>
      <w:pPr>
        <w:pStyle w:val="TextBody"/>
        <w:bidi w:val="0"/>
        <w:spacing w:lineRule="auto" w:line="333" w:before="0" w:after="240"/>
        <w:jc w:val="left"/>
        <w:rPr/>
      </w:pPr>
      <w:r>
        <w:rPr>
          <w:rFonts w:ascii="Times New Roman;sans-serif" w:hAnsi="Times New Roman;sans-serif"/>
          <w:b/>
          <w:color w:val="000000"/>
          <w:sz w:val="22"/>
        </w:rPr>
        <w:t xml:space="preserve">Labor Law Information. </w:t>
      </w:r>
      <w:r>
        <w:rPr>
          <w:rFonts w:ascii="Times New Roman;sans-serif" w:hAnsi="Times New Roman;sans-serif"/>
          <w:b w:val="false"/>
          <w:color w:val="000000"/>
          <w:sz w:val="22"/>
        </w:rPr>
        <w:t xml:space="preserve">If the Optionee continues to hold shares of Common Stock acquired at exercise of the Option after an involuntary termination of the Optionee’s employment, the Optionee will not be eligible to receive unemployment benefits in Russia. </w:t>
      </w:r>
    </w:p>
    <w:p>
      <w:pPr>
        <w:pStyle w:val="TextBody"/>
        <w:bidi w:val="0"/>
        <w:spacing w:lineRule="auto" w:line="333"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94335"/>
                <wp:effectExtent l="0" t="0" r="0" b="0"/>
                <wp:wrapNone/>
                <wp:docPr id="192" name="Frame9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46</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46</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both"/>
        <w:rPr/>
      </w:pPr>
      <w:r>
        <w:rPr>
          <w:rFonts w:ascii="Times New Roman;sans-serif" w:hAnsi="Times New Roman;sans-serif"/>
          <w:b w:val="false"/>
          <w:color w:val="000000"/>
          <w:sz w:val="22"/>
        </w:rPr>
        <w:t xml:space="preserve">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Optionee’s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the Option</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The Optionee should consult with their personal legal advisor to determine the applicability of these reporting requirements to any brokerage account opened in connection with participation in the Plan.</w:t>
      </w:r>
    </w:p>
    <w:p>
      <w:pPr>
        <w:pStyle w:val="TextBody"/>
        <w:bidi w:val="0"/>
        <w:spacing w:lineRule="auto" w:line="333"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Optionee should inform the Company if the Optionee is covered by these laws because the Optionee should not hold shares of Common Stock acquired under the Plan.</w:t>
      </w:r>
    </w:p>
    <w:p>
      <w:pPr>
        <w:pStyle w:val="TextBody"/>
        <w:bidi w:val="0"/>
        <w:spacing w:lineRule="auto" w:line="312"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12" w:before="0" w:after="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The grant of the Option is not subject to the regulations concerning public offers and private placements under the Law on Capital Markets.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Optionee is permitted to acquire shares of Common Stock under the Plan</w:t>
      </w:r>
      <w:r>
        <w:rPr>
          <w:color w:val="000000"/>
        </w:rPr>
        <w:t xml:space="preserve"> </w:t>
      </w:r>
      <w:r>
        <w:rPr>
          <w:rFonts w:ascii="Times New Roman;sans-serif" w:hAnsi="Times New Roman;sans-serif"/>
          <w:b w:val="false"/>
          <w:color w:val="000000"/>
          <w:sz w:val="22"/>
        </w:rPr>
        <w:t>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Optionee agrees that any shares of Common Stock acquired pursuant to the Option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The grant of the Option is being made pursuant to the “Qualifying Person” exemption under section 273(1)(f) of the SFA and is not made to the Optionee with a view to the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94335"/>
                <wp:effectExtent l="0" t="0" r="0" b="0"/>
                <wp:wrapNone/>
                <wp:docPr id="193" name="Frame9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47</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47</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being subsequently offered for sale to any other party. The Plan has not been lodged or registered as a prospectus with the Monetary Authority of Singapore.</w:t>
      </w:r>
    </w:p>
    <w:p>
      <w:pPr>
        <w:pStyle w:val="TextBody"/>
        <w:bidi w:val="0"/>
        <w:spacing w:lineRule="auto" w:line="333"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Options,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 xml:space="preserve">when the shares of Common Stock are sold), or (iii) becoming a director, associate director or shadow director.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Optionee’s brokerage account with the Company’s designated broker).</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12" w:before="0" w:after="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Optionee’s review on the Company’s public site or intranet site, as applicable, as listed below:</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2"/>
        </w:rPr>
        <w:t xml:space="preserve">1.The Company’s most recent Annual Report (Form 10-K): from the investor relations section of the Company’s website at </w:t>
      </w:r>
      <w:r>
        <w:rPr>
          <w:rFonts w:ascii="Times New Roman;sans-serif" w:hAnsi="Times New Roman;sans-serif"/>
          <w:b w:val="false"/>
          <w:color w:val="0000FF"/>
          <w:sz w:val="22"/>
          <w:u w:val="single"/>
        </w:rPr>
        <w:t>http://www.mondelezinternational.com/investors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333" w:before="0" w:after="240"/>
        <w:ind w:left="0" w:right="0" w:hanging="360"/>
        <w:jc w:val="left"/>
        <w:rPr/>
      </w:pPr>
      <w:r>
        <w:rPr>
          <w:rFonts w:ascii="Palatino;serif" w:hAnsi="Palatino;serif"/>
          <w:b w:val="false"/>
          <w:color w:val="000000"/>
          <w:sz w:val="22"/>
        </w:rPr>
        <w:t>2.</w:t>
      </w:r>
      <w:r>
        <w:rPr>
          <w:rFonts w:ascii="Times New Roman;sans-serif" w:hAnsi="Times New Roman;sans-serif"/>
          <w:b w:val="false"/>
          <w:color w:val="000000"/>
          <w:sz w:val="22"/>
        </w:rPr>
        <w:t>The Company’s most recent Plan prospectus: a copy of which can be found on the Company’s Intranet site located at: https://intranet.mdlz.com/sites/globalhr/comp/Pages/Legal-Documents.aspx.</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94335"/>
                <wp:effectExtent l="0" t="0" r="0" b="0"/>
                <wp:wrapNone/>
                <wp:docPr id="194" name="Frame9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48</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48</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Optionee is solely responsible for complying with applicable South African exchange control regulations. In particular, the Optionee may be required to obtain approval from the South African Reserve Bank for payments (including shares of Common Stock received pursuant to the Plan) that the Optionee receives into accounts based outside of South Africa (e.g., a U.S. brokerage account).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Tax Clearance Certificate for Cash Exercises. </w:t>
      </w:r>
      <w:r>
        <w:rPr>
          <w:rFonts w:ascii="Times New Roman;sans-serif" w:hAnsi="Times New Roman;sans-serif"/>
          <w:b w:val="false"/>
          <w:color w:val="000000"/>
          <w:sz w:val="22"/>
        </w:rPr>
        <w:t>If the Optionee exercises the Option by a cash purchase exercise, the Optionee is required to 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Times New Roman;sans-serif" w:hAnsi="Times New Roman;sans-serif"/>
          <w:b w:val="false"/>
          <w:color w:val="000000"/>
          <w:sz w:val="22"/>
          <w:u w:val="single"/>
        </w:rPr>
        <w:t>SARS</w:t>
      </w:r>
      <w:r>
        <w:rPr>
          <w:color w:val="000000"/>
        </w:rPr>
        <w:t>”</w:t>
      </w:r>
      <w:r>
        <w:rPr>
          <w:rFonts w:ascii="Times New Roman;sans-serif" w:hAnsi="Times New Roman;sans-serif"/>
          <w:b w:val="false"/>
          <w:color w:val="000000"/>
          <w:sz w:val="22"/>
        </w:rPr>
        <w:t xml:space="preserve">). The Optionee must renew this Tax Clearance Certificate each twelve (12) months or in such other period as may be required by the SARS.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Optionee exercises the Option by a cashless exercise whereby no funds are remitted offshore for the purchase of shares, he or she is not required to obtain a Tax Clearance Certificate.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Under current South African exchange control policy, if the Optionee is a South African resident, he or she may invest a maximum of a certain amount (currently,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a certain amount (currently,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2"/>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a Korean resident sells shares of Common Stock and deposits sale proceeds in excess of a certain threshold (currently, US $5,000) into a non-Korean bank account, the Korean resident must file a report with a Korean foreign exchange bank. This reporting is not required if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94335"/>
                <wp:effectExtent l="0" t="0" r="0" b="0"/>
                <wp:wrapNone/>
                <wp:docPr id="195" name="Frame9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49</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49</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sale proceeds are instead deposited into a non-Korean brokerage account. It is the Optionee’s responsibility to comply with any applicable exchange control reporting obligations in Korea and the Optionee should consult with a personal legal advisor to determine the Optionee’s reporting obligations.</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a certain threshold (currently, KRW 500 million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Nature of the Grant. </w:t>
      </w:r>
      <w:r>
        <w:rPr>
          <w:rFonts w:ascii="Times New Roman;sans-serif" w:hAnsi="Times New Roman;sans-serif"/>
          <w:b w:val="false"/>
          <w:color w:val="000000"/>
          <w:sz w:val="22"/>
        </w:rPr>
        <w:t>The following provision supplements paragraph 12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Option, the Optionee consents to participation in the Plan and acknowledges that he or she has received a copy of the Plan.</w:t>
      </w:r>
    </w:p>
    <w:p>
      <w:pPr>
        <w:pStyle w:val="TextBody"/>
        <w:bidi w:val="0"/>
        <w:spacing w:lineRule="auto" w:line="352"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 </w:t>
      </w:r>
    </w:p>
    <w:p>
      <w:pPr>
        <w:pStyle w:val="TextBody"/>
        <w:bidi w:val="0"/>
        <w:spacing w:lineRule="auto" w:line="352" w:before="0" w:after="240"/>
        <w:jc w:val="left"/>
        <w:rPr/>
      </w:pPr>
      <w:r>
        <w:rPr>
          <w:rFonts w:ascii="Times New Roman;sans-serif" w:hAnsi="Times New Roman;sans-serif"/>
          <w:b w:val="false"/>
          <w:color w:val="000000"/>
          <w:sz w:val="22"/>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352"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(i) any Grant will not economically or otherwise bind the Mondelēz Group on an ongoing basis other than to the extent set forth in the Agreement; (ii) the Option and the shares of Common Stock issued upon exercise shall not become a part of any employment or contract (with the Mondelēz Group, including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94335"/>
                <wp:effectExtent l="0" t="0" r="0" b="0"/>
                <wp:wrapNone/>
                <wp:docPr id="196" name="Frame9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50</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50</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52" w:before="0" w:after="240"/>
        <w:jc w:val="left"/>
        <w:rPr/>
      </w:pPr>
      <w:r>
        <w:rPr>
          <w:rFonts w:ascii="Times New Roman;sans-serif" w:hAnsi="Times New Roman;sans-serif"/>
          <w:b w:val="false"/>
          <w:color w:val="000000"/>
          <w:sz w:val="22"/>
        </w:rPr>
        <w:t>Employer) and shall not be considered a mandatory benefit, salary for any purposes (including severance compensation) or any other right whatsoever; and (iii) the Option will cease vesting upon termination of the Optionee’s employment, as detailed in the paragraph above.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r>
        <w:rPr>
          <w:color w:val="000000"/>
        </w:rPr>
        <w:t xml:space="preserve">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46" w:before="0" w:after="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before="0" w:after="0"/>
        <w:jc w:val="left"/>
        <w:rPr/>
      </w:pPr>
      <w:r>
        <w:rPr/>
      </w:r>
    </w:p>
    <w:p>
      <w:pPr>
        <w:pStyle w:val="TextBody"/>
        <w:bidi w:val="0"/>
        <w:spacing w:lineRule="atLeast" w:line="264"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If the Optionee holds 10% or more of the Company’s share capital, the Optionee must declare the acquisition, ownership and disposition of shares of Common Stock to the Spanish </w:t>
      </w:r>
      <w:r>
        <w:rPr>
          <w:rFonts w:ascii="Times New Roman;sans-serif" w:hAnsi="Times New Roman;sans-serif"/>
          <w:b w:val="false"/>
          <w:i/>
          <w:color w:val="000000"/>
          <w:sz w:val="22"/>
        </w:rPr>
        <w:t>Dirección General de Comercio e Inversiones</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DGCI</w:t>
      </w:r>
      <w:r>
        <w:rPr>
          <w:color w:val="000000"/>
        </w:rPr>
        <w:t>”</w:t>
      </w:r>
      <w:r>
        <w:rPr>
          <w:rFonts w:ascii="Times New Roman;sans-serif" w:hAnsi="Times New Roman;sans-serif"/>
          <w:b w:val="false"/>
          <w:color w:val="000000"/>
          <w:sz w:val="22"/>
        </w:rPr>
        <w:t>) of the Ministry of Economy and Competitiveness. The declaration (via Form 6) must be made in January for shares of Common Stock acquired or disposed of during the prior calendar year and/or for shares of Common Stock owned as of December 31 of the prior calendar year; provided, if the value of the shares of Common Stock acquired or sold exceeds a certain threshold (currently, €1,502,530), the declaration must be filed within one month of the acquisition or disposition of the shares of Common Stock, as applicable.</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pStyle w:val="TextBody"/>
        <w:bidi w:val="0"/>
        <w:spacing w:lineRule="auto" w:line="333"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Optionee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a certain threshold (currently,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a certain threshold (currently,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a certain threshold (currently, €50,000), a summarized form of declaration may be presented. The Optionee should consult his or her personal tax advisor for details regarding this requirement.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94335"/>
                <wp:effectExtent l="0" t="0" r="0" b="0"/>
                <wp:wrapNone/>
                <wp:docPr id="197" name="Frame10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51</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51</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SWAZILAND</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this document nor any other materials relating to the Option (i) constitutes a prospectus according to articles 35 et seq. of the Swiss Federal Act on Financial Services (“FinSA”),</w:t>
      </w:r>
      <w:r>
        <w:rPr>
          <w:color w:val="000000"/>
        </w:rPr>
        <w:t xml:space="preserve"> </w:t>
      </w:r>
      <w:r>
        <w:rPr>
          <w:rFonts w:ascii="Times New Roman;sans-serif" w:hAnsi="Times New Roman;sans-serif"/>
          <w:b w:val="false"/>
          <w:color w:val="000000"/>
          <w:sz w:val="22"/>
        </w:rPr>
        <w:t>(ii)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Optionee hereby acknowledges that he or she has read and understood the terms regarding collection, processing 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and the shares of Common Stock to be issued pursuant to the Plan are available only to employees of the Mondelēz Group. The grant of the Option does not constitute a public offer of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94335"/>
                <wp:effectExtent l="0" t="0" r="0" b="0"/>
                <wp:wrapNone/>
                <wp:docPr id="198" name="Frame10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52</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52</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may acquire and remit foreign currency (including the Grant Price, proceeds from the sale of shares of Common Stock) into and out of Taiwan up to a certain threshold (currently, US$5,000,000) per year. If the transaction amount equals or exceeds a certain threshold (currently, TWD$500,000)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xml:space="preserve">. Notwithstanding anything to the contrary in the Agreement, due to regulatory requirements in Thailand,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proceeds from the sale of shares of Common Stock are equal to or greater than a certain threshold (currently, US$1,000,000) in a 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identification information and purposes of the transaction) to the receiving bank. </w:t>
      </w:r>
    </w:p>
    <w:p>
      <w:pPr>
        <w:pStyle w:val="TextBody"/>
        <w:bidi w:val="0"/>
        <w:spacing w:lineRule="auto" w:line="312" w:before="0" w:after="0"/>
        <w:jc w:val="left"/>
        <w:rPr/>
      </w:pPr>
      <w:r>
        <w:rPr>
          <w:rFonts w:ascii="Times New Roman;sans-serif" w:hAnsi="Times New Roman;sans-serif"/>
          <w:b w:val="false"/>
          <w:color w:val="000000"/>
          <w:sz w:val="22"/>
        </w:rPr>
        <w:t>If the Optionee does not repatriate such funds and utilizes them offshore for permissible purposes (</w:t>
      </w:r>
      <w:r>
        <w:rPr>
          <w:rFonts w:ascii="Times New Roman;sans-serif" w:hAnsi="Times New Roman;sans-serif"/>
          <w:b w:val="false"/>
          <w:i/>
          <w:color w:val="000000"/>
          <w:sz w:val="24"/>
        </w:rPr>
        <w:t>i.e.</w:t>
      </w:r>
      <w:r>
        <w:rPr>
          <w:rFonts w:ascii="Times New Roman;sans-serif" w:hAnsi="Times New Roman;sans-serif"/>
          <w:b w:val="false"/>
          <w:color w:val="000000"/>
          <w:sz w:val="22"/>
        </w:rPr>
        <w:t>, purposes not listed in the negative list prescribed by the Bank of Thailand), the Optioneee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before="0" w:after="0"/>
        <w:jc w:val="lef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pStyle w:val="TextBody"/>
        <w:bidi w:val="0"/>
        <w:spacing w:lineRule="atLeast" w:line="264"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TÜRKIYE </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Under Turkish law, the Optionee is not permitted to sell shares of Common Stock acquired under the Plan in Turkey. The shares of Common Stock are currently traded on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94335"/>
                <wp:effectExtent l="0" t="0" r="0" b="0"/>
                <wp:wrapNone/>
                <wp:docPr id="199" name="Frame10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53</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53</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Nasdaq Global Select Market, which is located outside Turkey and the shares of Common Stock may be sold through this exchange.</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may be required to engage a Turkish financial intermediary to assist with the cash exercise of 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pStyle w:val="TextBody"/>
        <w:bidi w:val="0"/>
        <w:spacing w:lineRule="auto" w:line="312"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color w:val="000000"/>
          <w:sz w:val="22"/>
        </w:rPr>
        <w:t xml:space="preserve">Cashless Exercise Restriction. </w:t>
      </w:r>
      <w:r>
        <w:rPr>
          <w:rFonts w:ascii="Times New Roman;sans-serif" w:hAnsi="Times New Roman;sans-serif"/>
          <w:b w:val="false"/>
          <w:color w:val="000000"/>
          <w:sz w:val="22"/>
        </w:rPr>
        <w:t>Notwithstanding anything to the contrary in the Agreement, due to regulatory requirements in the Ukraine,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w:t>
      </w:r>
      <w:r>
        <w:rPr>
          <w:color w:val="000000"/>
        </w:rPr>
        <w:t xml:space="preserve"> </w:t>
      </w:r>
      <w:r>
        <w:rPr>
          <w:rFonts w:ascii="Times New Roman;sans-serif" w:hAnsi="Times New Roman;sans-serif"/>
          <w:b w:val="false"/>
          <w:color w:val="000000"/>
          <w:sz w:val="22"/>
        </w:rPr>
        <w:t>The Company reserves the right to provide the Optionee with additional methods of exercise depending on the development of local law.</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2" w:before="0" w:after="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Optionees and is in the nature of providing equity incentives to Optionees in the United Arab Emirates</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4"/>
          <w:u w:val="single"/>
        </w:rPr>
        <w:t>UAE</w:t>
      </w:r>
      <w:r>
        <w:rPr>
          <w:color w:val="000000"/>
        </w:rPr>
        <w:t>”</w:t>
      </w:r>
      <w:r>
        <w:rPr>
          <w:rFonts w:ascii="Times New Roman;sans-serif" w:hAnsi="Times New Roman;sans-serif"/>
          <w:b w:val="false"/>
          <w:color w:val="000000"/>
          <w:sz w:val="22"/>
        </w:rPr>
        <w:t>). The Plan and the Agreement are intended for distribution only to such Optionees and must not be delivered to, or relied on by, any other person. Prospective purchasers of the securities offered should conduct their own due diligence on the securities.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No other UAE authority or governmental agency has approved the Plan or the Agreement nor taken steps to verify the information set out therein, and have no responsibility for such documents.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94335"/>
                <wp:effectExtent l="0" t="0" r="0" b="0"/>
                <wp:wrapNone/>
                <wp:docPr id="200" name="Frame10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54</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54</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333"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333"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bidi w:val="0"/>
        <w:spacing w:lineRule="auto" w:line="333" w:before="0" w:after="240"/>
        <w:jc w:val="left"/>
        <w:rPr/>
      </w:pPr>
      <w:r>
        <w:rPr>
          <w:rFonts w:ascii="Times New Roman;sans-serif" w:hAnsi="Times New Roman;sans-serif"/>
          <w:b w:val="false"/>
          <w:color w:val="000000"/>
          <w:sz w:val="22"/>
        </w:rPr>
        <w:t>Without limitation to paragraph 4 of the Agreement, the Optionee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ALL STATES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Tax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The Option is </w:t>
      </w:r>
      <w:r>
        <w:rPr>
          <w:rFonts w:ascii="Times New Roman;sans-serif" w:hAnsi="Times New Roman;sans-serif"/>
          <w:b w:val="false"/>
          <w:color w:val="000000"/>
          <w:sz w:val="24"/>
          <w:u w:val="single"/>
        </w:rPr>
        <w:t>not</w:t>
      </w:r>
      <w:r>
        <w:rPr>
          <w:color w:val="000000"/>
        </w:rPr>
        <w:t xml:space="preserve"> </w:t>
      </w:r>
      <w:r>
        <w:rPr>
          <w:rFonts w:ascii="Times New Roman;sans-serif" w:hAnsi="Times New Roman;sans-serif"/>
          <w:b w:val="false"/>
          <w:color w:val="000000"/>
          <w:sz w:val="22"/>
        </w:rPr>
        <w:t>an incentive stock option within the meaning of the Code.</w:t>
      </w:r>
    </w:p>
    <w:p>
      <w:pPr>
        <w:pStyle w:val="TextBody"/>
        <w:bidi w:val="0"/>
        <w:spacing w:before="0" w:after="0"/>
        <w:jc w:val="left"/>
        <w:rPr/>
      </w:pPr>
      <w:r>
        <w:rPr/>
      </w:r>
    </w:p>
    <w:p>
      <w:pPr>
        <w:pStyle w:val="TextBody"/>
        <w:bidi w:val="0"/>
        <w:spacing w:lineRule="auto" w:line="312"/>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If the Optionee holds assets (</w:t>
      </w:r>
      <w:r>
        <w:rPr>
          <w:rFonts w:ascii="Times New Roman;sans-serif" w:hAnsi="Times New Roman;sans-serif"/>
          <w:b w:val="false"/>
          <w:i/>
          <w:color w:val="000000"/>
          <w:sz w:val="24"/>
        </w:rPr>
        <w:t>i.e</w:t>
      </w:r>
      <w:r>
        <w:rPr>
          <w:rFonts w:ascii="Times New Roman;sans-serif" w:hAnsi="Times New Roman;sans-serif"/>
          <w:b w:val="false"/>
          <w:color w:val="000000"/>
          <w:sz w:val="22"/>
        </w:rPr>
        <w:t xml:space="preserve">., Option or Common Stock) or other financial assets in an account outside the United States and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94335"/>
                <wp:effectExtent l="0" t="0" r="0" b="0"/>
                <wp:wrapNone/>
                <wp:docPr id="201" name="Frame10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55</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55</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amount of said assets is a certain threshold (currently, US$10,000) or more, the Optionee is required to submit a report of Foreign Bank and Financial Account with the United States Internal Revenue Service by June 30 of the year following the year in which the assets in the Optionee’s account meet the threshold.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CALIFORNIA</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Optionee is a resident of California:</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Palatino;serif" w:hAnsi="Palatino;serif"/>
          <w:b w:val="false"/>
          <w:color w:val="000000"/>
          <w:sz w:val="24"/>
        </w:rPr>
        <w:t>1</w:t>
      </w:r>
      <w:r>
        <w:rPr>
          <w:rFonts w:ascii="Times New Roman;sans-serif" w:hAnsi="Times New Roman;sans-serif"/>
          <w:b w:val="false"/>
          <w:color w:val="000000"/>
          <w:sz w:val="22"/>
        </w:rPr>
        <w:t>Paragraph 6(a), which includes post-termination noncompetition, employee nonsolicitation and customer nonsolicitation restrictions, shall not apply. Paragraph 6(a) shall be deleted and the other sub-sections of paragraph 6 shall be renumbered accordingly.</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2The following language shall be added as a new sub-section at the end of paragraph 6: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Nothing in this Agreement is intended to interfere with the Optionee’s rights to discuss the Optionee’s wages and working conditions under the California Labor Code or the Optionee’s rights under California Code of Civil Procedure § 1670.11 or California Government Code § 12964.5. Moreover, nothing in this Agreement prevents the Optionee from discussing or disclosing information about unlawful acts in the workplace, such as harassment or discrimination or any other conduct that the Optionee has reason to believe is unlawful.</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Palatino;serif" w:hAnsi="Palatino;serif"/>
          <w:b w:val="false"/>
          <w:color w:val="000000"/>
          <w:sz w:val="24"/>
        </w:rPr>
        <w:t>3</w:t>
      </w:r>
      <w:r>
        <w:rPr>
          <w:rFonts w:ascii="Times New Roman;sans-serif" w:hAnsi="Times New Roman;sans-serif"/>
          <w:b w:val="false"/>
          <w:color w:val="000000"/>
          <w:sz w:val="22"/>
        </w:rPr>
        <w:t>If, during employment, the Optionee primarily resided in California, this Agreement shall be governed by California law and any disputes arising under this Agreement shall be heard in a California state or federal court.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This provision supplements paragraph 13 of the Agreement:</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val="false"/>
          <w:color w:val="000000"/>
          <w:sz w:val="22"/>
        </w:rPr>
        <w:t>Pursuant to applicable data protection laws, the Optionee is hereby notified that the Company collects, processes, uses and transfers certain personally-identifiable information about the Optionee for the exclusive legitimate purpose of administering the Plan and implementing, administering and managing your participation in the Plan.</w:t>
      </w:r>
      <w:r>
        <w:rPr>
          <w:color w:val="000000"/>
        </w:rPr>
        <w:t xml:space="preserve"> </w:t>
      </w:r>
      <w:r>
        <w:rPr>
          <w:rFonts w:ascii="Times New Roman;sans-serif" w:hAnsi="Times New Roman;sans-serif"/>
          <w:b w:val="false"/>
          <w:color w:val="000000"/>
          <w:sz w:val="22"/>
        </w:rPr>
        <w:t>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Optionee’s Personal Data or share it for cross-context behavioral advertising.</w:t>
      </w:r>
      <w:r>
        <w:rPr>
          <w:color w:val="000000"/>
        </w:rPr>
        <w:t xml:space="preserve"> </w:t>
      </w:r>
      <w:r>
        <w:rPr>
          <w:rFonts w:ascii="Times New Roman;sans-serif" w:hAnsi="Times New Roman;sans-serif"/>
          <w:b w:val="false"/>
          <w:color w:val="000000"/>
          <w:sz w:val="22"/>
        </w:rPr>
        <w:t xml:space="preserve">If the Optionee would like a copy of the Company’s privacy policy, please contact a local human resources representative.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94335"/>
                <wp:effectExtent l="0" t="0" r="0" b="0"/>
                <wp:wrapNone/>
                <wp:docPr id="202" name="Frame10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56</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56</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COLORADO</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Optionee is a resident of Colorado:</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Palatino;serif" w:hAnsi="Palatino;serif"/>
          <w:b w:val="false"/>
          <w:color w:val="000000"/>
          <w:sz w:val="24"/>
        </w:rPr>
        <w:t>1</w:t>
      </w:r>
      <w:r>
        <w:rPr>
          <w:rFonts w:ascii="Times New Roman;sans-serif" w:hAnsi="Times New Roman;sans-serif"/>
          <w:b w:val="false"/>
          <w:color w:val="000000"/>
          <w:sz w:val="22"/>
        </w:rPr>
        <w:t>The post-termination noncompetition restrictions in paragraph 6(a)(1) shall not apply unless the Optionee’s annualized cash compensation exceeds the statutory “highly compensated worker” threshold either at the time the Agreement is entered into or at the time of enforcement. The highly compensated worker threshold is US$127,091 for 2025 and is adjusted annually for inflation.</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Palatino;serif" w:hAnsi="Palatino;serif"/>
          <w:b w:val="false"/>
          <w:color w:val="000000"/>
          <w:sz w:val="24"/>
        </w:rPr>
        <w:t>2</w:t>
      </w:r>
      <w:r>
        <w:rPr>
          <w:rFonts w:ascii="Times New Roman;sans-serif" w:hAnsi="Times New Roman;sans-serif"/>
          <w:b w:val="false"/>
          <w:color w:val="000000"/>
          <w:sz w:val="22"/>
        </w:rPr>
        <w:t>The post-termination customer nonsolicitaton restrictions in paragraph 6(a)(3) shall not apply unless the Optionee’s annualized cash compensation exceeds 60% of the statutory “highly compensated worker threshold” (“</w:t>
      </w:r>
      <w:r>
        <w:rPr>
          <w:rFonts w:ascii="Times New Roman;sans-serif" w:hAnsi="Times New Roman;sans-serif"/>
          <w:b w:val="false"/>
          <w:color w:val="000000"/>
          <w:sz w:val="22"/>
          <w:u w:val="single"/>
        </w:rPr>
        <w:t>Nonsolicitation Compensation Threshold</w:t>
      </w:r>
      <w:r>
        <w:rPr>
          <w:color w:val="000000"/>
        </w:rPr>
        <w:t>”</w:t>
      </w:r>
      <w:r>
        <w:rPr>
          <w:rFonts w:ascii="Times New Roman;sans-serif" w:hAnsi="Times New Roman;sans-serif"/>
          <w:b w:val="false"/>
          <w:color w:val="000000"/>
          <w:sz w:val="22"/>
        </w:rPr>
        <w:t xml:space="preserve">) either at the time the Agreement is entered into or at the time of enforcement. The Nonsolicitation Compensation Threshold is US$76,254.60 for 2025.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Palatino;serif" w:hAnsi="Palatino;serif"/>
          <w:b w:val="false"/>
          <w:color w:val="000000"/>
          <w:sz w:val="24"/>
        </w:rPr>
        <w:t>3</w:t>
      </w:r>
      <w:r>
        <w:rPr>
          <w:rFonts w:ascii="Times New Roman;sans-serif" w:hAnsi="Times New Roman;sans-serif"/>
          <w:b w:val="false"/>
          <w:color w:val="000000"/>
          <w:sz w:val="22"/>
        </w:rPr>
        <w:t xml:space="preserve">The Optionee acknowledges that the post-termination noncompetition and customer nonsolicitation restrictions in paragraph 6(a)(1) and 6(a)(3) of the Agreement are no broader than is reasonably necessary to protect the Employer’s trade secrets.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DISTRICT OF COLOMBIA</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Optionee is a resident of the District of Colombia, the post-termination noncompetition restrictions in paragraph 6(a)(1) shall not apply unless the Optionee’s compensation (including wages, bonus, commissions, vested stock and other payments in connection with employment) is reasonably expected to equal or exceed in a consecutive twelve (12) month period, or does equal or exceed in the consecutive twelve (12) month period preceding the date of the Optionee’s termination of employment with the Employer, the statutory threshold for a “highly compensated employee”, which is US$154,200 for 2024 and is adjusted annually for inflation.</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ILLINOIS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xml:space="preserve">. If the Optionee is a resident of Illinois: </w:t>
      </w:r>
    </w:p>
    <w:p>
      <w:pPr>
        <w:pStyle w:val="TextBody"/>
        <w:bidi w:val="0"/>
        <w:spacing w:before="0" w:after="0"/>
        <w:jc w:val="left"/>
        <w:rPr/>
      </w:pPr>
      <w:r>
        <w:rPr/>
      </w:r>
    </w:p>
    <w:p>
      <w:pPr>
        <w:pStyle w:val="TextBody"/>
        <w:bidi w:val="0"/>
        <w:spacing w:lineRule="auto" w:line="312"/>
        <w:ind w:left="0" w:right="0" w:hanging="360"/>
        <w:jc w:val="left"/>
        <w:rPr/>
      </w:pPr>
      <w:r>
        <w:rPr>
          <w:rFonts w:ascii="Palatino;serif" w:hAnsi="Palatino;serif"/>
          <w:b w:val="false"/>
          <w:color w:val="000000"/>
          <w:sz w:val="24"/>
        </w:rPr>
        <w:t>1</w:t>
      </w:r>
      <w:r>
        <w:rPr>
          <w:rFonts w:ascii="Times New Roman;sans-serif" w:hAnsi="Times New Roman;sans-serif"/>
          <w:b w:val="false"/>
          <w:color w:val="000000"/>
          <w:sz w:val="22"/>
        </w:rPr>
        <w:t xml:space="preserve">The post-termination noncompetition restrictions in paragraph 6(a)(1) shall not apply unless the Optionee’s annualized rate of earnings at the time the restrictions are entered into exceeds the statutory minimum, which is US$75,000 per year for 2025 and is scheduled to increase to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94335"/>
                <wp:effectExtent l="0" t="0" r="0" b="0"/>
                <wp:wrapNone/>
                <wp:docPr id="203" name="Frame10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57</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57</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12" w:before="0" w:after="0"/>
        <w:jc w:val="left"/>
        <w:rPr/>
      </w:pPr>
      <w:r>
        <w:rPr>
          <w:rFonts w:ascii="Times New Roman;sans-serif" w:hAnsi="Times New Roman;sans-serif"/>
          <w:b w:val="false"/>
          <w:color w:val="000000"/>
          <w:sz w:val="22"/>
        </w:rPr>
        <w:t>US$80,000 per year on January 1, 2027, US$85,000 per year on January 1, 2032 and US$90,000 per year on January 1, 2037.</w:t>
      </w:r>
      <w:r>
        <w:rPr>
          <w:color w:val="000000"/>
        </w:rPr>
        <w:t xml:space="preserve"> </w:t>
      </w:r>
    </w:p>
    <w:p>
      <w:pPr>
        <w:pStyle w:val="TextBody"/>
        <w:bidi w:val="0"/>
        <w:spacing w:lineRule="auto" w:line="312" w:before="0" w:after="0"/>
        <w:ind w:left="0" w:right="0" w:hanging="360"/>
        <w:jc w:val="left"/>
        <w:rPr/>
      </w:pPr>
      <w:r>
        <w:rPr>
          <w:rFonts w:ascii="Palatino;serif" w:hAnsi="Palatino;serif"/>
          <w:b w:val="false"/>
          <w:color w:val="000000"/>
          <w:sz w:val="24"/>
        </w:rPr>
        <w:t>2</w:t>
      </w:r>
      <w:r>
        <w:rPr>
          <w:rFonts w:ascii="Times New Roman;sans-serif" w:hAnsi="Times New Roman;sans-serif"/>
          <w:b w:val="false"/>
          <w:color w:val="000000"/>
          <w:sz w:val="22"/>
        </w:rPr>
        <w:t xml:space="preserve">The post-termination employee nonsolicitation restrictions in paragraph 6(a)(2) and the post-termination customer nonsolicitaton restrictions in paragraph 6(a)(3) shall not apply unless the Optionee’s annualized rate of earnings at the time the restrictions are entered into exceed the statutory minimum, which is US$45,000 per year for 2025 and is scheduled to increase to US$47,500 per year on January 1, 2027, US$50,000 per year on January 1, 2032 and US$52,500 per year on January 1, 2037.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MINNESOTA</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Optionee is a</w:t>
      </w:r>
      <w:r>
        <w:rPr>
          <w:color w:val="000000"/>
        </w:rPr>
        <w:t xml:space="preserve"> </w:t>
      </w:r>
      <w:r>
        <w:rPr>
          <w:rFonts w:ascii="Times New Roman;sans-serif" w:hAnsi="Times New Roman;sans-serif"/>
          <w:b w:val="false"/>
          <w:color w:val="000000"/>
          <w:sz w:val="22"/>
        </w:rPr>
        <w:t xml:space="preserve">resident of Minnesota, the post-termination noncompetition restrictions in paragraph 6(a)(1) shall not apply.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WASHINGTON</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Optionee is a resident of Washington:</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Palatino;serif" w:hAnsi="Palatino;serif"/>
          <w:b w:val="false"/>
          <w:color w:val="000000"/>
          <w:sz w:val="24"/>
        </w:rPr>
        <w:t>1</w:t>
      </w:r>
      <w:r>
        <w:rPr>
          <w:rFonts w:ascii="Times New Roman;sans-serif" w:hAnsi="Times New Roman;sans-serif"/>
          <w:b w:val="false"/>
          <w:color w:val="000000"/>
          <w:sz w:val="22"/>
        </w:rPr>
        <w:t>The post-termination noncompetition restrictions in paragraph 6(a)(1) and the post-termination customer nonsolicitation restrictions in paragraph 6(a)(3) shall not apply unless the Optionee’s earnings from the Employer exceed the statutory threshold for Box 1 W-2 annual compensation, which is US$123,394.17 for 2025 and is adjusted annually for inflation (“</w:t>
      </w:r>
      <w:r>
        <w:rPr>
          <w:rFonts w:ascii="Times New Roman;sans-serif" w:hAnsi="Times New Roman;sans-serif"/>
          <w:b w:val="false"/>
          <w:color w:val="000000"/>
          <w:sz w:val="22"/>
          <w:u w:val="single"/>
        </w:rPr>
        <w:t>Earnings Threshold</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Palatino;serif" w:hAnsi="Palatino;serif"/>
          <w:b w:val="false"/>
          <w:color w:val="000000"/>
          <w:sz w:val="24"/>
        </w:rPr>
        <w:t>2</w:t>
      </w:r>
      <w:r>
        <w:rPr>
          <w:rFonts w:ascii="Times New Roman;sans-serif" w:hAnsi="Times New Roman;sans-serif"/>
          <w:b w:val="false"/>
          <w:color w:val="000000"/>
          <w:sz w:val="22"/>
        </w:rPr>
        <w:t xml:space="preserve">The Optionee agrees that if, at the time the Optionee signs this Agreement, the Optionee’s earnings do not exceed the Earnings Threshold, the post-termination noncompetition restrictions in paragraph 6(a)(1) and the post-termination customer nonsolicitation restrictions in paragraph 6(a)(3) will automatically become enforceable against the Optionee if and when the Optionee’s earnings exceed the Earnings Threshold. </w:t>
      </w:r>
    </w:p>
    <w:p>
      <w:pPr>
        <w:pStyle w:val="TextBody"/>
        <w:bidi w:val="0"/>
        <w:spacing w:before="0" w:after="0"/>
        <w:jc w:val="left"/>
        <w:rPr/>
      </w:pPr>
      <w:r>
        <w:rPr/>
      </w:r>
    </w:p>
    <w:p>
      <w:pPr>
        <w:pStyle w:val="TextBody"/>
        <w:bidi w:val="0"/>
        <w:spacing w:lineRule="auto" w:line="312"/>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3The post-termination noncompetition restrictions in paragraph 6(a)(1) and the post-termination customer nonsolicitaton restrictions in paragraph 6(a)(3) shall not apply if the Optionee is terminated as the result of a layoff unless, during the period of enforcement, the Employer pays the Optionee compensation equivalent to the Optionee’s final base pay at the time of termination of employment minus the amount of any compensation the Optionee earns through employment after the end of the Optionee’s employment with the Employer, which the Optionee agrees to promptly disclose. For the purposes of this paragraph, “layoff” means termination of the Optionee’s employment by the Employer for reasons of the Employer’s insolvency or decline in business, the elimination of the Optionee’s position or other purely economic factors, and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94335"/>
                <wp:effectExtent l="0" t="0" r="0" b="0"/>
                <wp:wrapNone/>
                <wp:docPr id="204" name="Frame10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58</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58</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excludes termination of the Optionee’s employment due to the Optionee’s performance, misconduct or any other reason, whether with or without cause.</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12" w:before="0" w:after="0"/>
        <w:jc w:val="left"/>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Optionee understands that the Data will be collected by the Company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Optionee further understands that any of these entities may store the Data for purposes of administering the Optionee’s participation in the Plan.</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Investment Representation</w:t>
      </w:r>
      <w:r>
        <w:rPr>
          <w:rFonts w:ascii="Times New Roman;sans-serif" w:hAnsi="Times New Roman;sans-serif"/>
          <w:b w:val="false"/>
          <w:color w:val="000000"/>
          <w:sz w:val="22"/>
        </w:rPr>
        <w:t>. As a condition of the grant of the Option, the Optionee acknowledges and agrees that any shares of Common Stock the Optionee may acquire upon exercise of the Option are acquired as and intended to be an investment rather than for the resale of the shares of Common Stock and conversion of such shares into foreign currency.</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exercise the Option or remit funds into Venezuela 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Optionee should consult with his or her personal legal advisor before accepting the Option to ensure compliance with current regulations.</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granted under the Plan and the shares of Common Stock issued under the Plan are offered as a personal, private, exclusive transaction and are not subject to Venezuelan government securities regulations. The Option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94335"/>
                <wp:effectExtent l="0" t="0" r="0" b="0"/>
                <wp:wrapNone/>
                <wp:docPr id="205" name="Frame10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59</w:t>
                            </w:r>
                            <w:r>
                              <w:br w:type="page"/>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59</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312"/>
        <w:jc w:val="left"/>
        <w:rPr/>
      </w:pPr>
      <w:r>
        <w:rPr>
          <w:rFonts w:ascii="Times New Roman;sans-serif" w:hAnsi="Times New Roman;sans-serif"/>
          <w:b/>
          <w:color w:val="000000"/>
          <w:sz w:val="22"/>
        </w:rPr>
        <w:t>Cashless Exercise Restriction or Settlement in Cash.</w:t>
      </w:r>
      <w:r>
        <w:rPr>
          <w:color w:val="000000"/>
        </w:rPr>
        <w:t xml:space="preserve"> </w:t>
      </w:r>
      <w:r>
        <w:rPr>
          <w:rFonts w:ascii="Times New Roman;sans-serif" w:hAnsi="Times New Roman;sans-serif"/>
          <w:b w:val="false"/>
          <w:color w:val="000000"/>
          <w:sz w:val="22"/>
        </w:rPr>
        <w:t>Notwithstanding anything to the contrary in the Agreement, due to exchange control requirements in Vietnam,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Alternatively, when the Optionee exercises the Option, the Company may provide that the value of such Option will be paid to the Optionee in cash by the Employer and not by the Company.</w:t>
      </w:r>
      <w:r>
        <w:rPr>
          <w:color w:val="000000"/>
        </w:rPr>
        <w:t xml:space="preserve"> </w:t>
      </w:r>
      <w:r>
        <w:rPr>
          <w:rFonts w:ascii="Times New Roman;sans-serif" w:hAnsi="Times New Roman;sans-serif"/>
          <w:b w:val="false"/>
          <w:color w:val="000000"/>
          <w:sz w:val="22"/>
        </w:rPr>
        <w:t>In such case, the amount of the cash payment shall be based on the Fair Market Value of the shares of Common Stock on the exercise date less the Grant Price and the Optionee will not be entitled to receive and/or hold shares of Common Stock under the Plan.</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94335"/>
                <wp:effectExtent l="0" t="0" r="0" b="0"/>
                <wp:wrapNone/>
                <wp:docPr id="206" name="Frame10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60</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pPr>
                      <w:r>
                        <w:rPr>
                          <w:color w:val="000000"/>
                        </w:rPr>
                        <w:t>    </w:t>
                      </w:r>
                      <w:r>
                        <w:rPr>
                          <w:rFonts w:ascii="Times New Roman;sans-serif" w:hAnsi="Times New Roman;sans-serif"/>
                          <w:b w:val="false"/>
                          <w:color w:val="000000"/>
                          <w:sz w:val="18"/>
                        </w:rPr>
                        <w:t>60</w:t>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12, 2025 </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10.4</w:t>
      </w:r>
    </w:p>
    <w:p>
      <w:pPr>
        <w:pStyle w:val="TextBody"/>
        <w:bidi w:val="0"/>
        <w:spacing w:before="0" w:after="0"/>
        <w:jc w:val="left"/>
        <w:rPr/>
      </w:pPr>
      <w:r>
        <w:rPr/>
      </w:r>
    </w:p>
    <w:p>
      <w:pPr>
        <w:pStyle w:val="TextBody"/>
        <w:bidi w:val="0"/>
        <w:spacing w:before="0" w:after="0"/>
        <w:jc w:val="right"/>
        <w:rPr/>
      </w:pPr>
      <w:r>
        <w:rPr/>
      </w:r>
    </w:p>
    <w:p>
      <w:pPr>
        <w:pStyle w:val="TextBody"/>
        <w:bidi w:val="0"/>
        <w:spacing w:lineRule="atLeast" w:line="264"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240"/>
        <w:jc w:val="center"/>
        <w:rPr/>
      </w:pPr>
      <w:r>
        <w:rPr/>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(2025-2027 Performance Cycle)</w:t>
      </w:r>
    </w:p>
    <w:p>
      <w:pPr>
        <w:pStyle w:val="TextBody"/>
        <w:bidi w:val="0"/>
        <w:spacing w:lineRule="atLeast" w:line="264" w:before="0" w:after="240"/>
        <w:jc w:val="left"/>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individual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named in the Long-Term Incentive Grant Notice (the “</w:t>
      </w:r>
      <w:r>
        <w:rPr>
          <w:rFonts w:ascii="Times New Roman;sans-serif" w:hAnsi="Times New Roman;sans-serif"/>
          <w:b w:val="false"/>
          <w:color w:val="000000"/>
          <w:sz w:val="22"/>
          <w:u w:val="single"/>
        </w:rPr>
        <w:t>Notice</w:t>
      </w:r>
      <w:r>
        <w:rPr>
          <w:color w:val="000000"/>
        </w:rPr>
        <w:t>”</w:t>
      </w:r>
      <w:r>
        <w:rPr>
          <w:rFonts w:ascii="Times New Roman;sans-serif" w:hAnsi="Times New Roman;sans-serif"/>
          <w:b w:val="false"/>
          <w:color w:val="000000"/>
          <w:sz w:val="22"/>
        </w:rPr>
        <w:t>) a Long-Term Incentive Grant (the “</w:t>
      </w:r>
      <w:r>
        <w:rPr>
          <w:rFonts w:ascii="Times New Roman;sans-serif" w:hAnsi="Times New Roman;sans-serif"/>
          <w:b w:val="false"/>
          <w:color w:val="000000"/>
          <w:sz w:val="22"/>
          <w:u w:val="single"/>
        </w:rPr>
        <w:t>LTI Grant</w:t>
      </w:r>
      <w:r>
        <w:rPr>
          <w:color w:val="000000"/>
        </w:rPr>
        <w:t>”</w:t>
      </w:r>
      <w:r>
        <w:rPr>
          <w:rFonts w:ascii="Times New Roman;sans-serif" w:hAnsi="Times New Roman;sans-serif"/>
          <w:b w:val="false"/>
          <w:color w:val="000000"/>
          <w:sz w:val="22"/>
        </w:rPr>
        <w:t>) with respect to the Performance Cycle and Performance Goals set forth in the Notice, subject to the terms and provisions of the Notice, this Global Long-Term Incentive Grant Agreement, including any country-specific appendix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and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pStyle w:val="TextBody"/>
        <w:bidi w:val="0"/>
        <w:spacing w:lineRule="auto" w:line="333" w:before="0" w:after="240"/>
        <w:jc w:val="left"/>
        <w:rPr>
          <w:color w:val="000000"/>
        </w:rPr>
      </w:pPr>
      <w:r>
        <w:rPr>
          <w:color w:val="000000"/>
        </w:rPr>
        <w:t>        </w:t>
      </w:r>
      <w:r>
        <w:rPr>
          <w:rFonts w:ascii="Times New Roman;sans-serif" w:hAnsi="Times New Roman;sans-serif"/>
          <w:b w:val="false"/>
          <w:color w:val="000000"/>
          <w:sz w:val="22"/>
        </w:rPr>
        <w:t>The LTI Grant is subject to the following terms and conditions (including the country-specific terms set forth in Appendix A to this Agreement):</w:t>
      </w:r>
    </w:p>
    <w:p>
      <w:pPr>
        <w:pStyle w:val="TextBody"/>
        <w:bidi w:val="0"/>
        <w:spacing w:lineRule="auto" w:line="333" w:before="0" w:after="240"/>
        <w:jc w:val="left"/>
        <w:rPr>
          <w:rFonts w:ascii="Times New Roman;sans-serif" w:hAnsi="Times New Roman;sans-serif"/>
          <w:b/>
          <w:color w:val="000000"/>
          <w:sz w:val="22"/>
        </w:rPr>
      </w:pPr>
      <w:r>
        <w:rPr>
          <w:rFonts w:ascii="Times New Roman;sans-serif" w:hAnsi="Times New Roman;sans-serif"/>
          <w:b/>
          <w:color w:val="000000"/>
          <w:sz w:val="22"/>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pStyle w:val="TextBody"/>
        <w:bidi w:val="0"/>
        <w:spacing w:lineRule="auto" w:line="333" w:before="0" w:after="24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r>
        <w:rPr>
          <w:color w:val="000000"/>
        </w:rPr>
        <w:t xml:space="preserve">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Affiliate</w:t>
      </w:r>
      <w:r>
        <w:rPr>
          <w:rFonts w:ascii="Times New Roman;sans-serif" w:hAnsi="Times New Roman;sans-serif"/>
          <w:b w:val="false"/>
          <w:color w:val="000000"/>
          <w:sz w:val="22"/>
        </w:rPr>
        <w:t>. “Affiliate” means any entity that directly or indirectly through one or more intermediaries controls or is controlled by the Company, in each case, as determined by the Committee.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Disability</w:t>
      </w:r>
      <w:r>
        <w:rPr>
          <w:rFonts w:ascii="Times New Roman;sans-serif" w:hAnsi="Times New Roman;sans-serif"/>
          <w:b w:val="false"/>
          <w:color w:val="000000"/>
          <w:sz w:val="22"/>
        </w:rPr>
        <w:t>. “Disability” means permanent and total disability as determined under procedures established by the Company for purposes of the Plan.</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LTI Award Payout</w:t>
      </w:r>
      <w:r>
        <w:rPr>
          <w:rFonts w:ascii="Times New Roman;sans-serif" w:hAnsi="Times New Roman;sans-serif"/>
          <w:b w:val="false"/>
          <w:color w:val="000000"/>
          <w:sz w:val="22"/>
        </w:rPr>
        <w:t xml:space="preserve">. “LTI Award Payout” means the number of shares of Common Stock (if the Award is settled in shares) or the amount (if the Award is settled in cash) in either case with the value determined as the product of (a) the LTI Grant Target multiplied by (b) the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49910"/>
                <wp:effectExtent l="0" t="0" r="0" b="0"/>
                <wp:wrapNone/>
                <wp:docPr id="207" name="Frame110"/>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Performance Goal Attainment Factor (subject to the Committee’s discretion specified in paragraph 4(c)), and, in the case of a Participant who terminates employment before the last day of the Performance Cycle and is otherwise eligible for a pro rata payout in accordance with the terms of this Agreement, further multiplied by (c) the Participation Period Factor.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LTI Grant Target</w:t>
      </w:r>
      <w:r>
        <w:rPr>
          <w:rFonts w:ascii="Times New Roman;sans-serif" w:hAnsi="Times New Roman;sans-serif"/>
          <w:b w:val="false"/>
          <w:color w:val="000000"/>
          <w:sz w:val="22"/>
        </w:rPr>
        <w:t>. “LTI Grant Target” means the target number of shares of Common Stock or amount set forth in the Notice.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Maximum Goal Factor</w:t>
      </w:r>
      <w:r>
        <w:rPr>
          <w:rFonts w:ascii="Times New Roman;sans-serif" w:hAnsi="Times New Roman;sans-serif"/>
          <w:b w:val="false"/>
          <w:color w:val="000000"/>
          <w:sz w:val="22"/>
        </w:rPr>
        <w:t>. “Maximum Goal Factor” means the maximum percentage set forth in the Notice.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Participation Period Factor</w:t>
      </w:r>
      <w:r>
        <w:rPr>
          <w:rFonts w:ascii="Times New Roman;sans-serif" w:hAnsi="Times New Roman;sans-serif"/>
          <w:b w:val="false"/>
          <w:color w:val="000000"/>
          <w:sz w:val="22"/>
        </w:rPr>
        <w:t xml:space="preserve">.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Performance Cycle</w:t>
      </w:r>
      <w:r>
        <w:rPr>
          <w:rFonts w:ascii="Times New Roman;sans-serif" w:hAnsi="Times New Roman;sans-serif"/>
          <w:b w:val="false"/>
          <w:color w:val="000000"/>
          <w:sz w:val="22"/>
        </w:rPr>
        <w:t xml:space="preserve">. “Performance Cycle” means the performance period set forth in the Notice over which the attainment of the Performance Goals will be measured for the purpose of determining the LTI Award Payout.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Performance Goal Attainment Factor</w:t>
      </w:r>
      <w:r>
        <w:rPr>
          <w:rFonts w:ascii="Times New Roman;sans-serif" w:hAnsi="Times New Roman;sans-serif"/>
          <w:b w:val="false"/>
          <w:color w:val="000000"/>
          <w:sz w:val="22"/>
        </w:rPr>
        <w:t xml:space="preserve">. “Performance Goal Attainment Factor” means a percentage ranging from 0% to the Maximum Goal Factor representing the level at which the Performance Goals have been attained as determined by the Committee. </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xml:space="preserve">.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 </w:t>
      </w:r>
    </w:p>
    <w:p>
      <w:pPr>
        <w:pStyle w:val="TextBody"/>
        <w:bidi w:val="0"/>
        <w:spacing w:lineRule="auto" w:line="333" w:before="0" w:after="24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Incorporation of Terms of Plan</w:t>
      </w:r>
      <w:r>
        <w:rPr>
          <w:rFonts w:ascii="Times New Roman;sans-serif" w:hAnsi="Times New Roman;sans-serif"/>
          <w:b w:val="false"/>
          <w:color w:val="000000"/>
          <w:sz w:val="22"/>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pStyle w:val="TextBody"/>
        <w:bidi w:val="0"/>
        <w:spacing w:lineRule="auto" w:line="333" w:before="0" w:after="24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Vesting and Forfeiture</w:t>
      </w:r>
      <w:r>
        <w:rPr>
          <w:rFonts w:ascii="Times New Roman;sans-serif" w:hAnsi="Times New Roman;sans-serif"/>
          <w:b w:val="false"/>
          <w:color w:val="000000"/>
          <w:sz w:val="22"/>
        </w:rPr>
        <w:t>.</w:t>
      </w:r>
    </w:p>
    <w:p>
      <w:pPr>
        <w:pStyle w:val="TextBody"/>
        <w:bidi w:val="0"/>
        <w:spacing w:lineRule="atLeast" w:line="246" w:before="0" w:after="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if the Committee determines that the Performance Goals for the Performance Cycle have been met, the Participant is continuously and actively employed by a member of the Mondelēz Group from the Grant Date until the shares of Common Stock are distributed (unless the Committee determines otherwise or in connection with the Participant’s Retirement, death or Disability), and the other terms and conditions set forth in the Plan have been satisfied, an Award will be made to the Participant based on the Participant’s LTI Award Payout.</w:t>
      </w:r>
    </w:p>
    <w:p>
      <w:pPr>
        <w:pStyle w:val="TextBody"/>
        <w:bidi w:val="0"/>
        <w:ind w:left="0" w:right="0" w:firstLine="10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49910"/>
                <wp:effectExtent l="0" t="0" r="0" b="0"/>
                <wp:wrapNone/>
                <wp:docPr id="208" name="Frame111"/>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Forfeiture</w:t>
      </w:r>
      <w:r>
        <w:rPr>
          <w:rFonts w:ascii="Times New Roman;sans-serif" w:hAnsi="Times New Roman;sans-serif"/>
          <w:b w:val="false"/>
          <w:color w:val="000000"/>
          <w:sz w:val="22"/>
        </w:rPr>
        <w:t>. Unless determined otherwise by the Committee or except as expressly provided in this Agreement, if the Participant has not been continuously and actively employed with a member of the Mondelēz Group that employs the Participant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Times New Roman;sans-serif" w:hAnsi="Times New Roman;sans-serif"/>
          <w:b w:val="false"/>
          <w:i/>
          <w:color w:val="000000"/>
          <w:sz w:val="22"/>
        </w:rPr>
        <w:t>e.g.</w:t>
      </w:r>
      <w:r>
        <w:rPr>
          <w:rFonts w:ascii="Times New Roman;sans-serif" w:hAnsi="Times New Roman;sans-serif"/>
          <w:b w:val="false"/>
          <w:color w:val="000000"/>
          <w:sz w:val="22"/>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pStyle w:val="TextBody"/>
        <w:bidi w:val="0"/>
        <w:spacing w:lineRule="atLeast" w:line="264"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Disability</w:t>
      </w:r>
      <w:r>
        <w:rPr>
          <w:rFonts w:ascii="Times New Roman;sans-serif" w:hAnsi="Times New Roman;sans-serif"/>
          <w:b w:val="false"/>
          <w:color w:val="000000"/>
          <w:sz w:val="22"/>
        </w:rPr>
        <w:t>. If the Participant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pStyle w:val="TextBody"/>
        <w:bidi w:val="0"/>
        <w:spacing w:lineRule="auto" w:line="312" w:before="0" w:after="0"/>
        <w:ind w:left="0" w:right="0" w:firstLine="1440"/>
        <w:jc w:val="left"/>
        <w:rPr/>
      </w:pPr>
      <w:r>
        <w:rPr>
          <w:rFonts w:ascii="Times New Roman;sans-serif" w:hAnsi="Times New Roman;sans-serif"/>
          <w:b w:val="false"/>
          <w:color w:val="000000"/>
          <w:sz w:val="22"/>
        </w:rPr>
        <w:t>(ii)</w:t>
      </w:r>
      <w:r>
        <w:rPr>
          <w:color w:val="000000"/>
        </w:rPr>
        <w:t xml:space="preserve"> </w:t>
      </w:r>
      <w:r>
        <w:rPr>
          <w:rFonts w:ascii="Times New Roman;sans-serif" w:hAnsi="Times New Roman;sans-serif"/>
          <w:b w:val="false"/>
          <w:color w:val="000000"/>
          <w:sz w:val="22"/>
          <w:u w:val="single"/>
        </w:rPr>
        <w:t>Death</w:t>
      </w:r>
      <w:r>
        <w:rPr>
          <w:rFonts w:ascii="Times New Roman;sans-serif" w:hAnsi="Times New Roman;sans-serif"/>
          <w:b w:val="false"/>
          <w:color w:val="000000"/>
          <w:sz w:val="22"/>
        </w:rPr>
        <w:t>. If the Participant dies, the restrictions on the LTI Grant shall lapse and the LTI Grant shall become fully vested on the date of the Participant’s death. The LTI Award Payout will be made to the Participant by using a Performance Goal Attainment Factor equal to 100%, subject to compliance with the payment timing provisions set forth in paragraph 4(a)(iii) hereof.</w:t>
      </w:r>
    </w:p>
    <w:p>
      <w:pPr>
        <w:pStyle w:val="TextBody"/>
        <w:bidi w:val="0"/>
        <w:spacing w:lineRule="atLeast" w:line="220" w:before="0" w:after="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w:t>
      </w:r>
    </w:p>
    <w:p>
      <w:pPr>
        <w:pStyle w:val="TextBody"/>
        <w:bidi w:val="0"/>
        <w:spacing w:lineRule="atLeast" w:line="288" w:before="0" w:after="240"/>
        <w:ind w:left="0" w:right="0" w:firstLine="2160"/>
        <w:jc w:val="left"/>
        <w:rPr/>
      </w:pPr>
      <w:r>
        <w:rPr>
          <w:rFonts w:ascii="Times New Roman;sans-serif" w:hAnsi="Times New Roman;sans-serif"/>
          <w:b w:val="false"/>
          <w:color w:val="000000"/>
          <w:sz w:val="20"/>
        </w:rPr>
        <w:t>(A)</w:t>
      </w:r>
      <w:r>
        <w:rPr>
          <w:rFonts w:ascii="Times New Roman;sans-serif" w:hAnsi="Times New Roman;sans-serif"/>
          <w:b w:val="false"/>
          <w:color w:val="000000"/>
          <w:sz w:val="22"/>
        </w:rPr>
        <w:t>in the event that the Participant’s Retirement occurs because the Participant is age 65 or older with at least five (5)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occurs on or after the 181st day following the Grant Date, the Participant shall remain eligible to receive a LTI Award Payout with a Participation Period Factor equal to 100% (the LTI Award Payout will not be prorated) based on actual attainment of the Performance Goals, payable in accordance with the payment timing provisions set forth in paragraph 4(a)(iii) hereof</w:t>
      </w:r>
      <w:r>
        <w:rPr>
          <w:rFonts w:ascii="Times New Roman;sans-serif" w:hAnsi="Times New Roman;sans-serif"/>
          <w:b w:val="false"/>
          <w:color w:val="000000"/>
          <w:sz w:val="24"/>
        </w:rPr>
        <w:t>.</w:t>
      </w:r>
    </w:p>
    <w:p>
      <w:pPr>
        <w:pStyle w:val="TextBody"/>
        <w:bidi w:val="0"/>
        <w:spacing w:lineRule="atLeast" w:line="264" w:before="0" w:after="240"/>
        <w:ind w:left="0" w:right="0" w:firstLine="2160"/>
        <w:jc w:val="left"/>
        <w:rPr/>
      </w:pPr>
      <w:r>
        <w:rPr>
          <w:rFonts w:ascii="Times New Roman;sans-serif" w:hAnsi="Times New Roman;sans-serif"/>
          <w:b w:val="false"/>
          <w:color w:val="000000"/>
          <w:sz w:val="20"/>
        </w:rPr>
        <w:t>(B)</w:t>
      </w:r>
      <w:r>
        <w:rPr>
          <w:rFonts w:ascii="Times New Roman;sans-serif" w:hAnsi="Times New Roman;sans-serif"/>
          <w:b w:val="false"/>
          <w:color w:val="000000"/>
          <w:sz w:val="22"/>
        </w:rPr>
        <w:t>in the event that the Participant’s Retirement occurs because the Participant is age 55 or older with at least ten (10)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 xml:space="preserve">occurs on or after the 181st day following the Grant Date, the Participant shall remain eligible to receive a prorated LTI Award Payout (calculated pursuant to paragraph 1(c) of this Agreement) based on actual attainment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49910"/>
                <wp:effectExtent l="0" t="0" r="0" b="0"/>
                <wp:wrapNone/>
                <wp:docPr id="209" name="Frame112"/>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Goals, payable in accordance with the payment timing provisions set forth in paragraph 4(a)(iii) hereof.</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purposes of this paragraph 3(b), any prorated LTI Award Payout will be calculated by applying the Participant’s Participation Period Factor as determined in the sole discretion of the Committee, subject to compliance with the payment timing provisions set forth in paragraph 4 hereof.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pStyle w:val="TextBody"/>
        <w:bidi w:val="0"/>
        <w:spacing w:lineRule="auto" w:line="333" w:before="0" w:after="24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Payment</w:t>
      </w:r>
      <w:r>
        <w:rPr>
          <w:rFonts w:ascii="Times New Roman;sans-serif" w:hAnsi="Times New Roman;sans-serif"/>
          <w:b w:val="false"/>
          <w:color w:val="000000"/>
          <w:sz w:val="22"/>
        </w:rPr>
        <w:t>.</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Form and Time of Payment</w:t>
      </w:r>
      <w:r>
        <w:rPr>
          <w:rFonts w:ascii="Times New Roman;sans-serif" w:hAnsi="Times New Roman;sans-serif"/>
          <w:b w:val="false"/>
          <w:color w:val="000000"/>
          <w:sz w:val="22"/>
        </w:rPr>
        <w:t>.</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Form of Payment</w:t>
      </w:r>
      <w:r>
        <w:rPr>
          <w:rFonts w:ascii="Times New Roman;sans-serif" w:hAnsi="Times New Roman;sans-serif"/>
          <w:b w:val="false"/>
          <w:color w:val="000000"/>
          <w:sz w:val="22"/>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Certification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Performance Goal Attainment Factor Determination</w:t>
      </w:r>
      <w:r>
        <w:rPr>
          <w:rFonts w:ascii="Times New Roman;sans-serif" w:hAnsi="Times New Roman;sans-serif"/>
          <w:b w:val="false"/>
          <w:color w:val="000000"/>
          <w:sz w:val="22"/>
        </w:rPr>
        <w:t xml:space="preserve">. Following the completion of the Performance Cycle and, subject to paragraphs 3(b)(i)-(ii) and paragraph 5 hereof, prior to the payment of an Award, the Committee shall certify in writing whether the applicable Performance Goals were achieved for the Performance Cycle and shall determine the Performance Goal Attainment Factor with respect to the Award. </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Payment Timing</w:t>
      </w:r>
      <w:r>
        <w:rPr>
          <w:rFonts w:ascii="Times New Roman;sans-serif" w:hAnsi="Times New Roman;sans-serif"/>
          <w:b w:val="false"/>
          <w:color w:val="000000"/>
          <w:sz w:val="22"/>
        </w:rPr>
        <w:t xml:space="preserve">. Subject to the terms of this Agreement, including paragraph 22, the Award shall be paid as follows: </w:t>
      </w:r>
    </w:p>
    <w:p>
      <w:pPr>
        <w:pStyle w:val="TextBody"/>
        <w:bidi w:val="0"/>
        <w:spacing w:lineRule="auto" w:line="333" w:before="0" w:after="240"/>
        <w:ind w:left="0" w:right="0" w:firstLine="2160"/>
        <w:jc w:val="left"/>
        <w:rPr/>
      </w:pPr>
      <w:r>
        <w:rPr>
          <w:rFonts w:ascii="Times New Roman;sans-serif" w:hAnsi="Times New Roman;sans-serif"/>
          <w:b w:val="false"/>
          <w:color w:val="000000"/>
          <w:sz w:val="20"/>
        </w:rPr>
        <w:t>(A)</w:t>
      </w:r>
      <w:r>
        <w:rPr>
          <w:rFonts w:ascii="Times New Roman;sans-serif" w:hAnsi="Times New Roman;sans-serif"/>
          <w:b w:val="false"/>
          <w:color w:val="000000"/>
          <w:sz w:val="22"/>
        </w:rPr>
        <w:t>The LTI Award Payout, including a payout upon a Participant’s Retirement described under paragraph 3(b)(iii)(A)</w:t>
      </w:r>
      <w:r>
        <w:rPr>
          <w:color w:val="000000"/>
        </w:rPr>
        <w:t xml:space="preserve"> </w:t>
      </w:r>
      <w:r>
        <w:rPr>
          <w:rFonts w:ascii="Times New Roman;sans-serif" w:hAnsi="Times New Roman;sans-serif"/>
          <w:b w:val="false"/>
          <w:color w:val="000000"/>
          <w:sz w:val="22"/>
        </w:rPr>
        <w:t>hereof or paragraph 3(b)(iii)(B)</w:t>
      </w:r>
      <w:r>
        <w:rPr>
          <w:color w:val="000000"/>
        </w:rPr>
        <w:t xml:space="preserve"> </w:t>
      </w:r>
      <w:r>
        <w:rPr>
          <w:rFonts w:ascii="Times New Roman;sans-serif" w:hAnsi="Times New Roman;sans-serif"/>
          <w:b w:val="false"/>
          <w:color w:val="000000"/>
          <w:sz w:val="22"/>
        </w:rPr>
        <w:t xml:space="preserve">hereof shall be paid as soon as practicable between January 1 and March 15 of the calendar year immediately following or coinciding with the end of the Performance Cycle following the date the Committee determines that the Performance Goals for the Performance Cycle have been attained and determines an LTI Grant has vested and is payable for the Performance Cycle. </w:t>
      </w:r>
    </w:p>
    <w:p>
      <w:pPr>
        <w:pStyle w:val="TextBody"/>
        <w:bidi w:val="0"/>
        <w:spacing w:lineRule="auto" w:line="333" w:before="0" w:after="240"/>
        <w:ind w:left="0" w:right="0" w:firstLine="2160"/>
        <w:jc w:val="left"/>
        <w:rPr/>
      </w:pPr>
      <w:r>
        <w:rPr>
          <w:rFonts w:ascii="Times New Roman;sans-serif" w:hAnsi="Times New Roman;sans-serif"/>
          <w:b w:val="false"/>
          <w:color w:val="000000"/>
          <w:sz w:val="20"/>
        </w:rPr>
        <w:t>(B)</w:t>
      </w:r>
      <w:r>
        <w:rPr>
          <w:rFonts w:ascii="Times New Roman;sans-serif" w:hAnsi="Times New Roman;sans-serif"/>
          <w:b w:val="false"/>
          <w:color w:val="000000"/>
          <w:sz w:val="22"/>
        </w:rPr>
        <w:t xml:space="preserve">An Award that becomes payable under paragraph 3(b)(ii) hereof in connection with a Participant’s death shall be paid within 75 days following the Participant’s death.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49910"/>
                <wp:effectExtent l="0" t="0" r="0" b="0"/>
                <wp:wrapNone/>
                <wp:docPr id="210" name="Frame113"/>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firstLine="2160"/>
        <w:jc w:val="left"/>
        <w:rPr/>
      </w:pPr>
      <w:r>
        <w:rPr>
          <w:rFonts w:ascii="Times New Roman;sans-serif" w:hAnsi="Times New Roman;sans-serif"/>
          <w:b w:val="false"/>
          <w:color w:val="000000"/>
          <w:sz w:val="20"/>
        </w:rPr>
        <w:t>(C)</w:t>
      </w:r>
      <w:r>
        <w:rPr>
          <w:rFonts w:ascii="Times New Roman;sans-serif" w:hAnsi="Times New Roman;sans-serif"/>
          <w:b w:val="false"/>
          <w:color w:val="000000"/>
          <w:sz w:val="22"/>
        </w:rPr>
        <w:t>An Award that becomes payable in connection with the Participant’s termination resulting from Disability as described under paragraph 3(b)(i) shall be paid within 75 days following such Disability, provided that if the Participant is subject to taxation under the laws of the U.S., the Award is considered Deferred Compensation (as defined in paragraph 22 hereof) and is payable upon a termination resulting from Disability and the Disability experienced by the Participant does not constitute a “disability” within the meaning of Section 409A of the Code (in each case as determined by the Company in its sole discretion), then such payment shall be made in accordance with the payment timing described under paragraph 4(a)(iii)(A) hereof.</w:t>
      </w:r>
    </w:p>
    <w:p>
      <w:pPr>
        <w:pStyle w:val="TextBody"/>
        <w:bidi w:val="0"/>
        <w:spacing w:before="0" w:after="0"/>
        <w:jc w:val="left"/>
        <w:rPr/>
      </w:pPr>
      <w:r>
        <w:rPr/>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Conditions to Payment of an Award</w:t>
      </w:r>
      <w:r>
        <w:rPr>
          <w:rFonts w:ascii="Times New Roman;sans-serif" w:hAnsi="Times New Roman;sans-serif"/>
          <w:b w:val="false"/>
          <w:color w:val="000000"/>
          <w:sz w:val="22"/>
        </w:rPr>
        <w:t>. Notwithstanding any other provision of this Agreement (including without limitation paragraph 3(a) hereof):</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Payment Amount</w:t>
      </w:r>
      <w:r>
        <w:rPr>
          <w:rFonts w:ascii="Times New Roman;sans-serif" w:hAnsi="Times New Roman;sans-serif"/>
          <w:b w:val="false"/>
          <w:color w:val="000000"/>
          <w:sz w:val="22"/>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pStyle w:val="TextBody"/>
        <w:bidi w:val="0"/>
        <w:spacing w:lineRule="auto" w:line="333" w:before="0" w:after="24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Treatment Upon a Change in Control</w:t>
      </w:r>
      <w:r>
        <w:rPr>
          <w:rFonts w:ascii="Times New Roman;sans-serif" w:hAnsi="Times New Roman;sans-serif"/>
          <w:b w:val="false"/>
          <w:color w:val="000000"/>
          <w:sz w:val="22"/>
        </w:rPr>
        <w:t>. In the event of a Change in Control (as defined in Section 6(b) of the Plan), the LTI Grant is subject to the terms provided in Section 6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49910"/>
                <wp:effectExtent l="0" t="0" r="0" b="0"/>
                <wp:wrapNone/>
                <wp:docPr id="211" name="Frame114"/>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 xml:space="preserve">. </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Company’s chief human resources officer,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Participant,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tLeast" w:line="269" w:before="0" w:after="0"/>
        <w:ind w:left="0" w:right="0" w:firstLine="720"/>
        <w:jc w:val="left"/>
        <w:rPr/>
      </w:pPr>
      <w:r>
        <w:rPr>
          <w:rFonts w:ascii="Times New Roman;sans-serif" w:hAnsi="Times New Roman;sans-serif"/>
          <w:b w:val="false"/>
          <w:color w:val="000000"/>
          <w:sz w:val="22"/>
        </w:rPr>
        <w:t xml:space="preserve">The provisions contained herein in paragraph 6 are not in lieu of, but are in addition to, the Participant’s confidentiality obligations to the </w:t>
      </w:r>
      <w:r>
        <w:rPr>
          <w:rFonts w:ascii="Times New Roman;sans-serif" w:hAnsi="Times New Roman;sans-serif"/>
          <w:b w:val="false"/>
          <w:color w:val="000000"/>
          <w:sz w:val="24"/>
        </w:rPr>
        <w:t>Mondelēz Group</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tLeast" w:line="25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The Participant is under a continuing obligation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49910"/>
                <wp:effectExtent l="0" t="0" r="0" b="0"/>
                <wp:wrapNone/>
                <wp:docPr id="212" name="Frame115"/>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tLeast" w:line="253" w:before="0" w:after="0"/>
        <w:jc w:val="left"/>
        <w:rPr/>
      </w:pPr>
      <w:r>
        <w:rPr>
          <w:rFonts w:ascii="Times New Roman;sans-serif" w:hAnsi="Times New Roman;sans-serif"/>
          <w:b w:val="false"/>
          <w:color w:val="000000"/>
          <w:sz w:val="22"/>
        </w:rPr>
        <w:t>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The Participant understands and agrees that Confidential Information developed by the Participant in the course of the Participant’s employment by the Employer shall be subject to the terms and conditions of this Agreement as if the Employer furnished the same Confidential Information to the Participant in the first instance.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By acceptance of any Grant (including the LTI Grant) under the Plan, the Participant acknowledges and agrees that if the Participant breaches any of the covenants set forth in paragraph 6: </w:t>
      </w:r>
    </w:p>
    <w:p>
      <w:pPr>
        <w:pStyle w:val="TextBody"/>
        <w:bidi w:val="0"/>
        <w:spacing w:before="0" w:after="0"/>
        <w:ind w:left="0" w:right="0" w:firstLine="1080"/>
        <w:jc w:val="left"/>
        <w:rPr/>
      </w:pPr>
      <w:r>
        <w:rPr/>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or unearned Grants (including any unearned portion of the LTI Grant) shall be immediately forfeited;</w:t>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    If any provision contained in this paragraph 6 shall for any reason, whether by application of existing law or law which may develop after the Participant’s acceptance of a Grant under the Plan be determined by a court of competent jurisdiction to be overly broad as to scope of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49910"/>
                <wp:effectExtent l="0" t="0" r="0" b="0"/>
                <wp:wrapNone/>
                <wp:docPr id="213" name="Frame116"/>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activity, duration or territory, the Participant agrees to join the Mondelēz Group in requesting such court to construe such provision by limiting or reducing it so as to be enforceable to the extent compatible with then applicable law.</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The Participant is hereby advised in writing to consult with an attorney before entering into the covenants outlined in this paragraph 6. The Participant acknowledges that prior to acceptance of this Agreement, the Participant has been advised by the Company of the Participant’s right to seek independent advice from an attorney of the Participant’s own selection regarding this Agreement, including the restraints imposed upon him or her pursuant to this paragraph 6. The Participant acknowledges that they have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their own judgment and any advice provided by the Participant’s attorney. The Participant acknowledges he or she has been provided at minimum 14 calendar days to review the provisions contained herein but may voluntarily waive this period and sign prior to the 14 calendar day period lapsing.</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For purposes of this paragraph 6, the Company and any member of the Mondelēz Group shall be deemed to be third-party beneficiaries with the right to seek enforcement of any of the provisions of this paragraph 6. Further, for purposes of this paragraph6, references to acting directly or indirectly include acting jointly with or through another person.</w:t>
      </w:r>
    </w:p>
    <w:p>
      <w:pPr>
        <w:pStyle w:val="TextBody"/>
        <w:bidi w:val="0"/>
        <w:spacing w:lineRule="auto" w:line="333" w:before="0" w:after="24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xml:space="preserve">.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Participant may receive hereunder shall be subject to repayment or forfeiture as may be required to comply with the requirements under the U.S.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49910"/>
                <wp:effectExtent l="0" t="0" r="0" b="0"/>
                <wp:wrapNone/>
                <wp:docPr id="214" name="Frame117"/>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rPr>
        <w:t>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policy, the Participant hereby expressly acknowledges and agrees that the Company shall have the right to reduce, cancel, or withhold against outstanding, unvested, vested, or future cash or equity-based compensation owed or due to the Participant, to the maximum extent permitted under applicable law. No such recovery will be an event giving rise to a right to resign for Good Reason or be deemed a “constructive termination” (or any similar term) as such terms are used in any agreement between the Participant and the Company or under any severance plans applicable to the Participant.</w:t>
      </w:r>
    </w:p>
    <w:p>
      <w:pPr>
        <w:pStyle w:val="TextBody"/>
        <w:bidi w:val="0"/>
        <w:spacing w:lineRule="auto" w:line="333" w:before="0" w:after="24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also authorized to satisfy the actual Tax-Related Items arising from the vesting or payment of any Award relating to the LTI Grant, the sale of shares of Common Stock issued </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49910"/>
                <wp:effectExtent l="0" t="0" r="0" b="0"/>
                <wp:wrapNone/>
                <wp:docPr id="215" name="Frame118"/>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 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 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 or, if not refunded, the Participant may be able to seek a refund from the applicable tax authorities. In the event of under-withholding, the Participant may be required to pay any additional Tax-Related Items directly to the applicable tax authority or to the Company and/or the Employer.</w:t>
      </w:r>
    </w:p>
    <w:p>
      <w:pPr>
        <w:pStyle w:val="TextBody"/>
        <w:bidi w:val="0"/>
        <w:spacing w:lineRule="auto" w:line="333" w:before="0" w:after="240"/>
        <w:jc w:val="left"/>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By participating in the Plan and in exchange for receiving the LTI Grant, the Participant acknowledges, understands and agrees that:</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49910"/>
                <wp:effectExtent l="0" t="0" r="0" b="0"/>
                <wp:wrapNone/>
                <wp:docPr id="216" name="Frame119"/>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LTI Grant is exceptional, voluntary and occasional and does not create any contractual or other right to receive future awards, or benefits in lieu of LTI Grants, even if LTI Grants have been made in the past;</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all decisions with respect to future LTI Grants, if any, will be at the sole discretion of the Committee;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the Participant’s participation in the Plan is voluntary;</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LTI Grant and the shares of Common Stock, and the income and value of same, subject to the LTI Grant are not intended to replace any pension rights or compensation;</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the future value of the underlying shares of Common Stock is unknown, indeterminable and cannot be predicted;</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LTI Grant and the shares of Common Stock subject to the LTI Grant, and the income and value of same, are not part of normal or expected compensation or salary for any purpose; </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no claim or entitlement to compensation or damages shall arise from forfeiture of the LTI Grant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acquired under the Plan</w:t>
      </w:r>
      <w:r>
        <w:rPr>
          <w:color w:val="000000"/>
        </w:rPr>
        <w:t xml:space="preserve"> </w:t>
      </w:r>
      <w:r>
        <w:rPr>
          <w:rFonts w:ascii="Times New Roman;sans-serif" w:hAnsi="Times New Roman;sans-serif"/>
          <w:b w:val="false"/>
          <w:color w:val="000000"/>
          <w:sz w:val="22"/>
        </w:rPr>
        <w:t>resulting from (a)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r>
        <w:rPr>
          <w:color w:val="000000"/>
          <w:shd w:fill="FFFFFF" w:val="clear"/>
        </w:rPr>
        <w:t xml:space="preserve">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49910"/>
                <wp:effectExtent l="0" t="0" r="0" b="0"/>
                <wp:wrapNone/>
                <wp:docPr id="217" name="Frame120"/>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tLeast" w:line="264" w:before="0" w:after="240"/>
        <w:ind w:left="0" w:right="0" w:hanging="23"/>
        <w:jc w:val="left"/>
        <w:rPr/>
      </w:pPr>
      <w:r>
        <w:rPr>
          <w:rFonts w:ascii="Times New Roman;sans-serif" w:hAnsi="Times New Roman;sans-serif"/>
          <w:b w:val="false"/>
          <w:color w:val="000000"/>
          <w:sz w:val="22"/>
        </w:rPr>
        <w:t>10.</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Participant hereby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Participant’s participation in the Plan.</w:t>
      </w:r>
    </w:p>
    <w:p>
      <w:pPr>
        <w:pStyle w:val="TextBody"/>
        <w:bidi w:val="0"/>
        <w:spacing w:lineRule="atLeast" w:line="264"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 </w:t>
      </w:r>
    </w:p>
    <w:p>
      <w:pPr>
        <w:pStyle w:val="TextBody"/>
        <w:bidi w:val="0"/>
        <w:spacing w:lineRule="auto" w:line="333" w:before="0" w:after="240"/>
        <w:jc w:val="left"/>
        <w:rPr/>
      </w:pPr>
      <w:r>
        <w:rPr>
          <w:rFonts w:ascii="Times New Roman;sans-serif" w:hAnsi="Times New Roman;sans-serif"/>
          <w:b/>
          <w:i/>
          <w:color w:val="000000"/>
          <w:sz w:val="22"/>
        </w:rPr>
        <w:t>The Participant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49910"/>
                <wp:effectExtent l="0" t="0" r="0" b="0"/>
                <wp:wrapNone/>
                <wp:docPr id="218" name="Frame121"/>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pStyle w:val="TextBody"/>
        <w:bidi w:val="0"/>
        <w:spacing w:lineRule="auto" w:line="333" w:before="0" w:after="24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Nontransferability of LTI Grant</w:t>
      </w:r>
      <w:r>
        <w:rPr>
          <w:rFonts w:ascii="Times New Roman;sans-serif" w:hAnsi="Times New Roman;sans-serif"/>
          <w:b w:val="false"/>
          <w:color w:val="000000"/>
          <w:sz w:val="22"/>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pStyle w:val="TextBody"/>
        <w:bidi w:val="0"/>
        <w:spacing w:lineRule="auto" w:line="333" w:before="0" w:after="24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Rights as Shareholder</w:t>
      </w:r>
      <w:r>
        <w:rPr>
          <w:rFonts w:ascii="Times New Roman;sans-serif" w:hAnsi="Times New Roman;sans-serif"/>
          <w:b w:val="false"/>
          <w:color w:val="000000"/>
          <w:sz w:val="22"/>
        </w:rPr>
        <w:t xml:space="preserve">.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provide for the accrual of dividend equivalents on the outstanding LTI Grant which shall be subject to the same vesting restrictions and conditions as the LTI Grant and may be subject to such additional restrictions and conditions as the Committee may establish. </w:t>
      </w:r>
    </w:p>
    <w:p>
      <w:pPr>
        <w:pStyle w:val="TextBody"/>
        <w:bidi w:val="0"/>
        <w:spacing w:lineRule="auto" w:line="333" w:before="0" w:after="240"/>
        <w:jc w:val="left"/>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pStyle w:val="TextBody"/>
        <w:bidi w:val="0"/>
        <w:spacing w:lineRule="auto" w:line="333" w:before="0" w:after="240"/>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NO GUARANTEE OF CONTINUED EMPLOYMENT</w:t>
      </w:r>
      <w:r>
        <w:rPr>
          <w:rFonts w:ascii="Times New Roman;sans-serif" w:hAnsi="Times New Roman;sans-serif"/>
          <w:b w:val="false"/>
          <w:color w:val="000000"/>
          <w:sz w:val="22"/>
        </w:rPr>
        <w:t xml:space="preserve">. THE PARTICIPANT HEREBY ACKNOWLEDGES AND AGREES THAT THE VESTING OF THE LTI GRANT PURSUANT </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49910"/>
                <wp:effectExtent l="0" t="0" r="0" b="0"/>
                <wp:wrapNone/>
                <wp:docPr id="219" name="Frame122"/>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pStyle w:val="TextBody"/>
        <w:bidi w:val="0"/>
        <w:spacing w:lineRule="auto" w:line="333" w:before="0" w:after="240"/>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pStyle w:val="TextBody"/>
        <w:bidi w:val="0"/>
        <w:spacing w:lineRule="auto" w:line="333" w:before="0" w:after="240"/>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49910"/>
                <wp:effectExtent l="0" t="0" r="0" b="0"/>
                <wp:wrapNone/>
                <wp:docPr id="220" name="Frame123"/>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tLeast" w:line="264" w:before="0" w:after="24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Administration and Interpretation</w:t>
      </w:r>
      <w:r>
        <w:rPr>
          <w:rFonts w:ascii="Times New Roman;sans-serif" w:hAnsi="Times New Roman;sans-serif"/>
          <w:b w:val="false"/>
          <w:color w:val="000000"/>
          <w:sz w:val="22"/>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pStyle w:val="TextBody"/>
        <w:bidi w:val="0"/>
        <w:spacing w:lineRule="auto" w:line="333" w:before="0" w:after="24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captions used in the Notice and this Agreement are inserted for convenience and shall not be deemed a part of the LTI Grant for construction or interpretation.</w:t>
      </w:r>
    </w:p>
    <w:p>
      <w:pPr>
        <w:pStyle w:val="TextBody"/>
        <w:bidi w:val="0"/>
        <w:spacing w:lineRule="auto" w:line="333" w:before="0" w:after="240"/>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pStyle w:val="TextBody"/>
        <w:bidi w:val="0"/>
        <w:spacing w:lineRule="auto" w:line="333" w:before="0" w:after="240"/>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pStyle w:val="TextBody"/>
        <w:bidi w:val="0"/>
        <w:spacing w:lineRule="auto" w:line="333" w:before="0" w:after="240"/>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pStyle w:val="TextBody"/>
        <w:bidi w:val="0"/>
        <w:spacing w:lineRule="atLeast" w:line="264" w:before="0" w:after="240"/>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Code Section 409A</w:t>
      </w:r>
      <w:r>
        <w:rPr>
          <w:rFonts w:ascii="Times New Roman;sans-serif" w:hAnsi="Times New Roman;sans-serif"/>
          <w:b w:val="false"/>
          <w:color w:val="000000"/>
          <w:sz w:val="22"/>
        </w:rPr>
        <w:t xml:space="preserve">. This LTI Grant is intended to be exempt from, or otherwise comply with, Section 409A of the Code and shall be interpreted, operated and administered in a manner consistent with such intent. The Company reserves the right, to amend or modify this Agreement at any time, without the consent of the Participant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49910"/>
                <wp:effectExtent l="0" t="0" r="0" b="0"/>
                <wp:wrapNone/>
                <wp:docPr id="221" name="Frame124"/>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in the Agreement, if the Award is considered nonqualified deferred compensation subject to Section 409A of the Code (“Deferred Compensation”) and is settled on or on a date that is by reference to the Participant’s “separation from service” and the Participant is a “specified employee” (each within the meaning of Section 409A of the Code and each determined by the Company it its sole discretion) on the date the Participant experiences a separation from service, then the Award (or applicable portion thereof) shall be settled on the first business day of the seventh month following the Participant’s separation from service, or, if earlier, on the date of the Participant’s death, to the extent such delayed payment is required in order to avoid a prohibited distribution under Section 409A of the Code. </w:t>
      </w:r>
    </w:p>
    <w:p>
      <w:pPr>
        <w:pStyle w:val="TextBody"/>
        <w:bidi w:val="0"/>
        <w:spacing w:lineRule="auto" w:line="333" w:before="0" w:after="240"/>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No Advice Regarding LTI Grant</w:t>
      </w:r>
      <w:r>
        <w:rPr>
          <w:rFonts w:ascii="Times New Roman;sans-serif" w:hAnsi="Times New Roman;sans-serif"/>
          <w:b w:val="false"/>
          <w:color w:val="000000"/>
          <w:sz w:val="22"/>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pStyle w:val="TextBody"/>
        <w:bidi w:val="0"/>
        <w:spacing w:lineRule="auto" w:line="333" w:before="0" w:after="240"/>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333" w:before="0" w:after="240"/>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pStyle w:val="TextBody"/>
        <w:bidi w:val="0"/>
        <w:spacing w:lineRule="auto" w:line="333" w:before="0" w:after="240"/>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49910"/>
                <wp:effectExtent l="0" t="0" r="0" b="0"/>
                <wp:wrapNone/>
                <wp:docPr id="222" name="Frame125"/>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333" w:before="0" w:after="240"/>
        <w:jc w:val="left"/>
        <w:rPr/>
      </w:pPr>
      <w:r>
        <w:rPr>
          <w:rFonts w:ascii="Times New Roman;sans-serif" w:hAnsi="Times New Roman;sans-serif"/>
          <w:b w:val="false"/>
          <w:color w:val="000000"/>
          <w:sz w:val="22"/>
        </w:rPr>
        <w:t>28.</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Participant may be subject to insider trading and/or market abuse laws, which affect the Participant’s ability to accept, acquire, sell or</w:t>
      </w:r>
      <w:r>
        <w:rPr>
          <w:color w:val="000000"/>
        </w:rPr>
        <w:t xml:space="preserve"> </w:t>
      </w:r>
      <w:r>
        <w:rPr>
          <w:rFonts w:ascii="Times New Roman;sans-serif" w:hAnsi="Times New Roman;sans-serif"/>
          <w:b w:val="false"/>
          <w:color w:val="000000"/>
          <w:sz w:val="22"/>
        </w:rPr>
        <w:t>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pStyle w:val="TextBody"/>
        <w:bidi w:val="0"/>
        <w:spacing w:lineRule="atLeast" w:line="264" w:before="0" w:after="240"/>
        <w:jc w:val="left"/>
        <w:rPr/>
      </w:pPr>
      <w:r>
        <w:rPr>
          <w:rFonts w:ascii="Times New Roman;sans-serif" w:hAnsi="Times New Roman;sans-serif"/>
          <w:b w:val="false"/>
          <w:color w:val="000000"/>
          <w:sz w:val="22"/>
        </w:rPr>
        <w:t>29.</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In addition, the Participant agrees to take any and all actions required by the Company, any other entity in the Mondelēz Group or the local laws, rules and regulations in the Participant’s country of residence (and country of employment, if different) that may be required to comply with such laws, rules and regulations. The Participant acknowledges that it is the Participant’s responsibility to be compliant with such regulations, and the Participant understands and agrees that the Participant should consult his or her personal legal advisor for any details.</w:t>
      </w:r>
    </w:p>
    <w:p>
      <w:pPr>
        <w:pStyle w:val="TextBody"/>
        <w:bidi w:val="0"/>
        <w:spacing w:lineRule="auto" w:line="333" w:before="0" w:after="240"/>
        <w:jc w:val="left"/>
        <w:rPr/>
      </w:pPr>
      <w:r>
        <w:rPr>
          <w:rFonts w:ascii="Times New Roman;sans-serif" w:hAnsi="Times New Roman;sans-serif"/>
          <w:b w:val="false"/>
          <w:color w:val="000000"/>
          <w:sz w:val="22"/>
        </w:rPr>
        <w:t>30.</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pStyle w:val="TextBody"/>
        <w:bidi w:val="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49910"/>
                <wp:effectExtent l="0" t="0" r="0" b="0"/>
                <wp:wrapNone/>
                <wp:docPr id="223" name="Frame126"/>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pStyle w:val="TextBody"/>
        <w:bidi w:val="0"/>
        <w:spacing w:before="0" w:after="240"/>
        <w:ind w:left="0" w:right="0" w:firstLine="720"/>
        <w:jc w:val="left"/>
        <w:rPr/>
      </w:pPr>
      <w:r>
        <w:rPr/>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as of the date of the Notice. </w:t>
      </w:r>
    </w:p>
    <w:p>
      <w:pPr>
        <w:pStyle w:val="TextBody"/>
        <w:bidi w:val="0"/>
        <w:spacing w:before="0" w:after="240"/>
        <w:jc w:val="left"/>
        <w:rPr/>
      </w:pPr>
      <w:r>
        <w:rPr/>
      </w:r>
    </w:p>
    <w:tbl>
      <w:tblPr>
        <w:tblW w:w="3855" w:type="dxa"/>
        <w:jc w:val="left"/>
        <w:tblInd w:w="0" w:type="dxa"/>
        <w:tblLayout w:type="fixed"/>
        <w:tblCellMar>
          <w:top w:w="28" w:type="dxa"/>
          <w:left w:w="28" w:type="dxa"/>
          <w:bottom w:w="28" w:type="dxa"/>
          <w:right w:w="28" w:type="dxa"/>
        </w:tblCellMar>
      </w:tblPr>
      <w:tblGrid>
        <w:gridCol w:w="1234"/>
        <w:gridCol w:w="1085"/>
        <w:gridCol w:w="1536"/>
      </w:tblGrid>
      <w:tr>
        <w:trPr/>
        <w:tc>
          <w:tcPr>
            <w:tcW w:w="1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/s/ Laura Stein</w:t>
            </w:r>
          </w:p>
        </w:tc>
      </w:tr>
      <w:tr>
        <w:trPr/>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Corporate &amp;</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Legal Affairs, General Counsel and </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Secretary</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49910"/>
                <wp:effectExtent l="0" t="0" r="0" b="0"/>
                <wp:wrapNone/>
                <wp:docPr id="224" name="Frame127"/>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lineRule="atLeast" w:line="264" w:before="288"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THE </w:t>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pStyle w:val="TextBody"/>
        <w:bidi w:val="0"/>
        <w:spacing w:lineRule="auto" w:line="333" w:before="28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2025.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pStyle w:val="TextBody"/>
        <w:bidi w:val="0"/>
        <w:spacing w:lineRule="auto" w:line="333" w:before="324"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49910"/>
                <wp:effectExtent l="0" t="0" r="0" b="0"/>
                <wp:wrapNone/>
                <wp:docPr id="225" name="Frame128"/>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r>
                        <w:rPr>
                          <w:rFonts w:ascii="Times New Roman;sans-serif" w:hAnsi="Times New Roman;sans-serif"/>
                          <w:b w:val="false"/>
                          <w:color w:val="000000"/>
                          <w:sz w:val="18"/>
                        </w:rPr>
                        <w:t>19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EUROPEAN UNION / EUROPEAN ECONOMIC AREA, SWITZERLAND AND THE UNITED KINGDOM</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10 of the Agreement:</w:t>
      </w:r>
    </w:p>
    <w:p>
      <w:pPr>
        <w:pStyle w:val="TextBody"/>
        <w:bidi w:val="0"/>
        <w:spacing w:lineRule="atLeast" w:line="264"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 </w:t>
      </w:r>
    </w:p>
    <w:p>
      <w:pPr>
        <w:pStyle w:val="TextBody"/>
        <w:bidi w:val="0"/>
        <w:spacing w:lineRule="atLeast" w:line="264"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 </w:t>
      </w:r>
    </w:p>
    <w:p>
      <w:pPr>
        <w:pStyle w:val="TextBody"/>
        <w:bidi w:val="0"/>
        <w:spacing w:lineRule="auto" w:line="333"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pStyle w:val="TextBody"/>
        <w:bidi w:val="0"/>
        <w:spacing w:lineRule="auto" w:line="333"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xml:space="preserve">.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Participant to receive and trade shares of Common Stock acquired under the Plan. The Participant understands that Personal Data may also be transferred to the Company’s independent registered public accounting firm,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75970"/>
                <wp:effectExtent l="0" t="0" r="0" b="0"/>
                <wp:wrapNone/>
                <wp:docPr id="226" name="Frame129"/>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20</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20</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Morgan Stanley, PricewaterhouseCoopers LLP or KPMG LLP with such agreement being a condition to the Participant’s ability to participate in the Plan.</w:t>
      </w:r>
    </w:p>
    <w:p>
      <w:pPr>
        <w:pStyle w:val="TextBody"/>
        <w:bidi w:val="0"/>
        <w:spacing w:lineRule="auto" w:line="333" w:before="0" w:after="240"/>
        <w:jc w:val="left"/>
        <w:rPr/>
      </w:pPr>
      <w:r>
        <w:rPr>
          <w:rFonts w:ascii="Times New Roman;sans-serif" w:hAnsi="Times New Roman;sans-serif"/>
          <w:b w:val="false"/>
          <w:color w:val="000000"/>
          <w:sz w:val="22"/>
        </w:rPr>
        <w:t xml:space="preserve">The Participant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w:t>
      </w:r>
    </w:p>
    <w:p>
      <w:pPr>
        <w:pStyle w:val="TextBody"/>
        <w:bidi w:val="0"/>
        <w:spacing w:lineRule="auto" w:line="333"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lineRule="auto" w:line="333"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 xml:space="preserve">.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Notwithstanding anything to the contrary in the Agreement, paragraph 6 of the Agreement will not apply to Argentinian Participants.</w:t>
      </w:r>
    </w:p>
    <w:p>
      <w:pPr>
        <w:pStyle w:val="TextBody"/>
        <w:bidi w:val="0"/>
        <w:spacing w:lineRule="auto" w:line="333"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9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75970"/>
                <wp:effectExtent l="0" t="0" r="0" b="0"/>
                <wp:wrapNone/>
                <wp:docPr id="227" name="Frame130"/>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21</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21</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Participant acknowledges and agrees that such benefits shall not accrue more frequently than on each vesting date.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the LTI Grant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xml:space="preserve">). Neither this Agreement nor any other offering material related to the LTI Grant nor the underlying shares of Common Stock may be utilized in connection with any general offering to the public in Argentina.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solely responsible for complying with the exchange control rules that may apply in 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report holdings of any equity interest in a foreign company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shd w:fill="FFFFFF" w:val="clear"/>
        </w:rPr>
        <w:t>Securities Law Disclosure</w:t>
      </w:r>
      <w:r>
        <w:rPr>
          <w:rFonts w:ascii="Times New Roman;sans-serif" w:hAnsi="Times New Roman;sans-serif"/>
          <w:b w:val="false"/>
          <w:color w:val="000000"/>
          <w:sz w:val="22"/>
          <w:shd w:fill="FFFFFF" w:val="clear"/>
        </w:rPr>
        <w:t>.</w:t>
      </w:r>
      <w:r>
        <w:rPr>
          <w:color w:val="000000"/>
        </w:rPr>
        <w:t xml:space="preserve"> </w:t>
      </w:r>
      <w:r>
        <w:rPr>
          <w:rFonts w:ascii="Times New Roman;sans-serif" w:hAnsi="Times New Roman;sans-serif"/>
          <w:b w:val="false"/>
          <w:color w:val="000000"/>
          <w:sz w:val="22"/>
          <w:shd w:fill="FFFFFF" w:val="clear"/>
        </w:rPr>
        <w:t xml:space="preserve">This offer is being made under Division 1A, Part 7.12 of the Corporations Act 2001 (Cth). </w:t>
      </w:r>
    </w:p>
    <w:p>
      <w:pPr>
        <w:pStyle w:val="TextBody"/>
        <w:bidi w:val="0"/>
        <w:spacing w:lineRule="auto" w:line="333" w:before="0" w:after="240"/>
        <w:jc w:val="left"/>
        <w:rPr/>
      </w:pPr>
      <w:r>
        <w:rPr>
          <w:rFonts w:ascii="Times New Roman;sans-serif" w:hAnsi="Times New Roman;sans-serif"/>
          <w:b/>
          <w:color w:val="000000"/>
          <w:sz w:val="22"/>
        </w:rPr>
        <w:t>No payment constituting breach of law in Australia</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Notwithstanding anything else in the Plan or the Agreement, the Participant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75970"/>
                <wp:effectExtent l="0" t="0" r="0" b="0"/>
                <wp:wrapNone/>
                <wp:docPr id="228" name="Frame131"/>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22</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22</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 certain threshold (currently, AUD10,000) and for international fund transfers. If an Australian bank is assisting with the transaction, the bank will file the report on the Participant’s behalf, otherwise the Participant will be responsible for complying with any exchange control reporting requirements.</w:t>
      </w:r>
    </w:p>
    <w:p>
      <w:pPr>
        <w:pStyle w:val="TextBody"/>
        <w:bidi w:val="0"/>
        <w:spacing w:lineRule="auto" w:line="333"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of Austria meet or exceed a certain threshold, monthly reporting obligations apply as explained in the next paragraph.</w:t>
      </w:r>
    </w:p>
    <w:p>
      <w:pPr>
        <w:pStyle w:val="TextBody"/>
        <w:bidi w:val="0"/>
        <w:spacing w:lineRule="auto" w:line="333" w:before="0" w:after="240"/>
        <w:jc w:val="left"/>
        <w:rPr/>
      </w:pPr>
      <w:r>
        <w:rPr>
          <w:rFonts w:ascii="Times New Roman;sans-serif" w:hAnsi="Times New Roman;sans-serif"/>
          <w:b w:val="false"/>
          <w:color w:val="000000"/>
          <w:sz w:val="22"/>
        </w:rPr>
        <w:t>If the Participant sells shares of Common Stock, or receives any cash dividends, the Participant may have exchange control obligations if the Participant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75970"/>
                <wp:effectExtent l="0" t="0" r="0" b="0"/>
                <wp:wrapNone/>
                <wp:docPr id="229" name="Frame132"/>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23</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23</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stock exchange tax applies to transactions executed by Belgian residents through a non-Belgian financial intermediary, such as a U.S. broker.</w:t>
      </w:r>
      <w:r>
        <w:rPr>
          <w:color w:val="000000"/>
        </w:rPr>
        <w:t xml:space="preserve"> </w:t>
      </w:r>
      <w:r>
        <w:rPr>
          <w:rFonts w:ascii="Times New Roman;sans-serif" w:hAnsi="Times New Roman;sans-serif"/>
          <w:b w:val="false"/>
          <w:color w:val="000000"/>
          <w:sz w:val="22"/>
        </w:rPr>
        <w:t>The stock exchange tax will apply when shares of Common Stock acquired upon vesting of the LTI Grant are sold.</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An annual securities accounts tax may be payable if the total average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and receiving the LTI Grant, the Participant acknowledges that he or she agrees to comply with applicable Brazilian laws and pay any and all applicable Tax-Related Items associated with the vesting of the LTI Grant and the payout or sale of any shares of Common Stock acquired under the Plan.</w:t>
      </w:r>
    </w:p>
    <w:p>
      <w:pPr>
        <w:pStyle w:val="TextBody"/>
        <w:bidi w:val="0"/>
        <w:spacing w:lineRule="auto" w:line="333" w:before="0" w:after="240"/>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LTI Grant, the Participant understands, acknowledges and agrees that, for all legal purposes (i) the Participant is making an investment decision and (ii) the value of the underlying shares of Common Stock are not fixed and may increase or decrease in value over the vesting period without compensation to the Participant.</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a certain threshold (currently, US$1,000,000). If such amount is equal to or greater than a certain threshold (currently,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333"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75970"/>
                <wp:effectExtent l="0" t="0" r="0" b="0"/>
                <wp:wrapNone/>
                <wp:docPr id="230" name="Frame133"/>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24</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if the total sum of all such receivables and securities equals or exceeds a certain threshold (currently, BGN 50,000) as of the previous calendar year end. The reports are due by March 31.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contact his or her bank in Bulgaria for additional information regarding these requirements.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LTI Grants to employees resident in Canada shall be paid in shares of Common Stock only.</w:t>
      </w:r>
    </w:p>
    <w:p>
      <w:pPr>
        <w:pStyle w:val="TextBody"/>
        <w:bidi w:val="0"/>
        <w:spacing w:lineRule="auto" w:line="333" w:before="0" w:after="240"/>
        <w:jc w:val="left"/>
        <w:rPr/>
      </w:pPr>
      <w:r>
        <w:rPr>
          <w:rFonts w:ascii="Times New Roman;sans-serif" w:hAnsi="Times New Roman;sans-serif"/>
          <w:b/>
          <w:color w:val="000000"/>
          <w:sz w:val="22"/>
        </w:rPr>
        <w:t xml:space="preserve">Termination of Employment. </w:t>
      </w:r>
      <w:r>
        <w:rPr>
          <w:rFonts w:ascii="Times New Roman;sans-serif" w:hAnsi="Times New Roman;sans-serif"/>
          <w:b w:val="false"/>
          <w:color w:val="000000"/>
          <w:sz w:val="22"/>
        </w:rPr>
        <w:t>The following provision supplements paragraph 3(b) of the Agreement:</w:t>
      </w:r>
    </w:p>
    <w:p>
      <w:pPr>
        <w:pStyle w:val="TextBody"/>
        <w:bidi w:val="0"/>
        <w:spacing w:lineRule="atLeast" w:line="269" w:before="0" w:after="0"/>
        <w:jc w:val="left"/>
        <w:rPr/>
      </w:pPr>
      <w:r>
        <w:rPr>
          <w:rFonts w:ascii="Times New Roman;sans-serif" w:hAnsi="Times New Roman;sans-serif"/>
          <w:b w:val="false"/>
          <w:color w:val="000000"/>
          <w:sz w:val="22"/>
        </w:rPr>
        <w:t>Except as expressly required by applicable legislation, the Participant’s employment with the Mondelēz Group shall be deemed to be terminated and vesting for the LTI Grant will terminate effective as of the date the Participant is no longer actually providing services to the Mondelēz Group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Termination Date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common/civil law or otherwise. The Committee shall have the exclusive discretion to determine when the Participant is no longer actively employed or providing services and the termination date for purposes of the Agreement.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Participant’s right to vest in the LTI Grants under the Plan, if any, will terminate effective as of the last day of the Participant’s minimum statutory notice period. The Participant will not earn or be entitled to pro-rated vesting for that portion of time before the date on which the Participant’s right to vest terminates or if the vesting date falls after the end of the Participant’s statutory notice period, nor will the Participant be entitled to any compensation for lost vesting. For further clarity, any reference to the Participant’s termination of employment or a termination date under this Agreement or the Plan will be interpreted to mean the Termination Date.</w:t>
      </w:r>
    </w:p>
    <w:p>
      <w:pPr>
        <w:pStyle w:val="TextBody"/>
        <w:bidi w:val="0"/>
        <w:spacing w:before="0" w:after="0"/>
        <w:jc w:val="left"/>
        <w:rPr/>
      </w:pPr>
      <w:r>
        <w:rPr/>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Participants resident in Quebec:</w:t>
      </w:r>
    </w:p>
    <w:p>
      <w:pPr>
        <w:pStyle w:val="TextBody"/>
        <w:bidi w:val="0"/>
        <w:spacing w:lineRule="auto" w:line="333" w:before="0" w:after="240"/>
        <w:jc w:val="left"/>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10 of the Agreement: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75970"/>
                <wp:effectExtent l="0" t="0" r="0" b="0"/>
                <wp:wrapNone/>
                <wp:docPr id="231" name="Frame134"/>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25</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25</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Plan to disclose and discuss the Plan with their advisors. The Participant acknowledges and agrees that the Participant’s personal information, including sensitive personal information, may be transferred or disclosed outside of the Province of Quebec, including to the United States. The Participant further authorizes the Mondelēz Group to record such information and to keep such information in his or her employee file. The Participant also acknowledges and authorizes the Company and any subsidiary or affiliate or other parties involved in the administration of the Plan to use technology for profiling purposes and to make automated decisions that may have an impact on the Participant or the administration of the Plan.</w:t>
      </w:r>
    </w:p>
    <w:p>
      <w:pPr>
        <w:pStyle w:val="TextBody"/>
        <w:bidi w:val="0"/>
        <w:spacing w:lineRule="auto" w:line="333" w:before="0" w:after="240"/>
        <w:jc w:val="left"/>
        <w:rPr/>
      </w:pPr>
      <w:r>
        <w:rPr>
          <w:rFonts w:ascii="Times New Roman;sans-serif" w:hAnsi="Times New Roman;sans-serif"/>
          <w:b/>
          <w:color w:val="000000"/>
          <w:sz w:val="22"/>
        </w:rPr>
        <w:t xml:space="preserve">Language. </w:t>
      </w:r>
      <w:r>
        <w:rPr>
          <w:rFonts w:ascii="Times New Roman;sans-serif" w:hAnsi="Times New Roman;sans-serif"/>
          <w:b w:val="false"/>
          <w:color w:val="000000"/>
          <w:sz w:val="22"/>
        </w:rPr>
        <w:t xml:space="preserve">A French translation of the Plan and the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p>
    <w:p>
      <w:pPr>
        <w:pStyle w:val="TextBody"/>
        <w:bidi w:val="0"/>
        <w:spacing w:lineRule="atLeast" w:line="264"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Participant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Participant is required to report any specified foreign property annually on Form T1135 (Foreign Income Verification Statement) if the total cost of the Participant’s specified foreign property exceeds a certain threshold (currently, C$100,000) at any time during the year. The form must be filed by April 30th of the following year. Specified foreign property includes shares of Common Stock acquired under the Plan and may include the LTI Grant. The LTI Grant must be reported--generally at a nil cost--if the applicable cost threshold is exceeded because of other specified foreign property the Participant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xml:space="preserve">)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75970"/>
                <wp:effectExtent l="0" t="0" r="0" b="0"/>
                <wp:wrapNone/>
                <wp:docPr id="232" name="Frame135"/>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26</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26</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constitutes a private offering of securities in Chile effective as of the Grant Date. The LTI Grant is made subject to general ruling N° 336 of the Chilean Commission for the Financial Market (“</w:t>
      </w:r>
      <w:r>
        <w:rPr>
          <w:rFonts w:ascii="Times New Roman;sans-serif" w:hAnsi="Times New Roman;sans-serif"/>
          <w:b w:val="false"/>
          <w:color w:val="000000"/>
          <w:sz w:val="24"/>
          <w:u w:val="single"/>
        </w:rPr>
        <w:t>CMF</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CMF, and, therefore, such securities are not subject to oversight of the CMF. Given that the LTI Grant is not registered in Chile, the Company is not required to provide public information about the LTI Grant or the shares of Common Stock in Chile. Unless the LTI Grant and/or the shares of Common Stock are registered with the CMF, a public offering of such securities cannot be made in Chile.</w:t>
      </w:r>
    </w:p>
    <w:p>
      <w:pPr>
        <w:pStyle w:val="TextBody"/>
        <w:bidi w:val="0"/>
        <w:spacing w:before="0" w:after="0"/>
        <w:jc w:val="left"/>
        <w:rPr/>
      </w:pPr>
      <w:r>
        <w:rPr/>
      </w:r>
    </w:p>
    <w:p>
      <w:pPr>
        <w:pStyle w:val="TextBody"/>
        <w:bidi w:val="0"/>
        <w:spacing w:lineRule="atLeast" w:line="253" w:before="0" w:after="0"/>
        <w:jc w:val="left"/>
        <w:rPr/>
      </w:pPr>
      <w:r>
        <w:rPr>
          <w:rFonts w:ascii="Times New Roman;sans-serif" w:hAnsi="Times New Roman;sans-serif"/>
          <w:b w:val="false"/>
          <w:i/>
          <w:color w:val="000000"/>
          <w:sz w:val="22"/>
        </w:rPr>
        <w:t>Este Premio LTIP (en Inglés, “LTI Grant”) constituye una oferta privada de valores en Chile y se inicia en la Fecha de la Concesión. Este Premio LTIP se acoge a las disposiciones de la Norma de Carácter General N° 336 de la Comisión para el Mercado Financiero de Chile (“</w:t>
      </w:r>
      <w:r>
        <w:rPr>
          <w:rFonts w:ascii="Times New Roman;sans-serif" w:hAnsi="Times New Roman;sans-serif"/>
          <w:b w:val="false"/>
          <w:i/>
          <w:color w:val="000000"/>
          <w:sz w:val="22"/>
          <w:u w:val="single"/>
        </w:rPr>
        <w:t>CMF</w:t>
      </w:r>
      <w:r>
        <w:rPr>
          <w:color w:val="000000"/>
        </w:rPr>
        <w:t>”</w:t>
      </w:r>
      <w:r>
        <w:rPr>
          <w:rFonts w:ascii="Times New Roman;sans-serif" w:hAnsi="Times New Roman;sans-serif"/>
          <w:b w:val="false"/>
          <w:i/>
          <w:color w:val="000000"/>
          <w:sz w:val="22"/>
        </w:rPr>
        <w:t>). Esta oferta versa sobre valores no inscritos en el Registro de Valores o en el Registro de Valores Extranjeros que lleva la CMF,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not required to repatriate any funds he or she receives with respect to the LTI Award Payout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Participant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a commercial bank or registered foreign exchange office) if the amount of the funds repatriated exceeds a certain threshold (currently, US$10,000). </w:t>
      </w:r>
    </w:p>
    <w:p>
      <w:pPr>
        <w:pStyle w:val="TextBody"/>
        <w:bidi w:val="0"/>
        <w:spacing w:lineRule="auto" w:line="333" w:before="0" w:after="240"/>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Participant</w:t>
      </w:r>
      <w:r>
        <w:rPr>
          <w:color w:val="000000"/>
        </w:rPr>
        <w:t xml:space="preserve"> </w:t>
      </w:r>
      <w:r>
        <w:rPr>
          <w:rFonts w:ascii="Times New Roman;sans-serif" w:hAnsi="Times New Roman;sans-serif"/>
          <w:b w:val="false"/>
          <w:i/>
          <w:color w:val="000000"/>
          <w:sz w:val="22"/>
        </w:rPr>
        <w:t>should consult with his or her personal legal advisor regarding any exchange control obligations that may apply in connection with the LTI Award Payout.</w:t>
      </w:r>
    </w:p>
    <w:p>
      <w:pPr>
        <w:pStyle w:val="TextBody"/>
        <w:bidi w:val="0"/>
        <w:spacing w:lineRule="auto" w:line="333" w:before="0" w:after="240"/>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Participant holds shares of Common Stock acquired under the Plan outside Chile, the Participant may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July 1 each year, which should be submitted electronically through the CIRS website: </w:t>
      </w:r>
      <w:r>
        <w:rPr>
          <w:rFonts w:ascii="Times New Roman;sans-serif" w:hAnsi="Times New Roman;sans-serif"/>
          <w:b w:val="false"/>
          <w:color w:val="000000"/>
          <w:sz w:val="24"/>
        </w:rPr>
        <w:t>www.sii.cl.</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75970"/>
                <wp:effectExtent l="0" t="0" r="0" b="0"/>
                <wp:wrapNone/>
                <wp:docPr id="233" name="Frame136"/>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27</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27</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Time and Form of Payment.</w:t>
      </w:r>
      <w:r>
        <w:rPr>
          <w:color w:val="000000"/>
        </w:rPr>
        <w:t xml:space="preserve"> </w:t>
      </w:r>
      <w:r>
        <w:rPr>
          <w:rFonts w:ascii="Times New Roman;sans-serif" w:hAnsi="Times New Roman;sans-serif"/>
          <w:b w:val="false"/>
          <w:color w:val="000000"/>
          <w:sz w:val="22"/>
        </w:rPr>
        <w:t>Due to legal restrictions in China, the LTI Award Payout may be made to the Participant in cash, rather than 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Participant is not required to sell shares of Common Stock immediately upon payment of the LTI Grant, any shares of Common Stock issued to the Participant must be maintained in an account with Morgan Stanley Smith Barney, LLC.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 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pStyle w:val="TextBody"/>
        <w:bidi w:val="0"/>
        <w:spacing w:lineRule="atLeast" w:line="264"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The Participant understands and agrees that, due to exchange control laws in China, he or she will be 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75970"/>
                <wp:effectExtent l="0" t="0" r="0" b="0"/>
                <wp:wrapNone/>
                <wp:docPr id="234" name="Frame137"/>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28</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28</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9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acknowledges that pursuant to Article 128 of the Colombian Labor Code, the Plan and 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tLeast" w:line="264"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75970"/>
                <wp:effectExtent l="0" t="0" r="0" b="0"/>
                <wp:wrapNone/>
                <wp:docPr id="235" name="Frame138"/>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29</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29</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Participant must describe each asset and indicate the jurisdiction in which it is located, its nature and its value.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Participant 's responsibility to comply with Croatian exchange control laws.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Forced Sale of Shares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Company reserves the right to force the immediate sale of the shares of Common Stock to be issued upon vesting and settlement of the</w:t>
      </w:r>
      <w:r>
        <w:rPr>
          <w:color w:val="000000"/>
        </w:rPr>
        <w:t xml:space="preserve"> </w:t>
      </w:r>
      <w:r>
        <w:rPr>
          <w:rFonts w:ascii="Times New Roman;sans-serif" w:hAnsi="Times New Roman;sans-serif"/>
          <w:b w:val="false"/>
          <w:color w:val="000000"/>
          <w:sz w:val="22"/>
        </w:rPr>
        <w:t>LTI Grant. If applicable, the Participant agrees that the Company is authorized to instruct its designated broker, on behalf of the Participant, to assist with the mandatory sale of such shares of Common Stock and the Participant expressly authorizes the Company’s designated broker to complete the sale of such shares of Common Stock. The Participant expressly acknowledges that the Company’s designated broker is under no obligation to arrange for the sale of shares of Common Stock at any particular price. Upon the sale of shares of Common Stock, the Participant shall receive the cash proceeds from the sale of shares of Common Stock, less any brokerage fees or commissions and subject to any obligation to satisfy Tax-Related Items. The Participant also acknowledges that the Participant is unaware of any material non-public information with respect to the Company or any securities of the Company as of the date of the Agreement.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LTI Grant and the opening and maintenance of a foreign account, including reporting (i) foreign direct investments with a value equal to or exceeding a specified amount (currently, CZK 2,500,000) in the aggregate, or (ii) foreign financial assets with a value equal to or exceeding a specified amount (currently, CZK 200,000,000), or (iii) at the request of the Czech National Bank. The Participant should consult their personal legal advisor to ensure compliance with the applicable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75970"/>
                <wp:effectExtent l="0" t="0" r="0" b="0"/>
                <wp:wrapNone/>
                <wp:docPr id="236" name="Frame139"/>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30</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30</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xml:space="preserve">. The Participant acknowledges that he or she has received an Employer Statement in Danish, which sets forth the additional terms of the LTI Grant to the extent that the Danish Stock Option Act applies.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12" w:before="0" w:after="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is required to report any accounts holding shares of Common Stock or cash established outside Denmark to the Danish Tax Administration as part of the Participant’s tax return under the section related to foreign affairs and income.</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 xml:space="preserve">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(www.sri.gob.ec). Penalties will apply to a late filing and it is not possible to seek an extension.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a certain threshold (currently, US$100,000). The Participant should consult his or her legal or tax advisor to ensure compliance with all applicable reporting obligations.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Participant transfers funds into Egypt in connection with the LTI Award Payout, the Participant is required to transfer the funds through a registered bank in Egypt.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There are no specific reporting requirements with respect to foreign assets/accounts. However, please note that the Participant must check their pre-completed tax return to confirm that the ownership of shares of Common Stock and other securities (foreign or domestic) is correctly reported. If the Participant finds any errors or omissions,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75970"/>
                <wp:effectExtent l="0" t="0" r="0" b="0"/>
                <wp:wrapNone/>
                <wp:docPr id="237" name="Frame140"/>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31</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31</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must make the necessary corrections electronically or by sending specific paper forms to the local tax authorities.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12" w:before="0" w:after="0"/>
        <w:jc w:val="left"/>
        <w:rPr/>
      </w:pPr>
      <w:r>
        <w:rPr>
          <w:rFonts w:ascii="Times New Roman;sans-serif" w:hAnsi="Times New Roman;sans-serif"/>
          <w:b/>
          <w:color w:val="000000"/>
          <w:sz w:val="22"/>
        </w:rPr>
        <w:t>LTI Grant Not French-Qualified.</w:t>
      </w:r>
      <w:r>
        <w:rPr>
          <w:color w:val="000000"/>
        </w:rPr>
        <w:t xml:space="preserve"> </w:t>
      </w:r>
      <w:r>
        <w:rPr>
          <w:rFonts w:ascii="Times New Roman;sans-serif" w:hAnsi="Times New Roman;sans-serif"/>
          <w:b w:val="false"/>
          <w:color w:val="000000"/>
          <w:sz w:val="22"/>
        </w:rPr>
        <w:t>The LTI Grant made under this Agreement are not intended to qualify for specific tax and social security treatment pursuant to Sections L. 225-197-1 to L. 225-197-5 and Sections L. 22-10-59 to L. 22-10-60 of the French Commercial Code, as amended.</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participating in the Plan and receiving the LTI Grant, the Participant confirms having read and understood the Plan and Agreement, including all terms and conditions included therein, which were provided in the English language. The Participant accepts the terms of those documents accordingly.</w:t>
      </w:r>
    </w:p>
    <w:p>
      <w:pPr>
        <w:pStyle w:val="TextBody"/>
        <w:bidi w:val="0"/>
        <w:spacing w:lineRule="atLeast" w:line="264" w:before="0" w:after="240"/>
        <w:jc w:val="left"/>
        <w:rPr/>
      </w:pPr>
      <w:r>
        <w:rPr>
          <w:rFonts w:ascii="Times New Roman;sans-serif" w:hAnsi="Times New Roman;sans-serif"/>
          <w:b w:val="false"/>
          <w:i/>
          <w:color w:val="000000"/>
          <w:sz w:val="22"/>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Times New Roman;sans-serif" w:hAnsi="Times New Roman;sans-serif"/>
          <w:b w:val="false"/>
          <w:color w:val="000000"/>
          <w:sz w:val="22"/>
        </w:rPr>
        <w:t>.</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Participant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a certain threshold (currently, €1,000,000) may have additional monthly reporting obligations.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Cross-border payments in connection with the purchase or sale of securities in excess of a certain amount (currently,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xml:space="preserve">. If the Participant receives a payment in excess of this amount (including if the Participant acquires shares of Common Stock or receives dividends with a value in excess of this amount under the Plan or sells shares of Common Stock via a foreign broker, bank or service provider and receive proceeds in excess of this amount) and/or if the Company withholds or sells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75970"/>
                <wp:effectExtent l="0" t="0" r="0" b="0"/>
                <wp:wrapNone/>
                <wp:docPr id="238" name="Frame141"/>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32</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32</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Common Stock with a value in excess of this amount to cover Tax-Related Items, the Participant must report the payment and/or the value of the shares of Common Stock withheld or sold to the Bundesbank. Such reports must be filed either electronically using the “General Statistics Reporting Portal” (Allgemeine Meldeportal Statistik) available via the Bundesbank’s website (www.bundesbank.de) or by such other method as is permitted or required by the Bundesbank. The report must be submitted monthly or within such timing as is permitted or required by the Bundesbank.</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Participant owns at least 1% of the Company and the value of the Common Stock acquired exceeds a certain amount (currently, €150,000), or (ii) the Participant holds Common Stock exceeding 10% of the total capital of the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180"/>
        <w:jc w:val="left"/>
        <w:rPr/>
      </w:pPr>
      <w:r>
        <w:rPr>
          <w:rFonts w:ascii="Times New Roman;sans-serif" w:hAnsi="Times New Roman;sans-serif"/>
          <w:b/>
          <w:color w:val="000000"/>
          <w:sz w:val="22"/>
        </w:rPr>
        <w:t xml:space="preserve">Award Payable in Cash. </w:t>
      </w:r>
      <w:r>
        <w:rPr>
          <w:rFonts w:ascii="Times New Roman;sans-serif" w:hAnsi="Times New Roman;sans-serif"/>
          <w:b w:val="false"/>
          <w:color w:val="000000"/>
          <w:sz w:val="22"/>
        </w:rPr>
        <w:t>Notwithstanding any discretion in the Plan or anything to the contrary in the Agreement (including paragraph 4(a) of the Agreement), unless otherwise determined by the Company, the Award does not provide any right for the Participant to receive shares of Common Stock upon settlement of the Award. Unless otherwise determined by the Company, LTI Award Payouts to Participants in Hungary shall be settled in cash, less any Tax-Related Items, if applicable.</w:t>
      </w:r>
    </w:p>
    <w:p>
      <w:pPr>
        <w:pStyle w:val="TextBody"/>
        <w:bidi w:val="0"/>
        <w:spacing w:lineRule="auto" w:line="333" w:before="0" w:after="12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Due to regulatory requirements in India, the Company reserves the right to require that the Participant sell all shares of Common Stock delivered to the Participant, either immediately upon receipt of such shares or upon the Participant’s termination of employment from the Mondelēz Group. In this regard, the Participant agrees that the Company is authorized to instruct its designated broker to assist with any such mandatory sale of shares of Common Stock (on the Participant’s behalf pursuant to this authorization), and the Participant expressly authorizes the designated broker to complete the sale of such shares. The Participant also agrees to sign any agreements, forms and/or consents that may be reasonably requested by the Company (or the designated broker) to effectuate the sale of the shares of Common Stock and shall otherwise cooperate with the Company with respect to such matters, provided that the Participant shall not be permitted to exercise any influence over how, when or whether the sales occur. The Participant acknowledges that the designated broker is under no obligation to arrange for the sale of the shares of Common Stock at any particular price. Due to fluctuations in the shares of Common Stock price and/or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75970"/>
                <wp:effectExtent l="0" t="0" r="0" b="0"/>
                <wp:wrapNone/>
                <wp:docPr id="239" name="Frame142"/>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33</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33</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applicable exchange rates between the date the shares of Common Stock are delivered to the Participant and (if later) the date on which the shares of Common Stock are sold, the amount of proceeds ultimately distributed to the Participant may be more or less than the market value of the shares of Common Stock on the relevant vesting date or the date on which such shares are delivered to the Participant. Upon the sale of the shares of Common Stock, the cash proceeds from the sale of shares (less any applicable Tax-Related Items, brokerage fees or commissions) will be delivered to the Participant in accordance with applicable laws and regulations, as determined by the Company in its sole discretion.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any funds recognized in connection with the LTI Grant (including any cash proceeds received upon the sale of shares of Common Stock and convert such funds into local currency within specified timeframes as required under applicable regulations. Indian residents also are required to retain the foreign inward remittance certificate as evidence of repatriation. The Participant is personally responsible for complying with exchange control laws in India, and neither the Company nor the Employer will be liable for any fines or penalties resulting from the Participant’s failure to comply with applicable laws. The Participant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Participant should consult his or her personal tax or legal advisor before selling shares of Common Stock to ensure compliance with current regulations.</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Participant is required to declare foreign bank accounts and any foreign financial assets (including shares of Common Stock held outside India) in his or her annual tax return. It is the Participant’s responsibility to comply with this reporting obligation and the Participant should consult with his or her personal tax advisor in this regard.</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333" w:before="0" w:after="240"/>
        <w:jc w:val="left"/>
        <w:rPr/>
      </w:pPr>
      <w:r>
        <w:rPr>
          <w:rFonts w:ascii="Times New Roman;sans-serif" w:hAnsi="Times New Roman;sans-serif"/>
          <w:b/>
          <w:color w:val="000000"/>
          <w:sz w:val="22"/>
        </w:rPr>
        <w:t xml:space="preserve">Language Consent and Notification. </w:t>
      </w:r>
      <w:r>
        <w:rPr>
          <w:rFonts w:ascii="Times New Roman;sans-serif" w:hAnsi="Times New Roman;sans-serif"/>
          <w:b w:val="false"/>
          <w:color w:val="000000"/>
          <w:sz w:val="22"/>
        </w:rPr>
        <w:t xml:space="preserve">A translation of the documents relating to this LTI grant into Bahasa Indonesia can be provided to the Participant upon request to </w:t>
      </w:r>
      <w:r>
        <w:rPr>
          <w:rFonts w:ascii="Times New Roman;sans-serif" w:hAnsi="Times New Roman;sans-serif"/>
          <w:b w:val="false"/>
          <w:color w:val="000000"/>
          <w:sz w:val="22"/>
          <w:shd w:fill="FFFFFF" w:val="clear"/>
        </w:rPr>
        <w:t>Astrid Januarita, My Rewards Advisor ID,</w:t>
      </w:r>
      <w:r>
        <w:rPr>
          <w:color w:val="000000"/>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By accepting the LTI Grant, the Participant (i) confirms having read and understood the documents relating to this LTI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333" w:before="0" w:after="240"/>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Terjemahan dari dokumen-dokumen terkait dengan pemberian ini ke Bahasa Indonesia dapat disediakan untuk anda berdasarkan permintaan kepada </w:t>
      </w:r>
      <w:r>
        <w:rPr>
          <w:rFonts w:ascii="Times New Roman;sans-serif" w:hAnsi="Times New Roman;sans-serif"/>
          <w:b w:val="false"/>
          <w:color w:val="000000"/>
          <w:sz w:val="22"/>
          <w:shd w:fill="FFFFFF" w:val="clear"/>
        </w:rPr>
        <w:t xml:space="preserve">Astrid Januarita, My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75970"/>
                <wp:effectExtent l="0" t="0" r="0" b="0"/>
                <wp:wrapNone/>
                <wp:docPr id="240" name="Frame143"/>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34</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shd w:fill="FFFFFF" w:val="clear"/>
        </w:rPr>
        <w:t>Rewards Advisor ID,</w:t>
      </w:r>
      <w:r>
        <w:rPr>
          <w:color w:val="000000"/>
        </w:rPr>
        <w:t xml:space="preserve"> </w:t>
      </w:r>
      <w:r>
        <w:rPr>
          <w:rFonts w:ascii="Times New Roman;sans-serif" w:hAnsi="Times New Roman;sans-serif"/>
          <w:b w:val="false"/>
          <w:color w:val="000000"/>
          <w:sz w:val="22"/>
          <w:shd w:fill="FFFFFF" w:val="clear"/>
        </w:rPr>
        <w:t xml:space="preserve">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Participant remits funds into Indonesia, the Indonesian bank through which the transaction is made will submit a report on the transaction to the Bank of Indonesia for statistical reporting purposes. For transactions of a certain threshold (currently,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Participant is a director, shadow director</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Participant must notify the Irish subsidiary or affiliate in writing if (1) the Participant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33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 shadow director is an individual who is not on the board of the Irish Affiliate but who has sufficient control so that the board of directors acts in accordance with the “directions or instructions” of the individual.</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75970"/>
                <wp:effectExtent l="0" t="0" r="0" b="0"/>
                <wp:wrapNone/>
                <wp:docPr id="241" name="Frame144"/>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35</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35</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participating in the Plan and receiving the LTI Grant, the Participant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are beneficial owners of the investment pursuant to Italian money laundering provisions.</w:t>
      </w:r>
    </w:p>
    <w:p>
      <w:pPr>
        <w:pStyle w:val="TextBody"/>
        <w:bidi w:val="0"/>
        <w:spacing w:lineRule="auto" w:line="333"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(and other financial assets) held outside Italy is subject to a foreign assets tax. The 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acquires shares of Common Stock valued at more than a certain threshold (currently, ¥100,000,000) in a single transaction, the Participant must file a Securities Acquisition Report with the Ministry of Finance through the Bank of Japan within 20 days of the purchase of the shares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75970"/>
                <wp:effectExtent l="0" t="0" r="0" b="0"/>
                <wp:wrapNone/>
                <wp:docPr id="242" name="Frame145"/>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36</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36</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will be required to report details of any assets held outside Japan as of December 31st (including any shares of Common Stock acquired under the Plan) to the extent such assets have a total net fair market value exceeding a certain threshold (currently,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a certain threshold (currently, US$100,000).</w:t>
      </w:r>
    </w:p>
    <w:p>
      <w:pPr>
        <w:pStyle w:val="TextBody"/>
        <w:bidi w:val="0"/>
        <w:spacing w:before="0" w:after="0"/>
        <w:jc w:val="lef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Please note that the exchange control regulations in Kazakhstan are subject to change. The Participant should consult with their personal legal advisor regarding any exchange control obligations that the Participant may have prior to the LTI Award Payout or receiving proceeds from the sale of shares of Common Stock acquired under the Plan. The Participant is responsible for ensuring compliance with all exchange control laws in Kazakhstan.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paragraph 10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75970"/>
                <wp:effectExtent l="0" t="0" r="0" b="0"/>
                <wp:wrapNone/>
                <wp:docPr id="243" name="Frame146"/>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37</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37</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3"/>
        <w:gridCol w:w="1735"/>
        <w:gridCol w:w="1739"/>
        <w:gridCol w:w="1392"/>
        <w:gridCol w:w="1392"/>
        <w:gridCol w:w="1974"/>
      </w:tblGrid>
      <w:tr>
        <w:trPr/>
        <w:tc>
          <w:tcPr>
            <w:tcW w:w="197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5447"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40" w:before="0" w:after="240"/>
              <w:jc w:val="left"/>
              <w:rPr/>
            </w:pPr>
            <w:r>
              <w:rPr>
                <w:rFonts w:ascii="Times New Roman;sans-serif" w:hAnsi="Times New Roman;sans-serif"/>
                <w:b/>
                <w:i/>
                <w:color w:val="000000"/>
                <w:sz w:val="22"/>
              </w:rPr>
              <w:t>The Participant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Participant’s participation in the Plan. The Data is supplied by the Employer and also by the Participant through information collected in connection with the Agreement and the Plan. </w:t>
            </w:r>
          </w:p>
          <w:p>
            <w:pPr>
              <w:pStyle w:val="TableContents"/>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pStyle w:val="TableContents"/>
              <w:bidi w:val="0"/>
              <w:spacing w:lineRule="auto" w:line="240" w:before="0" w:after="240"/>
              <w:jc w:val="left"/>
              <w:rPr/>
            </w:pPr>
            <w:r>
              <w:rPr>
                <w:rFonts w:ascii="Times New Roman;sans-serif" w:hAnsi="Times New Roman;sans-serif"/>
                <w:b/>
                <w:i/>
                <w:color w:val="000000"/>
                <w:sz w:val="22"/>
              </w:rPr>
              <w:t>The Participant understands that Data will be transferred to Morgan Stanley Smith Barney, LLC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Malaysia Sales Sdn Bhd, Lot 9.01 Level 9, 1 First Avenue, 2A, Dataran Bandar Utama, Bandar Utama Damasara, 47800 Petaling Jaya, Selangor, Malaysia. The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tc>
        <w:tc>
          <w:tcPr>
            <w:tcW w:w="4758"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40" w:before="0" w:after="240"/>
              <w:jc w:val="both"/>
              <w:rPr/>
            </w:pPr>
            <w:r>
              <w:rPr>
                <w:rFonts w:ascii="Times New Roman;sans-serif" w:hAnsi="Times New Roman;sans-serif"/>
                <w:b/>
                <w:i/>
                <w:color w:val="000000"/>
                <w:sz w:val="22"/>
              </w:rPr>
              <w:t>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pStyle w:val="TableContents"/>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 </w:t>
            </w:r>
          </w:p>
          <w:p>
            <w:pPr>
              <w:pStyle w:val="TableContents"/>
              <w:bidi w:val="0"/>
              <w:spacing w:lineRule="auto" w:line="240" w:before="0" w:after="240"/>
              <w:jc w:val="both"/>
              <w:rPr/>
            </w:pPr>
            <w:r>
              <w:rPr>
                <w:rFonts w:ascii="Times New Roman;sans-serif" w:hAnsi="Times New Roman;sans-serif"/>
                <w:b/>
                <w:i/>
                <w:color w:val="000000"/>
                <w:sz w:val="22"/>
              </w:rPr>
              <w:t>Peserta memahami bahawa Data tersebut akan dipindahkan ke Morgan Stanley Smith Barney, LLC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atau pembekal perkhidmatan pelan saham lain yang mungkin dipilih oleh Syarikat pada masa hadapan, yang membantu Syarikat melaksanakan, mentadbir dan menguruskan Pelan tersebut. Peserta memahami bahawa Data juga mungkin dipindahkan kepada firma akauntansi awam berdaftar bebas Syarikat, PricewaterhouseCoopers LLP, atau firma akauntansi awam lain yang mungkin digunakan 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Malaysia Sales Sdn Bhd, Lot 9.01 Level 9, 1 First Avenue, 2A, Dataran Bandar Utama, Bandar Utama Damasara, 47800 Petaling Jaya, Selangor, Malaysia. </w:t>
            </w:r>
          </w:p>
          <w:p>
            <w:pPr>
              <w:pStyle w:val="TableContents"/>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Pesertadengan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tc>
      </w:tr>
    </w:tbl>
    <w:p>
      <w:pPr>
        <w:pStyle w:val="TextBody"/>
        <w:bidi w:val="0"/>
        <w:spacing w:before="0" w:after="240"/>
        <w:jc w:val="left"/>
        <w:rPr/>
      </w:pPr>
      <w:r>
        <w:rPr/>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Participant is a director of the Company’s Malaysian subsidiary or affiliate, the Participant is subject to certain notification requirements under the Malaysian Companies Act. Among these requirements is an obligation to notify the Malaysian subsidiary or affiliate in writing when the Participant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LTI Grants or shares of Common Stock) in the Company or any related company. Such notifications must be made within 14 days of receiving or disposing of any interest in the Company or any related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75970"/>
                <wp:effectExtent l="0" t="0" r="0" b="0"/>
                <wp:wrapNone/>
                <wp:docPr id="244" name="Frame147"/>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38</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38</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tLeast" w:line="264"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participating in the Plan and receiving this LTI Grant, the Participant expressly recognizes that Mondelēz 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w:t>
      </w:r>
      <w:r>
        <w:rPr>
          <w:color w:val="1F497D"/>
        </w:rPr>
        <w:t xml:space="preserve"> </w:t>
      </w:r>
      <w:r>
        <w:rPr>
          <w:rFonts w:ascii="Times New Roman;sans-serif" w:hAnsi="Times New Roman;sans-serif"/>
          <w:b w:val="false"/>
          <w:color w:val="000000"/>
          <w:sz w:val="22"/>
        </w:rPr>
        <w:t>Mondelēz México, S. de R.L. de C.V., located at Av. 18 de Noviembre 1028, Camino a Manzanilla, Heroica Puebla de Zaragoza, Puebla, C.P. 72304. Based on the foregoing, the Participant expressly recognizes that the Plan and the benefits that he or she may derive from participating in the Plan do not establish any rights between the Participant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Participant’s employment.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pStyle w:val="TextBody"/>
        <w:bidi w:val="0"/>
        <w:spacing w:lineRule="auto" w:line="333"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xml:space="preserve">. By accepting the LTI Grant, the Participant acknowledges that he or she has received copies of the Plan, has reviewed the Plan and the Agreement in their entirety and fully understands and accepts all provisions of the Plan and the Agreement. </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pStyle w:val="TextBody"/>
        <w:bidi w:val="0"/>
        <w:spacing w:lineRule="atLeast" w:line="264" w:before="0" w:after="240"/>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tLeast" w:line="264" w:before="0" w:after="240"/>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 xml:space="preserve">Al participar en el Plan LTI y recibir el Premio LTIP, el Participante expresamente reconoce que Mondelēz International, Inc., con domicilio registrado ubicado en 905 West Fulton Market, Suite 200, Chicago, Illinois 60607,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Mondelēz México, S. de R.L. de C.V., con domicilio ubicado en Avenida Santa Fe 485, Piso 7, Colonia Cruz Manca, Mexico City, C.P. 05349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75970"/>
                <wp:effectExtent l="0" t="0" r="0" b="0"/>
                <wp:wrapNone/>
                <wp:docPr id="245" name="Frame148"/>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39</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39</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Mexico. Derivado de lo anterior, el Participante expresamente reconoce que el Plan LTI y los beneficios que pudieran derivar de la participación en el mismo no establecen derecho alguno entre el Participante y el Patrón, Mondelēz México, S. de R.L. de C.V., y no forma parte de las condiciones de trabajo y/o las prestaciones otorgadas por Mondelēz México, S. de R.L. de C.V., y que cualquier modificación al Plan LTI o su terminación no constituye un cambio o impedimento de los términos y condiciones de la relación de trabajo del Participante.</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pStyle w:val="TextBody"/>
        <w:bidi w:val="0"/>
        <w:spacing w:lineRule="auto" w:line="333"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Premio LTIP, el Participante reconoce que ha recibido copias del Plan LTI, que ha revisado el Plan LTI y el Acuerdo en su totalidad y que entiende y acepta completamente todas las disposiciones contenidas en el Plan LTI y en el Acuerdo.</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LTI Grants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LTI Grants may not be publicly distributed in Mexico. These materials are addressed to the Participant only because of the Participant’s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75970"/>
                <wp:effectExtent l="0" t="0" r="0" b="0"/>
                <wp:wrapNone/>
                <wp:docPr id="246" name="Frame149"/>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40</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40</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12"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NEW ZEALAND </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WARNING: </w:t>
      </w:r>
      <w:r>
        <w:rPr>
          <w:rFonts w:ascii="Times New Roman;sans-serif" w:hAnsi="Times New Roman;sans-serif"/>
          <w:b w:val="false"/>
          <w:i/>
          <w:color w:val="000000"/>
          <w:sz w:val="22"/>
        </w:rPr>
        <w:t>The Participant is being offered the LTI Grant which allows the Participant to acquire shares of Common Stock in accordance with the terms of the Plan and the Agreement.</w:t>
      </w:r>
      <w:r>
        <w:rPr>
          <w:color w:val="000000"/>
        </w:rPr>
        <w:t xml:space="preserve"> </w:t>
      </w:r>
      <w:r>
        <w:rPr>
          <w:rFonts w:ascii="Times New Roman;sans-serif" w:hAnsi="Times New Roman;sans-serif"/>
          <w:b w:val="false"/>
          <w:i/>
          <w:color w:val="000000"/>
          <w:sz w:val="22"/>
        </w:rPr>
        <w:t>The shares of Common Stock, if issued, give the Participant a stake in the ownership of the Company.</w:t>
      </w:r>
      <w:r>
        <w:rPr>
          <w:color w:val="000000"/>
        </w:rPr>
        <w:t xml:space="preserve"> </w:t>
      </w:r>
      <w:r>
        <w:rPr>
          <w:rFonts w:ascii="Times New Roman;sans-serif" w:hAnsi="Times New Roman;sans-serif"/>
          <w:b w:val="false"/>
          <w:i/>
          <w:color w:val="000000"/>
          <w:sz w:val="22"/>
        </w:rPr>
        <w:t>The Participant may receive a return if dividends are paid.</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val="false"/>
          <w:i/>
          <w:color w:val="000000"/>
          <w:sz w:val="22"/>
        </w:rPr>
        <w:t>If the Company runs into financial difficulties and is wound up, the Participant will be paid only after all creditors and holders of preferred shares have been paid.</w:t>
      </w:r>
      <w:r>
        <w:rPr>
          <w:color w:val="000000"/>
        </w:rPr>
        <w:t xml:space="preserve"> </w:t>
      </w:r>
      <w:r>
        <w:rPr>
          <w:rFonts w:ascii="Times New Roman;sans-serif" w:hAnsi="Times New Roman;sans-serif"/>
          <w:b w:val="false"/>
          <w:i/>
          <w:color w:val="000000"/>
          <w:sz w:val="22"/>
        </w:rPr>
        <w:t>The Participant may lose some or all of his or her investment.</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val="false"/>
          <w:i/>
          <w:color w:val="000000"/>
          <w:sz w:val="22"/>
        </w:rPr>
        <w:t>New Zealand law normally requires people who offer financial products to give information to investors before they invest.</w:t>
      </w:r>
      <w:r>
        <w:rPr>
          <w:color w:val="000000"/>
        </w:rPr>
        <w:t xml:space="preserve"> </w:t>
      </w:r>
      <w:r>
        <w:rPr>
          <w:rFonts w:ascii="Times New Roman;sans-serif" w:hAnsi="Times New Roman;sans-serif"/>
          <w:b w:val="false"/>
          <w:i/>
          <w:color w:val="000000"/>
          <w:sz w:val="22"/>
        </w:rPr>
        <w:t xml:space="preserve">This information is designed to help investors to make an informed decision. </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val="false"/>
          <w:i/>
          <w:color w:val="000000"/>
          <w:sz w:val="22"/>
        </w:rPr>
        <w:t>The usual rules do not apply to this offer because it is made under an employee share purchase scheme.</w:t>
      </w:r>
      <w:r>
        <w:rPr>
          <w:color w:val="000000"/>
        </w:rPr>
        <w:t xml:space="preserve"> </w:t>
      </w:r>
      <w:r>
        <w:rPr>
          <w:rFonts w:ascii="Times New Roman;sans-serif" w:hAnsi="Times New Roman;sans-serif"/>
          <w:b w:val="false"/>
          <w:i/>
          <w:color w:val="000000"/>
          <w:sz w:val="22"/>
        </w:rPr>
        <w:t>As a result, the Participant may not be given all the information usually required.</w:t>
      </w:r>
      <w:r>
        <w:rPr>
          <w:color w:val="000000"/>
        </w:rPr>
        <w:t xml:space="preserve"> </w:t>
      </w:r>
      <w:r>
        <w:rPr>
          <w:rFonts w:ascii="Times New Roman;sans-serif" w:hAnsi="Times New Roman;sans-serif"/>
          <w:b w:val="false"/>
          <w:i/>
          <w:color w:val="000000"/>
          <w:sz w:val="22"/>
        </w:rPr>
        <w:t xml:space="preserve">The Participant will also have fewer other legal protections for this investment.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The Participant understands that he or she should ask questions, read all documents carefully, and seek independent financial advice before participating in the Plan.</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val="false"/>
          <w:i/>
          <w:color w:val="000000"/>
          <w:sz w:val="22"/>
        </w:rPr>
        <w:t>The shares of Common Stock are quoted and approved for trading on the Nasdaq Global Select Market in the United States of America.</w:t>
      </w:r>
      <w:r>
        <w:rPr>
          <w:color w:val="000000"/>
        </w:rPr>
        <w:t xml:space="preserve"> </w:t>
      </w:r>
      <w:r>
        <w:rPr>
          <w:rFonts w:ascii="Times New Roman;sans-serif" w:hAnsi="Times New Roman;sans-serif"/>
          <w:b w:val="false"/>
          <w:i/>
          <w:color w:val="000000"/>
          <w:sz w:val="22"/>
        </w:rPr>
        <w:t>This means that, if the Participant acquires shares of Common Stock under the Plan, the Participant may be able to sell his or her investment on the Nasdaq if there are interested buyers.</w:t>
      </w:r>
      <w:r>
        <w:rPr>
          <w:color w:val="000000"/>
        </w:rPr>
        <w:t xml:space="preserve"> </w:t>
      </w:r>
      <w:r>
        <w:rPr>
          <w:rFonts w:ascii="Times New Roman;sans-serif" w:hAnsi="Times New Roman;sans-serif"/>
          <w:b w:val="false"/>
          <w:i/>
          <w:color w:val="000000"/>
          <w:sz w:val="22"/>
        </w:rPr>
        <w:t>The price will depend on the demand for the shares of Common Stock.</w:t>
      </w:r>
    </w:p>
    <w:p>
      <w:pPr>
        <w:pStyle w:val="TextBody"/>
        <w:bidi w:val="0"/>
        <w:spacing w:before="0" w:after="0"/>
        <w:jc w:val="left"/>
        <w:rPr/>
      </w:pPr>
      <w:r>
        <w:rPr/>
      </w:r>
    </w:p>
    <w:p>
      <w:pPr>
        <w:pStyle w:val="TextBody"/>
        <w:bidi w:val="0"/>
        <w:spacing w:lineRule="auto" w:line="312"/>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Participant should refer to the risk factors discussion in the Company’s Annual Report on Form 10-K and Quarterly Reports on Form 10-Q, which are filed with the U.S. Securities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75970"/>
                <wp:effectExtent l="0" t="0" r="0" b="0"/>
                <wp:wrapNone/>
                <wp:docPr id="247" name="Frame150"/>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41</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41</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pPr>
      <w:r>
        <w:rPr>
          <w:rFonts w:ascii="Times New Roman;sans-serif" w:hAnsi="Times New Roman;sans-serif"/>
          <w:b w:val="false"/>
          <w:i/>
          <w:color w:val="000000"/>
          <w:sz w:val="22"/>
        </w:rPr>
        <w:t xml:space="preserve">Exchange Commission and are available online at </w:t>
      </w:r>
      <w:r>
        <w:rPr>
          <w:rFonts w:ascii="Times New Roman;sans-serif" w:hAnsi="Times New Roman;sans-serif"/>
          <w:b w:val="false"/>
          <w:i/>
          <w:color w:val="0000FF"/>
          <w:sz w:val="22"/>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FF"/>
          <w:sz w:val="22"/>
        </w:rPr>
        <w:t>http://ir.mondelezinternational.com/sec.cfm</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 LTI Award. If applicable, the Participant agrees that the Company is authorized to instruct its designated broker, on behalf of the Participant, to assist with the mandatory sale of such shares of Common Stock and the Participant expressly authorizes the Company’s designated broker to complete the sale of such shares of Common Stock. The Participant expressly acknowledges that the Company’s designated broker is under no obligation to arrange for the sale of shares of Common Stock at any particular price. Upon the sale of shares of Common Stock, the Participant shall receive the cash proceeds from the sale of shares of Common Stock, less any brokerage fees or commissions and subject to any obligation to satisfy Tax-Related Items. The Participant also acknowledges that the Participant is unaware of any material non-public information with respect to the Company or any securities of the Company as of the date of the Agreement.</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is required immediately to repatriate to Pakistan the proceeds from the sale of any 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75970"/>
                <wp:effectExtent l="0" t="0" r="0" b="0"/>
                <wp:wrapNone/>
                <wp:docPr id="248" name="Frame151"/>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42</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42</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9 of the Agreement:</w:t>
      </w:r>
    </w:p>
    <w:p>
      <w:pPr>
        <w:pStyle w:val="TextBody"/>
        <w:bidi w:val="0"/>
        <w:spacing w:lineRule="auto" w:line="333" w:before="0" w:after="240"/>
        <w:jc w:val="left"/>
        <w:rPr/>
      </w:pPr>
      <w:r>
        <w:rPr>
          <w:rFonts w:ascii="Times New Roman;sans-serif" w:hAnsi="Times New Roman;sans-serif"/>
          <w:b w:val="false"/>
          <w:color w:val="000000"/>
          <w:sz w:val="22"/>
        </w:rPr>
        <w:t xml:space="preserve">By accepting the LTI Grant, the Participant acknowledges, understands and agrees that the LTI Grant is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Participant.</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LTI Grant is considered a private offering in Peru; therefore, it is not subject to registration. For more 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w:t>
      </w:r>
      <w:r>
        <w:rPr>
          <w:color w:val="000000"/>
        </w:rPr>
        <w:t xml:space="preserve"> </w:t>
      </w:r>
      <w:r>
        <w:rPr>
          <w:rFonts w:ascii="Times New Roman;sans-serif" w:hAnsi="Times New Roman;sans-serif"/>
          <w:b w:val="false"/>
          <w:color w:val="000000"/>
          <w:sz w:val="22"/>
        </w:rPr>
        <w:t>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75970"/>
                <wp:effectExtent l="0" t="0" r="0" b="0"/>
                <wp:wrapNone/>
                <wp:docPr id="249" name="Frame152"/>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43</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43</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Participant hereby expressly declares that he or she has full knowledge of the English language and has read, understood and fully accepted and agreed with the terms and conditions established in the Plan and the Agreement.</w:t>
      </w:r>
    </w:p>
    <w:p>
      <w:pPr>
        <w:pStyle w:val="TextBody"/>
        <w:bidi w:val="0"/>
        <w:spacing w:lineRule="atLeast" w:line="264"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Participant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Participant.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deposits proceeds from the sale of Common Stock in a bank account in Romania, the 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Agreement, the Plan and all other materials that the Participant may receive concerning the LTI Grant and the Participant’s participation in the Plan do not constitute advertising or an offering of securities in Russia. The Common Stock to be issued upon the LTI Award Payout has not and will not be registered in Russia and, therefore, the Common Stock described in any Plan documents may not be offered or placed in public circulation in Russia. In no event will Common Stock to be issued upon the LTI Award Payout be delivered to the Participant in Russia. All Common Stock acquired under the Plan will be maintained on the Participant’s behalf outside of Russia. The Participant will not be permitted to sell Common Stock directly to a Russian legal entity or resident.</w:t>
      </w:r>
    </w:p>
    <w:p>
      <w:pPr>
        <w:pStyle w:val="TextBody"/>
        <w:bidi w:val="0"/>
        <w:spacing w:lineRule="auto" w:line="333" w:before="0" w:after="240"/>
        <w:jc w:val="left"/>
        <w:rPr/>
      </w:pPr>
      <w:r>
        <w:rPr>
          <w:rFonts w:ascii="Times New Roman;sans-serif" w:hAnsi="Times New Roman;sans-serif"/>
          <w:b/>
          <w:color w:val="000000"/>
          <w:sz w:val="22"/>
        </w:rPr>
        <w:t>Settlement of LTI Grant and Sale of Shares.</w:t>
      </w:r>
      <w:r>
        <w:rPr>
          <w:color w:val="000000"/>
        </w:rPr>
        <w:t xml:space="preserve"> </w:t>
      </w:r>
      <w:r>
        <w:rPr>
          <w:rFonts w:ascii="Times New Roman;sans-serif" w:hAnsi="Times New Roman;sans-serif"/>
          <w:b w:val="false"/>
          <w:color w:val="000000"/>
          <w:sz w:val="22"/>
        </w:rPr>
        <w:t xml:space="preserve">The Optionee understands that no shares of Common Stock will be issued upon vesting of the LTI Grant if the Company, in its sole discretion, determines that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75970"/>
                <wp:effectExtent l="0" t="0" r="0" b="0"/>
                <wp:wrapNone/>
                <wp:docPr id="250" name="Frame153"/>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44</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rPr>
        <w:t>such issuance would not comply with applicable laws and regulations in Russia.</w:t>
      </w:r>
      <w:r>
        <w:rPr>
          <w:color w:val="000000"/>
        </w:rPr>
        <w:t xml:space="preserve"> </w:t>
      </w:r>
      <w:r>
        <w:rPr>
          <w:rFonts w:ascii="Times New Roman;sans-serif" w:hAnsi="Times New Roman;sans-serif"/>
          <w:b w:val="false"/>
          <w:color w:val="000000"/>
          <w:sz w:val="22"/>
        </w:rPr>
        <w:t>Notwithstanding anything to the contrary in the Agreement, depending on the development of 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uto" w:line="333"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10 of the Agreement:</w:t>
      </w:r>
    </w:p>
    <w:p>
      <w:pPr>
        <w:pStyle w:val="TextBody"/>
        <w:bidi w:val="0"/>
        <w:spacing w:lineRule="auto" w:line="333" w:before="0" w:after="240"/>
        <w:jc w:val="left"/>
        <w:rPr/>
      </w:pPr>
      <w:r>
        <w:rPr>
          <w:rFonts w:ascii="Times New Roman;sans-serif" w:hAnsi="Times New Roman;sans-serif"/>
          <w:b w:val="false"/>
          <w:color w:val="000000"/>
          <w:sz w:val="22"/>
        </w:rPr>
        <w:t>The Participant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responsible for complying with any and all Russian foreign exchange control requirements in connection with the LTI Grant, any shares of Common Stock acquired and funds remitted into Russia in connection with the Plan. This may include, in certain circumstances, reporting and repatriation requirements. The foreign exchange control rules and regulations in Russia are subject to frequent change. The Participant should contact their personal advisor to determine applicability of all repatriation, remittance or other exchange control requirements to ensure compliance with all applicable exchange control requirements prior to vesting of the LTI Grant and/or selling shares of Common Stock.</w:t>
      </w:r>
    </w:p>
    <w:p>
      <w:pPr>
        <w:pStyle w:val="TextBody"/>
        <w:bidi w:val="0"/>
        <w:spacing w:lineRule="auto" w:line="333" w:before="0" w:after="240"/>
        <w:jc w:val="left"/>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Participant continues to hold shares of Common Stock acquired at vesting of the LTI Grant after an involuntary termination of employment, the Participant will not be eligible to receive unemployment benefits in Russia.</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75970"/>
                <wp:effectExtent l="0" t="0" r="0" b="0"/>
                <wp:wrapNone/>
                <wp:docPr id="251" name="Frame154"/>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45</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45</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val="false"/>
          <w:color w:val="000000"/>
          <w:sz w:val="22"/>
        </w:rPr>
        <w:t xml:space="preserve">reporting requirement to include financial asset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Participant’s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the LTI Grant</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The Participant should consult with their personal legal advisor to determine the applicability of these reporting requirements to any brokerage account opened in connection with participation in the Plan.</w:t>
      </w:r>
    </w:p>
    <w:p>
      <w:pPr>
        <w:pStyle w:val="TextBody"/>
        <w:bidi w:val="0"/>
        <w:spacing w:lineRule="auto" w:line="333"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Participant should inform the Company if the Participant is covered by these laws because the Participant should not hold shares of Common Stock acquired under the Plan.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2" w:before="0" w:after="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grant of the LTI Grant is not subject to the regulations concerning public offers and private placements under the Law on Capital Markets.</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Participant is permitted to acquire shares of 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75970"/>
                <wp:effectExtent l="0" t="0" r="0" b="0"/>
                <wp:wrapNone/>
                <wp:docPr id="252" name="Frame155"/>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46</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46</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 xml:space="preserve">Transfer Restrictions. </w:t>
      </w:r>
      <w:r>
        <w:rPr>
          <w:rFonts w:ascii="Times New Roman;sans-serif" w:hAnsi="Times New Roman;sans-serif"/>
          <w:b w:val="false"/>
          <w:color w:val="000000"/>
          <w:sz w:val="22"/>
        </w:rPr>
        <w:t>The Participant agrees that any shares of Common Stock acquired pursuant to the LTI Grant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is being made pursuant to the “Qualifying Person” exemption under section 273(1)(f) of the SFA and is not made to the Participant with a view to the LTI Grant being subsequently offered for sale to any other party. The Plan has not been lodged or registered as a prospectus with the Monetary Authority of Singapore.</w:t>
      </w:r>
    </w:p>
    <w:p>
      <w:pPr>
        <w:pStyle w:val="TextBody"/>
        <w:bidi w:val="0"/>
        <w:spacing w:lineRule="auto" w:line="333"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Grant,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when the shares of Common Stock are sold), or (iii) becoming a director, associate director or shadow director.</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Participant e’s brokerage account with the Company’s designated broker).</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xml:space="preserve">. In compliance with South African Securities Law, the documents listed below are available for the Participant’s review on the Company’s public site or intranet site, as applicable, as listed below: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75970"/>
                <wp:effectExtent l="0" t="0" r="0" b="0"/>
                <wp:wrapNone/>
                <wp:docPr id="253" name="Frame156"/>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47</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47</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ind w:left="0" w:right="0" w:hanging="360"/>
        <w:jc w:val="left"/>
        <w:rPr/>
      </w:pPr>
      <w:r>
        <w:rPr>
          <w:rFonts w:ascii="Times New Roman;sans-serif" w:hAnsi="Times New Roman;sans-serif"/>
          <w:b w:val="false"/>
          <w:i/>
          <w:color w:val="000000"/>
          <w:sz w:val="22"/>
        </w:rPr>
        <w:t>1.</w:t>
      </w:r>
      <w:r>
        <w:rPr>
          <w:rFonts w:ascii="Times New Roman;sans-serif" w:hAnsi="Times New Roman;sans-serif"/>
          <w:b w:val="false"/>
          <w:color w:val="000000"/>
          <w:sz w:val="22"/>
        </w:rPr>
        <w:t xml:space="preserve">The Company’s most recent Annual Report (Form 10-K): from the investor relations section of the Company’s website at </w:t>
      </w:r>
      <w:r>
        <w:rPr>
          <w:rFonts w:ascii="Times New Roman;sans-serif" w:hAnsi="Times New Roman;sans-serif"/>
          <w:b w:val="false"/>
          <w:color w:val="0000FF"/>
          <w:sz w:val="22"/>
          <w:u w:val="single"/>
        </w:rPr>
        <w:t>http://www.mondelezinternational.com/investors</w:t>
      </w:r>
      <w:r>
        <w:rPr>
          <w:rFonts w:ascii="Times New Roman;sans-serif" w:hAnsi="Times New Roman;sans-serif"/>
          <w:b w:val="false"/>
          <w:color w:val="000000"/>
          <w:sz w:val="22"/>
        </w:rPr>
        <w:t>.</w:t>
      </w:r>
    </w:p>
    <w:p>
      <w:pPr>
        <w:pStyle w:val="TextBody"/>
        <w:bidi w:val="0"/>
        <w:spacing w:lineRule="auto" w:line="333" w:before="0" w:after="240"/>
        <w:ind w:left="0" w:right="0" w:hanging="360"/>
        <w:jc w:val="left"/>
        <w:rPr/>
      </w:pPr>
      <w:r>
        <w:rPr>
          <w:rFonts w:ascii="Times New Roman;sans-serif" w:hAnsi="Times New Roman;sans-serif"/>
          <w:b w:val="false"/>
          <w:i/>
          <w:color w:val="000000"/>
          <w:sz w:val="22"/>
        </w:rPr>
        <w:t>2.</w:t>
      </w:r>
      <w:r>
        <w:rPr>
          <w:rFonts w:ascii="Times New Roman;sans-serif" w:hAnsi="Times New Roman;sans-serif"/>
          <w:b w:val="false"/>
          <w:color w:val="000000"/>
          <w:sz w:val="22"/>
        </w:rPr>
        <w:t xml:space="preserve">The Company’s most recent Plan prospectus: a copy of which can be found on the Company’s Intranet site located at: </w:t>
      </w:r>
      <w:r>
        <w:rPr>
          <w:rFonts w:ascii="Times New Roman;sans-serif" w:hAnsi="Times New Roman;sans-serif"/>
          <w:b w:val="false"/>
          <w:color w:val="0000FF"/>
          <w:sz w:val="22"/>
          <w:u w:val="single"/>
        </w:rPr>
        <w:t>https://intranet.mdlz.com/sites/globalhr/comp/Pages/Legal-Documents.aspx</w:t>
      </w:r>
      <w:r>
        <w:rPr>
          <w:rFonts w:ascii="Times New Roman;sans-serif" w:hAnsi="Times New Roman;sans-serif"/>
          <w:b w:val="false"/>
          <w:color w:val="000000"/>
          <w:sz w:val="22"/>
        </w:rPr>
        <w:t>.</w:t>
      </w:r>
    </w:p>
    <w:p>
      <w:pPr>
        <w:pStyle w:val="TextBody"/>
        <w:bidi w:val="0"/>
        <w:spacing w:lineRule="atLeast" w:line="264" w:before="0" w:after="240"/>
        <w:jc w:val="left"/>
        <w:rPr/>
      </w:pPr>
      <w:r>
        <w:rPr>
          <w:rFonts w:ascii="Times New Roman;sans-serif" w:hAnsi="Times New Roman;sans-serif"/>
          <w:b w:val="false"/>
          <w:color w:val="000000"/>
          <w:sz w:val="22"/>
        </w:rPr>
        <w:t>The Participant acknowledges that he or she may have copies of the above documents sent to him or her, at no charge, on written request being mailed to Corporate Secretary, Mondelēz International, Inc., 905 West Fulton Market, Suite 200, Chicago, Illinois 60607, U.S.A.</w:t>
      </w:r>
      <w:r>
        <w:rPr>
          <w:color w:val="000000"/>
        </w:rPr>
        <w:t xml:space="preserve"> </w:t>
      </w:r>
      <w:r>
        <w:rPr>
          <w:rFonts w:ascii="Times New Roman;sans-serif" w:hAnsi="Times New Roman;sans-serif"/>
          <w:b w:val="false"/>
          <w:color w:val="000000"/>
          <w:sz w:val="22"/>
        </w:rPr>
        <w:t>The telephone number at the executive offices is +1 847-943-4000.</w:t>
      </w:r>
    </w:p>
    <w:p>
      <w:pPr>
        <w:pStyle w:val="TextBody"/>
        <w:bidi w:val="0"/>
        <w:spacing w:lineRule="auto" w:line="333"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Participant is solely responsible for complying with applicable South African exchange control regulations. In particular, the Participant may be required to obtain approval from the South African Reserve Bank for payments (including shares of Common Stock received pursuant to the Plan) that the Participant receives into accounts based outside of South Africa (e.g., a U.S. brokerage account).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9" w:before="0" w:after="0"/>
        <w:jc w:val="left"/>
        <w:rPr/>
      </w:pPr>
      <w:r>
        <w:rPr>
          <w:rFonts w:ascii="Times New Roman;sans-serif" w:hAnsi="Times New Roman;sans-serif"/>
          <w:b/>
          <w:color w:val="000000"/>
          <w:sz w:val="22"/>
        </w:rPr>
        <w:t xml:space="preserve">Exchange Control Notification. </w:t>
      </w:r>
      <w:r>
        <w:rPr>
          <w:rFonts w:ascii="Times New Roman;sans-serif" w:hAnsi="Times New Roman;sans-serif"/>
          <w:b w:val="false"/>
          <w:color w:val="000000"/>
          <w:sz w:val="22"/>
        </w:rPr>
        <w:t>If a Korean resident sells shares of Common Stock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pStyle w:val="TextBody"/>
        <w:bidi w:val="0"/>
        <w:spacing w:lineRule="auto" w:line="240" w:before="0" w:after="0"/>
        <w:jc w:val="left"/>
        <w:rPr/>
      </w:pPr>
      <w:r>
        <w:rPr>
          <w:rFonts w:ascii="Times New Roman;sans-serif" w:hAnsi="Times New Roman;sans-serif"/>
          <w:b/>
          <w:color w:val="000000"/>
          <w:sz w:val="22"/>
        </w:rPr>
        <w:t>Foreign Asset/Account Reporting Information. </w:t>
      </w:r>
      <w:r>
        <w:rPr>
          <w:color w:val="000000"/>
        </w:rPr>
        <w:t xml:space="preserve">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a certain threshold (currently,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75970"/>
                <wp:effectExtent l="0" t="0" r="0" b="0"/>
                <wp:wrapNone/>
                <wp:docPr id="254" name="Frame157"/>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48</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48</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 xml:space="preserve">Nature of the Grant. </w:t>
      </w:r>
      <w:r>
        <w:rPr>
          <w:rFonts w:ascii="Times New Roman;sans-serif" w:hAnsi="Times New Roman;sans-serif"/>
          <w:b w:val="false"/>
          <w:color w:val="000000"/>
          <w:sz w:val="22"/>
        </w:rPr>
        <w:t>The following provision supplements paragraph 9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LTI Grant, the Participant consents to participation in the Plan and acknowledges that he or she has received a copy of the Plan.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 </w:t>
      </w:r>
    </w:p>
    <w:p>
      <w:pPr>
        <w:pStyle w:val="TextBody"/>
        <w:bidi w:val="0"/>
        <w:spacing w:lineRule="auto" w:line="333" w:before="0" w:after="240"/>
        <w:jc w:val="left"/>
        <w:rPr/>
      </w:pPr>
      <w:r>
        <w:rPr>
          <w:rFonts w:ascii="Times New Roman;sans-serif" w:hAnsi="Times New Roman;sans-serif"/>
          <w:b w:val="false"/>
          <w:color w:val="000000"/>
          <w:sz w:val="22"/>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tLeast" w:line="246" w:before="0" w:after="0"/>
        <w:jc w:val="left"/>
        <w:rPr/>
      </w:pPr>
      <w:r>
        <w:rPr>
          <w:rFonts w:ascii="Times New Roman;sans-serif" w:hAnsi="Times New Roman;sans-serif"/>
          <w:b w:val="false"/>
          <w:color w:val="000000"/>
          <w:sz w:val="22"/>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(i) any LTI Grant will not economically or otherwise bind the Mondelēz Group on an ongoing basis other than to the extent set forth in the Agreement; (ii)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and (iii) the LTI Grant will cease vesting upon termination of the Participant’s employment, as detailed in the paragraph above.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r>
        <w:rPr>
          <w:color w:val="000000"/>
        </w:rPr>
        <w:t xml:space="preserve"> </w:t>
      </w:r>
    </w:p>
    <w:p>
      <w:pPr>
        <w:pStyle w:val="TextBody"/>
        <w:bidi w:val="0"/>
        <w:spacing w:before="0" w:after="24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p>
    <w:p>
      <w:pPr>
        <w:pStyle w:val="TextBody"/>
        <w:bidi w:val="0"/>
        <w:spacing w:lineRule="atLeast" w:line="264"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75970"/>
                <wp:effectExtent l="0" t="0" r="0" b="0"/>
                <wp:wrapNone/>
                <wp:docPr id="255" name="Frame158"/>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49</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49</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pStyle w:val="TextBody"/>
        <w:bidi w:val="0"/>
        <w:spacing w:lineRule="auto" w:line="333"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Participant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a certain threshold (currently,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a certain threshold (currently,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a certain threshold (currently, €50,000), a summarized form of declaration may be presented. The Participant should consult his or her personal tax advisor for details regarding this requirement.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8 of the Agreement, by accepting the LTI Grants, the Participant authorizes the Company and/or the Employer to withhold shares of Common Stock or to sell shares of Common Stock otherwise deliverable to the Participant upon vesting to satisfy Tax-Related Items, regardless of whether the Company and/or the Employer have an obligation to withhold such Tax-Related Items.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this document nor any other materials relating to the LTI Grant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75970"/>
                <wp:effectExtent l="0" t="0" r="0" b="0"/>
                <wp:wrapNone/>
                <wp:docPr id="256" name="Frame159"/>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50</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50</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Participant hereby acknowledges that he or she has read and understood the terms regarding collection, 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and the shares of Common Stock to be issued pursuant to the Plan are available only to Participants of the Mondelēz Group. The LTI Grant does not constitute a public offer of securities.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Participant may acquire and remit foreign currency (including proceeds from the sale of shares of Common Stock) into and out of Taiwan up to a certain threshold (currently, US$5,000,000) per year. If the transaction amount equals or exceeds a certain threshold (currently, TWD$500,000)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receives proceeds from the sale of shares of Common Stock or cash dividends in relation to the shares of Common Stock equal to or in excess of a certain threshold (currently, US$1,000,000) in a single transaction, the Participant must immediately repatriate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pStyle w:val="TextBody"/>
        <w:bidi w:val="0"/>
        <w:spacing w:lineRule="auto" w:line="333" w:before="0" w:after="240"/>
        <w:jc w:val="left"/>
        <w:rPr/>
      </w:pPr>
      <w:r>
        <w:rPr>
          <w:rFonts w:ascii="Times New Roman;sans-serif" w:hAnsi="Times New Roman;sans-serif"/>
          <w:b w:val="false"/>
          <w:color w:val="000000"/>
          <w:sz w:val="22"/>
        </w:rPr>
        <w:t>If the Participant does not repatriate such funds and utilizes them offshore for permissible purposes (</w:t>
      </w:r>
      <w:r>
        <w:rPr>
          <w:rFonts w:ascii="Times New Roman;sans-serif" w:hAnsi="Times New Roman;sans-serif"/>
          <w:b w:val="false"/>
          <w:i/>
          <w:color w:val="000000"/>
          <w:sz w:val="22"/>
        </w:rPr>
        <w:t>i.e.</w:t>
      </w:r>
      <w:r>
        <w:rPr>
          <w:rFonts w:ascii="Times New Roman;sans-serif" w:hAnsi="Times New Roman;sans-serif"/>
          <w:b w:val="false"/>
          <w:color w:val="000000"/>
          <w:sz w:val="22"/>
        </w:rPr>
        <w:t>, purposes not listed in the negative list prescribed by the Bank of Thailand), the Participant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75970"/>
                <wp:effectExtent l="0" t="0" r="0" b="0"/>
                <wp:wrapNone/>
                <wp:docPr id="257" name="Frame160"/>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51</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51</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pStyle w:val="TextBody"/>
        <w:bidi w:val="0"/>
        <w:spacing w:lineRule="atLeast" w:line="264"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TÜRKIYE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Participant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engage a Turkish financial intermediary to assist with the sale of shares 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2" w:before="0" w:after="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Participants and is in the nature of providing equity incentives to Participants in the United Arab Emirates (“</w:t>
      </w:r>
      <w:r>
        <w:rPr>
          <w:rFonts w:ascii="Times New Roman;sans-serif" w:hAnsi="Times New Roman;sans-serif"/>
          <w:b w:val="false"/>
          <w:color w:val="000000"/>
          <w:sz w:val="24"/>
          <w:u w:val="single"/>
        </w:rPr>
        <w:t>UAE</w:t>
      </w:r>
      <w:r>
        <w:rPr>
          <w:color w:val="000000"/>
        </w:rPr>
        <w:t>”</w:t>
      </w:r>
      <w:r>
        <w:rPr>
          <w:rFonts w:ascii="Times New Roman;sans-serif" w:hAnsi="Times New Roman;sans-serif"/>
          <w:b w:val="false"/>
          <w:color w:val="000000"/>
          <w:sz w:val="22"/>
        </w:rPr>
        <w:t>). The Plan and the Agreement are intended for distribution only to such Participants and must not be delivered to, or relied on by, any other person. Prospective purchasers of the securities offered should conduct their own due diligence on the securities.</w:t>
      </w:r>
    </w:p>
    <w:p>
      <w:pPr>
        <w:pStyle w:val="TextBody"/>
        <w:bidi w:val="0"/>
        <w:spacing w:before="0" w:after="0"/>
        <w:jc w:val="left"/>
        <w:rPr/>
      </w:pPr>
      <w:r>
        <w:rPr/>
      </w:r>
    </w:p>
    <w:p>
      <w:pPr>
        <w:pStyle w:val="TextBody"/>
        <w:bidi w:val="0"/>
        <w:spacing w:lineRule="auto" w:line="312"/>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No other UAE authority or governmental agency has approved the Plan or the Agreement nor taken steps to verify the information set out therein, and have no responsibility for such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75970"/>
                <wp:effectExtent l="0" t="0" r="0" b="0"/>
                <wp:wrapNone/>
                <wp:docPr id="258" name="Frame161"/>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52</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52</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bidi w:val="0"/>
        <w:spacing w:lineRule="auto" w:line="333" w:before="0" w:after="240"/>
        <w:jc w:val="left"/>
        <w:rPr/>
      </w:pPr>
      <w:r>
        <w:rPr>
          <w:rFonts w:ascii="Times New Roman;sans-serif" w:hAnsi="Times New Roman;sans-serif"/>
          <w:b w:val="false"/>
          <w:color w:val="000000"/>
          <w:sz w:val="22"/>
        </w:rPr>
        <w:t>Without limitation to paragraph 8 of the Agreement, the Participant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pStyle w:val="TextBody"/>
        <w:bidi w:val="0"/>
        <w:spacing w:lineRule="auto" w:line="333" w:before="0" w:after="240"/>
        <w:jc w:val="left"/>
        <w:rPr/>
      </w:pPr>
      <w:r>
        <w:rPr>
          <w:rFonts w:ascii="Times New Roman;sans-serif" w:hAnsi="Times New Roman;sans-serif"/>
          <w:b w:val="false"/>
          <w:color w:val="000000"/>
          <w:sz w:val="22"/>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sans-serif" w:hAnsi="Times New Roman;sans-serif"/>
          <w:b w:val="false"/>
          <w:color w:val="000000"/>
          <w:sz w:val="22"/>
          <w:u w:val="single"/>
        </w:rPr>
        <w:t>NICs</w:t>
      </w:r>
      <w:r>
        <w:rPr>
          <w:color w:val="000000"/>
        </w:rPr>
        <w:t>”</w:t>
      </w:r>
      <w:r>
        <w:rPr>
          <w:rFonts w:ascii="Times New Roman;sans-serif" w:hAnsi="Times New Roman;sans-serif"/>
          <w:b w:val="false"/>
          <w:color w:val="000000"/>
          <w:sz w:val="22"/>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UNITED STATES </w:t>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ALL STATES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If the Participant holds assets (</w:t>
      </w:r>
      <w:r>
        <w:rPr>
          <w:rFonts w:ascii="Times New Roman;sans-serif" w:hAnsi="Times New Roman;sans-serif"/>
          <w:b w:val="false"/>
          <w:i/>
          <w:color w:val="000000"/>
          <w:sz w:val="24"/>
        </w:rPr>
        <w:t>e</w:t>
      </w:r>
      <w:r>
        <w:rPr>
          <w:rFonts w:ascii="Times New Roman;sans-serif" w:hAnsi="Times New Roman;sans-serif"/>
          <w:b w:val="false"/>
          <w:color w:val="000000"/>
          <w:sz w:val="22"/>
        </w:rPr>
        <w:t>.</w:t>
      </w:r>
      <w:r>
        <w:rPr>
          <w:rFonts w:ascii="Times New Roman;sans-serif" w:hAnsi="Times New Roman;sans-serif"/>
          <w:b w:val="false"/>
          <w:i/>
          <w:color w:val="000000"/>
          <w:sz w:val="24"/>
        </w:rPr>
        <w:t>g</w:t>
      </w:r>
      <w:r>
        <w:rPr>
          <w:rFonts w:ascii="Times New Roman;sans-serif" w:hAnsi="Times New Roman;sans-serif"/>
          <w:b w:val="false"/>
          <w:color w:val="000000"/>
          <w:sz w:val="22"/>
        </w:rPr>
        <w:t>., Common Stock) or other financial assets in an account outside the United States and the aggregate amount of said assets is a certain threshold (currently, US$10,000) or more, the Participant is required to submit a report of Foreign Bank and Financial Account with the United States Internal Revenue Service by June 30 of the year following the year in which the assets in the Participant’s account meet the threshold.</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CALIFORNIA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75970"/>
                <wp:effectExtent l="0" t="0" r="0" b="0"/>
                <wp:wrapNone/>
                <wp:docPr id="259" name="Frame162"/>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53</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53</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If the Participant is a resident of California:</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Paragraph 6(a), which includes post-termination noncompetition, employee nonsolicitation and customer nonsolicitation restrictions, shall not apply. Paragraph 6(a) shall be deleted and the other sub-sections of paragraph 6 shall be renumbered accordingly.</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2The following language shall be added as a new sub-section at the end of paragraph 6: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Nothing in this Agreement is intended to interfere with the Participant’s rights to discuss the Participant’s wages and working conditions under the California Labor Code or the Participant’s rights under California Code of Civil Procedure § 1670.11 or California Government Code § 12964.5. Moreover, nothing in this Agreement prevents the Participant from discussing or disclosing information about unlawful acts in the workplace, such as harassment or discrimination or any other conduct that the Participant has reason to believe is unlawful.</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2"/>
        </w:rPr>
        <w:t>If, during employment, the Participant primarily resided in California, this Agreement shall be governed by California law and any disputes arising under this Agreement shall be heard in a California state or federal court.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10 of the Agreement: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applicable data protection laws, the Participant is hereby notified that the Company collects, processes, uses and transfers certain personally-identifiable information about the Participant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Participant’s Personal Data or share it for cross-context behavioral advertising. If the Participant would like a copy of the Company’s privacy policy, please contact a local human resources representative.</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COLORADO</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Participant is a resident of Colorado:</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75970"/>
                <wp:effectExtent l="0" t="0" r="0" b="0"/>
                <wp:wrapNone/>
                <wp:docPr id="260" name="Frame163"/>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54</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post-termination noncompetition restrictions in paragraph 6(a)(1) shall not apply unless the Participant’s annualized cash compensation exceeds the statutory “highly compensated worker” threshold either at the time the Agreement is entered into or at the time of enforcement. The highly compensated worker threshold is US$127,091 for 2025 and is adjusted annually for inflation.</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The post-termination customer nonsolicitaton restrictions in paragraph 6(a)(3) shall not apply unless the Participant’s annualized cash compensation exceeds 60% of the statutory “highly compensated worker threshold” (“</w:t>
      </w:r>
      <w:r>
        <w:rPr>
          <w:rFonts w:ascii="Times New Roman;sans-serif" w:hAnsi="Times New Roman;sans-serif"/>
          <w:b w:val="false"/>
          <w:color w:val="000000"/>
          <w:sz w:val="22"/>
          <w:u w:val="single"/>
        </w:rPr>
        <w:t>Nonsolicitation Compensation Threshold</w:t>
      </w:r>
      <w:r>
        <w:rPr>
          <w:color w:val="000000"/>
        </w:rPr>
        <w:t>”</w:t>
      </w:r>
      <w:r>
        <w:rPr>
          <w:rFonts w:ascii="Times New Roman;sans-serif" w:hAnsi="Times New Roman;sans-serif"/>
          <w:b w:val="false"/>
          <w:color w:val="000000"/>
          <w:sz w:val="22"/>
        </w:rPr>
        <w:t xml:space="preserve">) either at the time the Agreement is entered into or at the time of enforcement. The Nonsolicitation Compensation Threshold is US$76,254.60 for 2025.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2"/>
        </w:rPr>
        <w:t xml:space="preserve">The Participant acknowledges that the post-termination noncompetition and customer nonsolicitation restrictions in paragraph 6(a)(1) and 6(a)(3) of the Agreement are no broader than is reasonably necessary to protect the Employer’s trade secrets.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DISTRICT OF COLOMBIA</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Participant is a resident of the District of Colombia, the post-termination noncompetition restrictions in paragraph 6(a)(1) shall not apply unless the Participant’s compensation (including wages, bonus, commissions, vested stock and other payments in connection with employment) is reasonably expected to equal or exceed in a consecutive twelve (12) month period, or does equal or exceed in the consecutive twelve (12) month period preceding the date of the Participant’s termination of employment with the Employer, the statutory threshold for a “highly compensated employee”, which is US$154,200 for 2024 and is adjusted annually for inflation.</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ILLINOIS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xml:space="preserve">. If the Participant is a resident of Illinois: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post-termination noncompetition restrictions in paragraph 6(a)(1) shall not apply unless the Participant’s annualized rate of earnings at the time the restrictions are entered into exceeds the statutory minimum, which is US$75,000 per year for 2025 and is scheduled to increase to US$80,000 per year on January 1, 2027, US$85,000 per year on January 1, 2032 and US$90,000 per year on January 1, 2037.</w:t>
      </w:r>
      <w:r>
        <w:rPr>
          <w:color w:val="000000"/>
        </w:rPr>
        <w:t xml:space="preserve"> </w:t>
      </w:r>
    </w:p>
    <w:p>
      <w:pPr>
        <w:pStyle w:val="TextBody"/>
        <w:bidi w:val="0"/>
        <w:spacing w:before="0" w:after="0"/>
        <w:jc w:val="left"/>
        <w:rPr/>
      </w:pPr>
      <w:r>
        <w:rPr/>
      </w:r>
    </w:p>
    <w:p>
      <w:pPr>
        <w:pStyle w:val="TextBody"/>
        <w:bidi w:val="0"/>
        <w:spacing w:lineRule="auto" w:line="312"/>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 xml:space="preserve">The post-termination employee nonsolicitation restrictions in paragraph 6(a)(2) and the post-termination customer nonsolicitaton restrictions in paragraph 6(a)(3) shall not apply unless the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75970"/>
                <wp:effectExtent l="0" t="0" r="0" b="0"/>
                <wp:wrapNone/>
                <wp:docPr id="261" name="Frame164"/>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55</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55</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Participant’s annualized rate of earnings at the time the restrictions are entered into exceed the statutory minimum, which is US$45,000 per year for 2025 and is scheduled to increase to US$47,500 per year on January 1, 2027, US$50,000 per year on January 1, 2032 and US$52,500 per year on January 1, 2037.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MINNESOTA</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Participant is a</w:t>
      </w:r>
      <w:r>
        <w:rPr>
          <w:color w:val="000000"/>
        </w:rPr>
        <w:t xml:space="preserve"> </w:t>
      </w:r>
      <w:r>
        <w:rPr>
          <w:rFonts w:ascii="Times New Roman;sans-serif" w:hAnsi="Times New Roman;sans-serif"/>
          <w:b w:val="false"/>
          <w:color w:val="000000"/>
          <w:sz w:val="22"/>
        </w:rPr>
        <w:t xml:space="preserve">resident of Minnesota, the post-termination noncompetition restrictions in paragraph 6(a)(1) shall not apply.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WASHINGTON</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Participant is a resident of Washington:</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post-termination noncompetition restrictions in paragraph 6(a)(1) and the post-termination customer nonsolicitation restrictions in paragraph 6(a)(3) shall not apply unless the Participant’s earnings from the Employer exceed the statutory threshold for Box 1 W-2 annual compensation, which is US$123,394.17 for 2025 and is adjusted annually for inflation (“</w:t>
      </w:r>
      <w:r>
        <w:rPr>
          <w:rFonts w:ascii="Times New Roman;sans-serif" w:hAnsi="Times New Roman;sans-serif"/>
          <w:b w:val="false"/>
          <w:color w:val="000000"/>
          <w:sz w:val="22"/>
          <w:u w:val="single"/>
        </w:rPr>
        <w:t>Earnings Threshold</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 xml:space="preserve">The Participant agrees that if, at the time the Participant signs this Agreement, the Participant’s earnings do not exceed the Earnings Threshold, the post-termination noncompetition restrictions in paragraph 6(a)(1) and the post-termination customer nonsolicitation restrictions in paragraph 6(a)(3) will automatically become enforceable against the Participant if and when the Participant’s earnings exceed the Earnings Threshold. </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post-termination noncompetition restrictions in paragraph 6(a)(1) and the post-termination customer nonsolicitaton restrictions in paragraph 6(a)(3) shall not apply if the Participant is terminated as the result of a layoff unless, during the period of enforcement, the Employer pays the Participant compensation equivalent to the Participant’s final base pay at the time of termination of employment minus the amount of any compensation the Participant earns through employment after the end of the Participant’s employment with the Employer, which the Participant agrees to promptly disclose. For the purposes of this paragraph, “layoff” means termination of the Participant’s employment by the Employer for reasons of the Employer’s insolvency or decline in business, the elimination of the Participant’s position or other purely economic factors, and excludes termination of the Participant’s employment due to the Participant’s performance, misconduct or any other reason, whether with or without cause.</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75970"/>
                <wp:effectExtent l="0" t="0" r="0" b="0"/>
                <wp:wrapNone/>
                <wp:docPr id="262" name="Frame165"/>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56</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56</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Data Privacy Consent</w:t>
      </w:r>
      <w:r>
        <w:rPr>
          <w:rFonts w:ascii="Times New Roman;sans-serif" w:hAnsi="Times New Roman;sans-serif"/>
          <w:b w:val="false"/>
          <w:color w:val="000000"/>
          <w:sz w:val="22"/>
        </w:rPr>
        <w:t>. The Participant understands that the Data will be collected by the Employer and will be transferred to the Company at 905 West Fulton Market, Suite 200, Chicago, Illinois 60607, U.S.A. and/or any financial institutions or brokers involved in the management and administration of the Plan. The Participant further understands that any of these entities may store the Data for purposes of administering the Participant’s participation in the Plan.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LTI Grant, the Participant acknowledges and agrees that any shares of Common Stock the Participant may acquire upon the settlement of the LTI Grant are acquired as and intended to be an investment rather than for the resale of the shares of Common Stock and conversion of shares into foreign currency.</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LTI Grant or remit funds into Venezuela 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Participant should consult with his or her personal legal advisor before accepting the LTI Grant to ensure compliance with current regulations.</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granted under the Plan and the shares of Common Stock issued under the Plan are offered as a personal, private, exclusive transaction and are not subject to Venezuelan government securities regulations.</w:t>
      </w:r>
      <w:r>
        <w:rPr>
          <w:color w:val="000000"/>
        </w:rPr>
        <w:t xml:space="preserve"> </w:t>
      </w:r>
      <w:r>
        <w:rPr>
          <w:rFonts w:ascii="Times New Roman;sans-serif" w:hAnsi="Times New Roman;sans-serif"/>
          <w:b w:val="false"/>
          <w:color w:val="000000"/>
          <w:sz w:val="22"/>
        </w:rPr>
        <w:t>The LTI Grant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 xml:space="preserve">Notwithstanding any discretion in the Plan or anything to the contrary in the Agreement (including paragraph 4 of the Agreement), the LTI Grant does not provide any right for the Participant to receive shares of Common Stock. The LTI Grant made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75970"/>
                <wp:effectExtent l="0" t="0" r="0" b="0"/>
                <wp:wrapNone/>
                <wp:docPr id="263" name="Frame166"/>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57</w:t>
                            </w:r>
                            <w:r>
                              <w:br w:type="page"/>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57</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Participant in Vietnam shall be paid in cash in an amount equal to the cash equivalent value of the LTI Award Payout.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75970"/>
                <wp:effectExtent l="0" t="0" r="0" b="0"/>
                <wp:wrapNone/>
                <wp:docPr id="264" name="Frame167"/>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58</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color w:val="000000"/>
                        </w:rPr>
                      </w:pPr>
                      <w:r>
                        <w:rPr>
                          <w:color w:val="000000"/>
                        </w:rPr>
                        <w:t>    </w:t>
                      </w:r>
                      <w:r>
                        <w:rPr>
                          <w:rFonts w:ascii="Times New Roman;sans-serif" w:hAnsi="Times New Roman;sans-serif"/>
                          <w:b w:val="false"/>
                          <w:color w:val="000000"/>
                          <w:sz w:val="24"/>
                        </w:rPr>
                        <w:t>58</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10.5</w:t>
      </w:r>
    </w:p>
    <w:p>
      <w:pPr>
        <w:pStyle w:val="TextBody"/>
        <w:bidi w:val="0"/>
        <w:spacing w:lineRule="atLeast" w:line="264"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240"/>
        <w:jc w:val="center"/>
        <w:rPr/>
      </w:pPr>
      <w:r>
        <w:rPr/>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Employee</w:t>
      </w:r>
      <w:r>
        <w:rPr>
          <w:color w:val="000000"/>
        </w:rPr>
        <w:t>”</w:t>
      </w:r>
      <w:r>
        <w:rPr>
          <w:rFonts w:ascii="Times New Roman;sans-serif" w:hAnsi="Times New Roman;sans-serif"/>
          <w:b w:val="false"/>
          <w:color w:val="000000"/>
          <w:sz w:val="22"/>
        </w:rPr>
        <w:t>) named in the award statement provided to the Employee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as of the date set forth in the Award Statement (the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pursuant to the provisions of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Deferred Stock Units (the “</w:t>
      </w:r>
      <w:r>
        <w:rPr>
          <w:rFonts w:ascii="Times New Roman;sans-serif" w:hAnsi="Times New Roman;sans-serif"/>
          <w:b w:val="false"/>
          <w:color w:val="000000"/>
          <w:sz w:val="22"/>
          <w:u w:val="single"/>
        </w:rPr>
        <w:t>Grant</w:t>
      </w:r>
      <w:r>
        <w:rPr>
          <w:color w:val="000000"/>
        </w:rPr>
        <w:t>”</w:t>
      </w:r>
      <w:r>
        <w:rPr>
          <w:rFonts w:ascii="Times New Roman;sans-serif" w:hAnsi="Times New Roman;sans-serif"/>
          <w:b w:val="false"/>
          <w:color w:val="000000"/>
          <w:sz w:val="22"/>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Grant is subject to the following terms and conditions (including the country-specific terms set forth in Appendix A to this Agreement):</w:t>
      </w:r>
    </w:p>
    <w:p>
      <w:pPr>
        <w:pStyle w:val="TextBody"/>
        <w:bidi w:val="0"/>
        <w:spacing w:lineRule="auto" w:line="333"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Restrictions</w:t>
      </w:r>
      <w:r>
        <w:rPr>
          <w:rFonts w:ascii="Times New Roman;sans-serif" w:hAnsi="Times New Roman;sans-serif"/>
          <w:b w:val="false"/>
          <w:color w:val="000000"/>
          <w:sz w:val="22"/>
        </w:rPr>
        <w:t>. Except as expressly provided in this Agreement, the restrictions on the Deferred Stock Units shall lapse and the Deferred Stock Units shall vest on the Vesting Date shown in the Award Statement (the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xml:space="preserve">), provided that the Employee remains an active employee of the Mondelēz Group during the entire period commencing on the Grant Date and ending on the Vesting Date. </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Termination of Employment Before Vesting Date</w:t>
      </w:r>
      <w:r>
        <w:rPr>
          <w:rFonts w:ascii="Times New Roman;sans-serif" w:hAnsi="Times New Roman;sans-serif"/>
          <w:b w:val="false"/>
          <w:color w:val="000000"/>
          <w:sz w:val="22"/>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pStyle w:val="TextBody"/>
        <w:bidi w:val="0"/>
        <w:spacing w:lineRule="auto" w:line="333"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Employee’s death or Disability (as defined below in paragraph 21), the restrictions on the Deferred Stock Units shall lapse and the Deferred Stock Units shall become fully vested on the date of the Employee’s death or termination due to Disability; or </w:t>
      </w:r>
    </w:p>
    <w:p>
      <w:pPr>
        <w:pStyle w:val="TextBody"/>
        <w:bidi w:val="0"/>
        <w:spacing w:lineRule="atLeast" w:line="264"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the Employee’s Retirement (as defined below in paragraph 21), or as otherwise determined by the Committee, and provided that (i) the Deferred Stock Units are not otherwise accounted for, or included in, the Employee’s severance or retirement arrangement with the Mondelēz Group; (ii) the Employee timely executes a general release and waiver of claims in a form and manner determined by </w:t>
      </w: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65"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in its sole discretion; and (iii) the Retirement date occurs on or after the 181st day following the Grant Date then:</w:t>
      </w:r>
    </w:p>
    <w:p>
      <w:pPr>
        <w:pStyle w:val="TextBody"/>
        <w:bidi w:val="0"/>
        <w:spacing w:lineRule="atLeast" w:line="264"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in the event that the Employee’s Retirement occurs because the Employee is age 65 or older with at least five (5) or more years of active continuous employment with the Mondelēz Group, the restrictions on the Deferred Stock Units shall lapse and the Deferred Stock Units shall become fully vested on the date of the Employee’s Retirement; </w:t>
      </w:r>
    </w:p>
    <w:p>
      <w:pPr>
        <w:pStyle w:val="TextBody"/>
        <w:bidi w:val="0"/>
        <w:spacing w:lineRule="atLeast" w:line="264"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in the event that the Employee’s Retirement occurs because the Employee is age 55 or older with at least ten (10) or more years of active continuous employment with the Mondelēz Group,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 </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clarity, in the event any of (i), (ii) or (iii) of this subsection 2(b) are not met then, unless determined otherwise by the Committee, the Employee shall forfeit all rights to the Deferred Stock Units and the shares of Common Stock underlying the Deferred Stock Units.</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Voting and Dividend Rights</w:t>
      </w:r>
      <w:r>
        <w:rPr>
          <w:rFonts w:ascii="Times New Roman;sans-serif" w:hAnsi="Times New Roman;sans-serif"/>
          <w:b w:val="false"/>
          <w:color w:val="000000"/>
          <w:sz w:val="22"/>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be eligible to receive cash payments (less applicable Tax-Related Items (as defined below)) in lieu of dividends otherwise payable with respect to shares of Common Stock equal in number to the unpaid Deferred Stock Units that have not been forfeited, which shall be subject to the same vesting restrictions as the underlying Deferred Stock Units and be paid following the vesting of such Deferred Stock Units within the timeframe set forth in paragraph 7 below.</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7 below.</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94335"/>
                <wp:effectExtent l="0" t="0" r="0" b="0"/>
                <wp:wrapNone/>
                <wp:docPr id="266" name="Frame16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Employee acknowledges that regardless of any action taken by the Company or, if different, the Employee’s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 </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w:t>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94335"/>
                <wp:effectExtent l="0" t="0" r="0" b="0"/>
                <wp:wrapNone/>
                <wp:docPr id="267" name="Frame17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pStyle w:val="TextBody"/>
        <w:bidi w:val="0"/>
        <w:spacing w:lineRule="auto" w:line="333" w:before="0" w:after="240"/>
        <w:jc w:val="left"/>
        <w:rPr>
          <w:color w:val="000000"/>
        </w:rPr>
      </w:pPr>
      <w:r>
        <w:rPr>
          <w:color w:val="000000"/>
        </w:rPr>
        <w:t>        </w:t>
      </w:r>
      <w:r>
        <w:rPr>
          <w:rFonts w:ascii="Times New Roman;sans-serif" w:hAnsi="Times New Roman;sans-serif"/>
          <w:b w:val="false"/>
          <w:color w:val="000000"/>
          <w:sz w:val="22"/>
        </w:rPr>
        <w:t>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or, if not refunded, the Employee may be able to seek a refund from the applicable tax authorities. In the event of under-withholding, the Employee may be required to pay any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Death of Employee</w:t>
      </w:r>
      <w:r>
        <w:rPr>
          <w:rFonts w:ascii="Times New Roman;sans-serif" w:hAnsi="Times New Roman;sans-serif"/>
          <w:b w:val="false"/>
          <w:color w:val="000000"/>
          <w:sz w:val="22"/>
        </w:rPr>
        <w:t>. If any of the Deferred Stock Units shall vest upon the death of the Employee, any Common Stock received in payment of the vested Deferred Stock Units shall be registered in the name of and delivered to the estate of the Employee.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Payment of Deferred Stock Units</w:t>
      </w:r>
      <w:r>
        <w:rPr>
          <w:rFonts w:ascii="Times New Roman;sans-serif" w:hAnsi="Times New Roman;sans-serif"/>
          <w:b w:val="false"/>
          <w:color w:val="000000"/>
          <w:sz w:val="22"/>
        </w:rPr>
        <w:t>. Each Deferred Stock Unit granted pursuant to this Grant represents an unfunded and unsecured promise of the Company to issue to the Employee,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and paragraph 9), such issuance shall be made to the Employee (or, in the event of his or her death to the Employee’s estate or beneficiary as provided above) in the form of Common Stock as soon as practicable, but not later than 30 days, following the vesting of the Deferred Stock Units pursuant to paragraph 1 or 2 (and with respect to the vesting of Deferred Stock Units pursuant to paragraph 1, in no event later than the last day of the calendar year in which such vesting occurred).</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Special Payment Provisions</w:t>
      </w:r>
      <w:r>
        <w:rPr>
          <w:rFonts w:ascii="Times New Roman;sans-serif" w:hAnsi="Times New Roman;sans-serif"/>
          <w:b w:val="false"/>
          <w:color w:val="000000"/>
          <w:sz w:val="22"/>
        </w:rPr>
        <w:t>. Notwithstanding anything to the contrary in the Agreement, if the Deferred Stock Units are considered nonqualified deferred compensation subject to Section 409A of the Code and are settled on or on a date that is by reference to the Employee’s “separation from service” and the Employee is a “specified employee” (each within the meaning of Section 409A of the Code and each determined by the Company it its sole discretion) on the date the Employee experiences a separation from service, then the Deferred Stock Units (or applicable portion thereof) shall be settled on the first business day of the seventh month following the Employee’s separation from service, or, if earlier, on the date of the Employee’s death, to the extent such delayed payment is required in order to avoid a prohibited distribution under Section 409A of the Code.</w:t>
      </w: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94335"/>
                <wp:effectExtent l="0" t="0" r="0" b="0"/>
                <wp:wrapNone/>
                <wp:docPr id="268" name="Frame17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Company’s chief human resources officer,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Employee,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tLeast" w:line="25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provisions contained herein in paragraph 9 are not in lieu of, but are in addition to, the Employee’s confidentiality obligations to Mondelēz Group</w:t>
      </w:r>
    </w:p>
    <w:p>
      <w:pPr>
        <w:pStyle w:val="TextBody"/>
        <w:bidi w:val="0"/>
        <w:spacing w:before="0" w:after="0"/>
        <w:jc w:val="left"/>
        <w:rPr/>
      </w:pPr>
      <w:r>
        <w:rPr/>
      </w:r>
    </w:p>
    <w:p>
      <w:pPr>
        <w:pStyle w:val="TextBody"/>
        <w:bidi w:val="0"/>
        <w:spacing w:lineRule="atLeast" w:line="253"/>
        <w:ind w:left="0" w:right="0" w:firstLine="720"/>
        <w:jc w:val="left"/>
        <w:rPr/>
      </w:pPr>
      <w:r>
        <w:rPr>
          <w:rFonts w:ascii="Arial;sans-serif" w:hAnsi="Arial;sans-serif"/>
          <w:b w:val="false"/>
          <w:color w:val="000000"/>
          <w:sz w:val="24"/>
        </w:rPr>
        <w:t>(b)</w:t>
      </w:r>
      <w:r>
        <w:rPr>
          <w:rFonts w:ascii="Times New Roman;sans-serif" w:hAnsi="Times New Roman;sans-serif"/>
          <w:b w:val="false"/>
          <w:color w:val="000000"/>
          <w:sz w:val="22"/>
        </w:rPr>
        <w:t>The Employee is under a continuing obligation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 xml:space="preserve">includes, but is not limited to, certain sales, marketing, strategy, financial, product, personnel, manufacturing, technical and other proprietary information and material which are the property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94335"/>
                <wp:effectExtent l="0" t="0" r="0" b="0"/>
                <wp:wrapNone/>
                <wp:docPr id="269" name="Frame17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5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The Employee understands and agrees that Confidential Information developed by the Employee in the course of the Employee’s employment by the Employer shall be subject to the terms and conditions of this Agreement as if the Employer furnished the same Confidential Information to the Employee in the first instance.</w:t>
      </w:r>
    </w:p>
    <w:p>
      <w:pPr>
        <w:pStyle w:val="TextBody"/>
        <w:bidi w:val="0"/>
        <w:spacing w:before="0" w:after="0"/>
        <w:ind w:left="0" w:right="0" w:hanging="360"/>
        <w:jc w:val="left"/>
        <w:rPr/>
      </w:pPr>
      <w:r>
        <w:rPr/>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(c)By acceptance of any Grant (including the Deferred Stock Units) under the Plan, the Employee acknowledges and agrees that if the Employee breaches any of the covenants set forth in paragraph 9: </w:t>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Deferred Stock Units) shall be immediately forfeited;</w:t>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bidi w:val="0"/>
        <w:spacing w:lineRule="atLeast" w:line="264"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94335"/>
                <wp:effectExtent l="0" t="0" r="0" b="0"/>
                <wp:wrapNone/>
                <wp:docPr id="270" name="Frame17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6</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(f)The Employee is hereby advised in writing to consult with an attorney before entering into the covenants outlined in this paragraph 9. The Employee acknowledges that prior to acceptance of this Agreement, the Employee has been advised by the Company of the Employee’s right to seek independent advice from an attorney of the Employee's own selection regarding this Agreement, including the restraints imposed upon him or her pursuant to this paragraph 9. The Employee acknowledges that they have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Company’s directors, officers, employees or agents which are not expressly set forth herein, and that the Employee is relying only upon their own judgment and any advice provided by the Employee’s attorney. The Employee acknowledges he or she has been provided at minimum 14 calendar days to review the provisions contained herein but may voluntarily waive this period and sign prior to the 14 calendar day period lapsing.</w:t>
      </w:r>
    </w:p>
    <w:p>
      <w:pPr>
        <w:pStyle w:val="TextBody"/>
        <w:bidi w:val="0"/>
        <w:spacing w:lineRule="atLeast" w:line="264"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(g)For purposes of this paragraph 9, the Company and any member of the Mondelēz Group shall be deemed to be third-party beneficiaries with the right to seek enforcement of any of the provisions of this paragraph 9. Further, for purposes of this paragraph 9, references to acting directly or indirectly include acting jointly with or through another person.</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Clawback Policy/ Forfeiture</w:t>
      </w:r>
      <w:r>
        <w:rPr>
          <w:rFonts w:ascii="Times New Roman;sans-serif" w:hAnsi="Times New Roman;sans-serif"/>
          <w:b w:val="false"/>
          <w:color w:val="000000"/>
          <w:sz w:val="22"/>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the Company’s Dodd-Frank Clawback Policy, the Company’s Compensation Recoupment Policy, and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xml:space="preserve">), the Exchange Act, rules promulgated by the Commission, any other applicable law, or any securities exchange on which the Common Stock is listed or traded, as may be in effect from time to time. In connection with the enforcement of such clawback policy, the Employee hereby expressly acknowledges and agrees that the Company shall have the right to reduce, cancel, or withhold against outstanding, unvested, vested, or future cash or equity-based compensation </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94335"/>
                <wp:effectExtent l="0" t="0" r="0" b="0"/>
                <wp:wrapNone/>
                <wp:docPr id="271" name="Frame17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7</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owed or due to the Employee, to the maximum extent permitted under applicable law. No such recovery will be an event giving rise to a right to resign for Good Reason or be deemed a “constructive termination” (or any similar term) as such terms are used in any agreement between the Employee and the Company or under any severance plans applicable to the Employee.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Original Issue or Transfer Taxes</w:t>
      </w:r>
      <w:r>
        <w:rPr>
          <w:rFonts w:ascii="Times New Roman;sans-serif" w:hAnsi="Times New Roman;sans-serif"/>
          <w:b w:val="false"/>
          <w:color w:val="000000"/>
          <w:sz w:val="22"/>
        </w:rPr>
        <w:t>. The Company shall pay all original issue or transfer taxes and all fees and expenses incident to the delivery of the shares of Common Stock underlying the vested Deferred Stock Units, except as otherwise provided in paragraph 5.</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Grant Confers No Rights to Continued Employment</w:t>
      </w:r>
      <w:r>
        <w:rPr>
          <w:rFonts w:ascii="Times New Roman;sans-serif" w:hAnsi="Times New Roman;sans-serif"/>
          <w:b w:val="false"/>
          <w:color w:val="000000"/>
          <w:sz w:val="22"/>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In accepting the Deferred Stock Units, the Employee acknowledges, understands, and agrees that:</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Grant is exceptional, voluntary and occasional and does not create any contractual or other right to receive future Grants, or benefits in lieu of Deferred Stock Units, even if Deferred Stock Units have been granted in the past;</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all decisions with respect to future Grants, if any, will be at the sole discretion of the Committee;</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the Employee’s participation in the Plan is voluntary;</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Deferred Stock Units and the shares of Common Stock subject to the Deferred Stock Units, and the income and value of same, are not intended to replace any pension rights or compensation;</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the future value of the underlying shares of Common Stock is unknown, indeterminable and cannot be predicted;</w:t>
      </w: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94335"/>
                <wp:effectExtent l="0" t="0" r="0" b="0"/>
                <wp:wrapNone/>
                <wp:docPr id="272" name="Frame17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8</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ind w:left="0" w:right="0" w:firstLine="144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 </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the Deferred Stock Units and the shares of Common Stock subject to the Deferred Stock Units, and the income and value of same, are not part of normal or expected compensation or salary for any purpose;</w:t>
      </w:r>
    </w:p>
    <w:p>
      <w:pPr>
        <w:pStyle w:val="TextBody"/>
        <w:bidi w:val="0"/>
        <w:spacing w:lineRule="atLeast" w:line="264" w:before="0" w:after="240"/>
        <w:ind w:left="0" w:right="0" w:firstLine="1440"/>
        <w:jc w:val="left"/>
        <w:rPr/>
      </w:pPr>
      <w:r>
        <w:rPr>
          <w:rFonts w:ascii="Times New Roman;sans-serif" w:hAnsi="Times New Roman;sans-serif"/>
          <w:b w:val="false"/>
          <w:color w:val="000000"/>
          <w:sz w:val="22"/>
        </w:rPr>
        <w:t>(l)</w:t>
      </w:r>
      <w:r>
        <w:rPr>
          <w:rFonts w:ascii="Times New Roman;sans-serif" w:hAnsi="Times New Roman;sans-serif"/>
          <w:b w:val="false"/>
          <w:color w:val="000000"/>
          <w:sz w:val="22"/>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pStyle w:val="TextBody"/>
        <w:bidi w:val="0"/>
        <w:spacing w:lineRule="auto" w:line="333" w:before="0" w:after="240"/>
        <w:ind w:left="0" w:right="0" w:firstLine="1440"/>
        <w:jc w:val="left"/>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no claim or entitlement to compensation or damages shall arise from forfeiture of the Deferred Stock Units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 xml:space="preserve">acquired under the Plan </w:t>
      </w:r>
      <w:r>
        <w:rPr>
          <w:rFonts w:ascii="Times New Roman;sans-serif" w:hAnsi="Times New Roman;sans-serif"/>
          <w:b w:val="false"/>
          <w:color w:val="000000"/>
          <w:sz w:val="22"/>
        </w:rPr>
        <w:t xml:space="preserve">resulting from (a)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14.    </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Employee hereby explicitly and unambiguously consents to the collection, use and transfer, in electronic or other form, of his or her personal data as described in this Agreement and any other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Employee’s participation in the Plan.</w:t>
      </w:r>
    </w:p>
    <w:p>
      <w:pPr>
        <w:pStyle w:val="TextBody"/>
        <w:bidi w:val="0"/>
        <w:spacing w:lineRule="atLeast" w:line="264"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 xml:space="preserve">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w:t>
      </w: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94335"/>
                <wp:effectExtent l="0" t="0" r="0" b="0"/>
                <wp:wrapNone/>
                <wp:docPr id="273" name="Frame17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9</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jc w:val="left"/>
        <w:rPr>
          <w:rFonts w:ascii="Times New Roman;sans-serif" w:hAnsi="Times New Roman;sans-serif"/>
          <w:b/>
          <w:i/>
          <w:color w:val="000000"/>
          <w:sz w:val="22"/>
        </w:rPr>
      </w:pPr>
      <w:r>
        <w:rPr>
          <w:rFonts w:ascii="Times New Roman;sans-serif" w:hAnsi="Times New Roman;sans-serif"/>
          <w:b/>
          <w:i/>
          <w:color w:val="000000"/>
          <w:sz w:val="22"/>
        </w:rPr>
        <w:t>unvested or outstanding in the Employee’s favor, for the exclusive purpose of implementing, administering and managing the Plan.</w:t>
      </w:r>
    </w:p>
    <w:p>
      <w:pPr>
        <w:pStyle w:val="TextBody"/>
        <w:bidi w:val="0"/>
        <w:spacing w:lineRule="auto" w:line="333" w:before="0" w:after="240"/>
        <w:ind w:left="0" w:right="0" w:firstLine="720"/>
        <w:jc w:val="left"/>
        <w:rPr/>
      </w:pPr>
      <w:r>
        <w:rPr>
          <w:rFonts w:ascii="Times New Roman;sans-serif" w:hAnsi="Times New Roman;sans-serif"/>
          <w:b/>
          <w:i/>
          <w:color w:val="000000"/>
          <w:sz w:val="22"/>
        </w:rPr>
        <w:t>The Employee understands that Data will be transferred to Morgan Stanley Smith Barney, LLC and its affiliates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Times New Roman;sans-serif" w:hAnsi="Times New Roman;sans-serif"/>
          <w:b w:val="false"/>
          <w:color w:val="000000"/>
          <w:sz w:val="22"/>
        </w:rPr>
        <w:t>.</w:t>
      </w:r>
    </w:p>
    <w:p>
      <w:pPr>
        <w:pStyle w:val="TextBody"/>
        <w:bidi w:val="0"/>
        <w:spacing w:lineRule="auto" w:line="333"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 xml:space="preserve">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 </w:t>
      </w:r>
    </w:p>
    <w:p>
      <w:pPr>
        <w:pStyle w:val="TextBody"/>
        <w:bidi w:val="0"/>
        <w:spacing w:before="0" w:after="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94335"/>
                <wp:effectExtent l="0" t="0" r="0" b="0"/>
                <wp:wrapNone/>
                <wp:docPr id="274" name="Frame17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10</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 unless otherwise required by applicable law.</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w:t>
      </w:r>
    </w:p>
    <w:p>
      <w:pPr>
        <w:pStyle w:val="TextBody"/>
        <w:bidi w:val="0"/>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94335"/>
                <wp:effectExtent l="0" t="0" r="0" b="0"/>
                <wp:wrapNone/>
                <wp:docPr id="275" name="Frame17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11</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is intended to be exempt from, or otherwise comply with, Section 409A of the Code and shall be interpreted, operated and administered in a manner consistent with such intent. The Company reserves the right, to amend or modify this Agreement at any time, without the consent of the Employee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Grant made hereunder, and Mondelēz Group shall not under any circumstances have any liability to any employee or his estate or any other party for any taxes, penalties or interest due on amounts paid or payable under this Agreement, including taxes, penalties or interest imposed under Section 409A of the Code. For purposes of Section 409A of the Code, each payment and each series of payments under this Agreement, if any, shall be treated as a separate payment. </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For the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 xml:space="preserve">means, unless otherwise determined by the Committee in its sole discretion, the termination of employment on or after either (i) the date the Employee is age 55 or older with at least ten (10) or more years of active continuous employment with the Mondelēz Group or (ii) the date the Employee is age 65 or older with at least five (5) or more years of active continuous employment with the Mondelēz Group. </w:t>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pStyle w:val="TextBody"/>
        <w:bidi w:val="0"/>
        <w:spacing w:before="0" w:after="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94335"/>
                <wp:effectExtent l="0" t="0" r="0" b="0"/>
                <wp:wrapNone/>
                <wp:docPr id="276" name="Frame17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12</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    </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In the event that any provision in this Agreement will be held invalid or unenforceable, such provision will be severable from, and such invalidity or unenforceability will not be construed to have any effect on, the remaining provisions of this Agreement.</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24.    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25.    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26.    </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Employee may be subject to insider trading and/or market abuse laws, which may affect the Employee’s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w:t>
      </w:r>
    </w:p>
    <w:p>
      <w:pPr>
        <w:pStyle w:val="TextBody"/>
        <w:bidi w:val="0"/>
        <w:spacing w:before="0" w:after="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94335"/>
                <wp:effectExtent l="0" t="0" r="0" b="0"/>
                <wp:wrapNone/>
                <wp:docPr id="277" name="Frame18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13</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responsibility to comply with any applicable restrictions, and that the Employee should speak to his or her personal advisor on this matter.</w:t>
      </w:r>
    </w:p>
    <w:p>
      <w:pPr>
        <w:pStyle w:val="TextBody"/>
        <w:bidi w:val="0"/>
        <w:spacing w:lineRule="atLeast" w:line="264" w:before="0" w:after="240"/>
        <w:ind w:left="0" w:right="0" w:firstLine="720"/>
        <w:jc w:val="left"/>
        <w:rPr/>
      </w:pPr>
      <w:r>
        <w:rPr>
          <w:rFonts w:ascii="Times New Roman;sans-serif" w:hAnsi="Times New Roman;sans-serif"/>
          <w:b w:val="false"/>
          <w:color w:val="000000"/>
          <w:sz w:val="22"/>
        </w:rPr>
        <w:t>27.    </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In addition, the Employee agrees to take any and all actions required by the Company, any other entity in the Mondelēz Group or the local laws, rules and regulations in the Employee’s country of residence (and country of employment, if different) that may be required to comply with such laws, rules and regulations. The Employee acknowledges that it is the Employee’s responsibility to be compliant with such regulations, and the Employee should consult his or her personal legal advisor for any details.</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28.    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29.    </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pStyle w:val="TextBody"/>
        <w:bidi w:val="0"/>
        <w:spacing w:lineRule="auto" w:line="333" w:before="0" w:after="240"/>
        <w:ind w:left="0" w:right="0" w:firstLine="720"/>
        <w:jc w:val="left"/>
        <w:rPr/>
      </w:pPr>
      <w:r>
        <w:rPr>
          <w:rFonts w:ascii="Times New Roman;sans-serif" w:hAnsi="Times New Roman;sans-serif"/>
          <w:b w:val="false"/>
          <w:color w:val="000000"/>
          <w:sz w:val="22"/>
        </w:rPr>
        <w:t>30.    </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94335"/>
                <wp:effectExtent l="0" t="0" r="0" b="0"/>
                <wp:wrapNone/>
                <wp:docPr id="278" name="Frame18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14</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pStyle w:val="TextBody"/>
        <w:bidi w:val="0"/>
        <w:spacing w:before="0" w:after="0"/>
        <w:ind w:left="0" w:right="0" w:firstLine="720"/>
        <w:jc w:val="left"/>
        <w:rPr/>
      </w:pPr>
      <w:r>
        <w:rPr/>
      </w:r>
    </w:p>
    <w:p>
      <w:pPr>
        <w:pStyle w:val="TextBody"/>
        <w:bidi w:val="0"/>
        <w:spacing w:lineRule="auto" w:line="333"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before="0" w:after="240"/>
        <w:ind w:left="0" w:right="0" w:firstLine="720"/>
        <w:jc w:val="left"/>
        <w:rPr/>
      </w:pPr>
      <w:r>
        <w:rPr/>
      </w:r>
    </w:p>
    <w:tbl>
      <w:tblPr>
        <w:tblW w:w="3855" w:type="dxa"/>
        <w:jc w:val="left"/>
        <w:tblInd w:w="0" w:type="dxa"/>
        <w:tblLayout w:type="fixed"/>
        <w:tblCellMar>
          <w:top w:w="28" w:type="dxa"/>
          <w:left w:w="28" w:type="dxa"/>
          <w:bottom w:w="28" w:type="dxa"/>
          <w:right w:w="28" w:type="dxa"/>
        </w:tblCellMar>
      </w:tblPr>
      <w:tblGrid>
        <w:gridCol w:w="1234"/>
        <w:gridCol w:w="1085"/>
        <w:gridCol w:w="1536"/>
      </w:tblGrid>
      <w:tr>
        <w:trPr/>
        <w:tc>
          <w:tcPr>
            <w:tcW w:w="1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/s/ Laura Stein</w:t>
            </w:r>
          </w:p>
        </w:tc>
      </w:tr>
      <w:tr>
        <w:trPr/>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Corporate &amp;</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Legal Affairs, General Counsel and </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Secretary</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240" w:after="283"/>
        <w:jc w:val="both"/>
        <w:rPr/>
      </w:pPr>
      <w:r>
        <w:rPr/>
      </w:r>
    </w:p>
    <w:p>
      <w:pPr>
        <w:pStyle w:val="TextBody"/>
        <w:bidi w:val="0"/>
        <w:spacing w:before="0" w:after="0"/>
        <w:jc w:val="both"/>
        <w:rPr/>
      </w:pPr>
      <w:r>
        <w:rPr/>
      </w:r>
    </w:p>
    <w:p>
      <w:pPr>
        <w:pStyle w:val="TextBody"/>
        <w:bidi w:val="0"/>
        <w:spacing w:lineRule="auto" w:line="333"/>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extBody"/>
        <w:bidi w:val="0"/>
        <w:spacing w:before="0" w:after="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94335"/>
                <wp:effectExtent l="0" t="0" r="0" b="0"/>
                <wp:wrapNone/>
                <wp:docPr id="279" name="Frame18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15</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tLeast" w:line="264"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bidi w:val="0"/>
        <w:spacing w:lineRule="auto" w:line="333" w:before="0" w:after="240"/>
        <w:jc w:val="left"/>
        <w:rPr/>
      </w:pPr>
      <w:r>
        <w:rPr>
          <w:rFonts w:ascii="Times New Roman;sans-serif" w:hAnsi="Times New Roman;sans-serif"/>
          <w:b w:val="false"/>
          <w:color w:val="000000"/>
          <w:sz w:val="22"/>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2025.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pStyle w:val="TextBody"/>
        <w:bidi w:val="0"/>
        <w:spacing w:lineRule="auto" w:line="333"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 xml:space="preserve">EUROPEAN UNION / EUROPEAN ECONOMIC AREA, SWITZERLAND AND THE UNITED KINGDOM </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bidi w:val="0"/>
        <w:spacing w:lineRule="atLeast" w:line="264"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Employee is based in the European Union (“EU”), the European Economic Area, Switzerland or the United Kingdom, the Employee should note that Mondelēz International, Inc., with registered address at </w:t>
      </w:r>
    </w:p>
    <w:p>
      <w:pPr>
        <w:pStyle w:val="TextBody"/>
        <w:bidi w:val="0"/>
        <w:spacing w:before="0" w:after="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94335"/>
                <wp:effectExtent l="0" t="0" r="0" b="0"/>
                <wp:wrapNone/>
                <wp:docPr id="280" name="Frame18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16</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905 West Fulton Market, Suite 200, Chicago, Illinois 60607, U.S.A. is the controller responsible for the processing of the Employee’s Personal Data (as defined below) in connection with the Agreement and the Plan. </w:t>
      </w:r>
    </w:p>
    <w:p>
      <w:pPr>
        <w:pStyle w:val="TextBody"/>
        <w:bidi w:val="0"/>
        <w:spacing w:lineRule="atLeast" w:line="264"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 </w:t>
      </w:r>
    </w:p>
    <w:p>
      <w:pPr>
        <w:pStyle w:val="TextBody"/>
        <w:bidi w:val="0"/>
        <w:spacing w:lineRule="auto" w:line="333"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w:t>
      </w:r>
      <w:r>
        <w:rPr>
          <w:color w:val="000000"/>
        </w:rPr>
        <w:t>’</w:t>
      </w:r>
      <w:r>
        <w:rPr>
          <w:rFonts w:ascii="Times New Roman;sans-serif" w:hAnsi="Times New Roman;sans-serif"/>
          <w:b w:val="false"/>
          <w:color w:val="000000"/>
          <w:sz w:val="22"/>
        </w:rPr>
        <w:t>s refusal to provide Personal Data would make it impossible for the Company to perform its contractual obligations and may affect the Employee</w:t>
      </w:r>
      <w:r>
        <w:rPr>
          <w:color w:val="000000"/>
        </w:rPr>
        <w:t>’</w:t>
      </w:r>
      <w:r>
        <w:rPr>
          <w:rFonts w:ascii="Times New Roman;sans-serif" w:hAnsi="Times New Roman;sans-serif"/>
          <w:b w:val="false"/>
          <w:color w:val="000000"/>
          <w:sz w:val="22"/>
        </w:rPr>
        <w:t>s ability to participate in the Plan.</w:t>
      </w:r>
    </w:p>
    <w:p>
      <w:pPr>
        <w:pStyle w:val="TextBody"/>
        <w:bidi w:val="0"/>
        <w:spacing w:lineRule="auto" w:line="333"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w:t>
      </w:r>
      <w:r>
        <w:rPr>
          <w:color w:val="000000"/>
        </w:rPr>
        <w:t xml:space="preserve"> </w:t>
      </w:r>
      <w:r>
        <w:rPr>
          <w:rFonts w:ascii="Times New Roman;sans-serif" w:hAnsi="Times New Roman;sans-serif"/>
          <w:b w:val="false"/>
          <w:color w:val="000000"/>
          <w:sz w:val="22"/>
        </w:rPr>
        <w:t>Further, the Employee understands that the Company transfers his or her Personal Data, or parts thereof to third parties based on agreements implementing the EU Standard Contractual Clauses. These third parties include Morgan Stanley Smith Barney, LLC (“Morgan Stanley”), an independent service provider based in the United States which assists the Company with the implementation, administration and management of the Plan. Morgan Stanley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Morgan Stanley, PricewaterhouseCoopers LLP or KPMG LLP with such agreement being a condition to the Employee’s ability to participate in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94335"/>
                <wp:effectExtent l="0" t="0" r="0" b="0"/>
                <wp:wrapNone/>
                <wp:docPr id="281" name="Frame18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17</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val="false"/>
          <w:color w:val="000000"/>
          <w:sz w:val="22"/>
        </w:rPr>
        <w:t xml:space="preserve">The Employee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w:t>
      </w:r>
    </w:p>
    <w:p>
      <w:pPr>
        <w:pStyle w:val="TextBody"/>
        <w:bidi w:val="0"/>
        <w:spacing w:lineRule="auto" w:line="333"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lineRule="auto" w:line="333"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 xml:space="preserve">.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ALGERIA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9 of the Agreement will not apply to Argentinian Employees.</w:t>
      </w: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94335"/>
                <wp:effectExtent l="0" t="0" r="0" b="0"/>
                <wp:wrapNone/>
                <wp:docPr id="282" name="Frame18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18</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13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Employee acknowledges and agrees that such benefits shall not accrue more frequently than on each vesting date.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the Units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Neither this Agreement nor any other offering material related to the Units nor the underlying shares of Common Stock may be utilized in connection with any general offering to the public in Argentina.</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the exchange control rules that may apply in 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shd w:fill="FFFFFF" w:val="clear"/>
        </w:rPr>
        <w:t xml:space="preserve">Securities Law Disclosure. </w:t>
      </w:r>
      <w:r>
        <w:rPr>
          <w:rFonts w:ascii="Times New Roman;sans-serif" w:hAnsi="Times New Roman;sans-serif"/>
          <w:b w:val="false"/>
          <w:color w:val="000000"/>
          <w:sz w:val="22"/>
          <w:shd w:fill="FFFFFF" w:val="clear"/>
        </w:rPr>
        <w:t xml:space="preserve">This offer is being made under Division 1A, Part 7.12 of the Corporations Act 2001 (Cth). </w:t>
      </w:r>
    </w:p>
    <w:p>
      <w:pPr>
        <w:pStyle w:val="TextBody"/>
        <w:bidi w:val="0"/>
        <w:spacing w:lineRule="auto" w:line="333" w:before="0" w:after="240"/>
        <w:jc w:val="left"/>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 xml:space="preserve">Notwithstanding anything else in the Plan or the Agreement, the Employee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w:t>
      </w:r>
    </w:p>
    <w:p>
      <w:pPr>
        <w:pStyle w:val="TextBody"/>
        <w:bidi w:val="0"/>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94335"/>
                <wp:effectExtent l="0" t="0" r="0" b="0"/>
                <wp:wrapNone/>
                <wp:docPr id="283" name="Frame18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19</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19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obligation to seek or obtain the approval of its shareholders in general meeting for the purpose of overcoming any such limitation or restriction.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9"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exceedinga certain threshold (currently, AUD10,000) and for international fund transfers. If an Australian bank is assisting with the transaction, the bank will file the report on the Employee’s behalf, otherwise the Employee will be responsible for complying with any exchange control reporting requirements.</w:t>
      </w:r>
    </w:p>
    <w:p>
      <w:pPr>
        <w:pStyle w:val="TextBody"/>
        <w:bidi w:val="0"/>
        <w:spacing w:lineRule="auto" w:line="333"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Employee must report the securities held on a quarterly basis to the Austrian National Bank as of the last day of the quarter, on or before the 15th day of the month following the end of the calendar quarter. Where the cash amounts held outside of Austria meet or exceed a certain threshold, monthly reporting obligations apply as explained in the next paragraph.</w:t>
      </w:r>
    </w:p>
    <w:p>
      <w:pPr>
        <w:pStyle w:val="TextBody"/>
        <w:bidi w:val="0"/>
        <w:spacing w:lineRule="auto" w:line="333" w:before="0" w:after="240"/>
        <w:jc w:val="left"/>
        <w:rPr/>
      </w:pPr>
      <w:r>
        <w:rPr>
          <w:rFonts w:ascii="Times New Roman;sans-serif" w:hAnsi="Times New Roman;sans-serif"/>
          <w:b w:val="false"/>
          <w:color w:val="000000"/>
          <w:sz w:val="22"/>
        </w:rPr>
        <w:t>If the Employee sells shares of Common Stock, or receives any cash dividends, the Employee may have exchange control obligations if the Employee holds the cash proceeds outside Austria. If the transaction volume of all the Employee’s accounts abroad meets or exceeds a certain threshold, the Employee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The Agreement does not constitute advertising or an offering of securities in Bahrain, nor does it constitute an 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w:t>
      </w: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94335"/>
                <wp:effectExtent l="0" t="0" r="0" b="0"/>
                <wp:wrapNone/>
                <wp:docPr id="284" name="Frame18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20</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20</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val="false"/>
          <w:color w:val="000000"/>
          <w:sz w:val="22"/>
        </w:rPr>
        <w:t>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Nasdaq Global Select Market).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BANGLADESH</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Bangladesh shall be paid in cash in an amount equal to the value of the shares of Common Stock on the Vesting Date.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securities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 </w:t>
      </w:r>
    </w:p>
    <w:p>
      <w:pPr>
        <w:pStyle w:val="TextBody"/>
        <w:bidi w:val="0"/>
        <w:spacing w:lineRule="auto" w:line="333" w:before="0" w:after="240"/>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A stock exchange tax applies to transactions executed by Belgian residents through a non-Belgian financial intermediary, such as a U.S. broker. The stock exchange tax will apply when shares of Common Stock acquired upon vesting of the Deferred Stock Units are sold.</w:t>
      </w:r>
    </w:p>
    <w:p>
      <w:pPr>
        <w:pStyle w:val="TextBody"/>
        <w:bidi w:val="0"/>
        <w:spacing w:lineRule="auto" w:line="333" w:before="0" w:after="240"/>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An annual securities accounts tax may be payable if the total average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94335"/>
                <wp:effectExtent l="0" t="0" r="0" b="0"/>
                <wp:wrapNone/>
                <wp:docPr id="285" name="Frame18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21</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Deferred Stock Units, the Employee acknowledges that he or she agrees to comply with applicable Brazilian laws and pay any and all applicable Tax-Related Items associated with the vesting of the Deferred Stock Units, the receipt of any dividends and the sale of shares of Common Stock acquired under the Plan. </w:t>
      </w:r>
    </w:p>
    <w:p>
      <w:pPr>
        <w:pStyle w:val="TextBody"/>
        <w:bidi w:val="0"/>
        <w:spacing w:lineRule="auto" w:line="333" w:before="0" w:after="240"/>
        <w:jc w:val="left"/>
        <w:rPr/>
      </w:pPr>
      <w:r>
        <w:rPr>
          <w:rFonts w:ascii="Times New Roman;sans-serif" w:hAnsi="Times New Roman;sans-serif"/>
          <w:b/>
          <w:color w:val="000000"/>
          <w:sz w:val="22"/>
        </w:rPr>
        <w:t>Labor Law Acknowledgment</w:t>
      </w:r>
      <w:r>
        <w:rPr>
          <w:rFonts w:ascii="Times New Roman;sans-serif" w:hAnsi="Times New Roman;sans-serif"/>
          <w:b w:val="false"/>
          <w:color w:val="000000"/>
          <w:sz w:val="22"/>
        </w:rPr>
        <w:t>. By accepting the Deferred Stock Units, the Employee understands, acknowledges and agrees that, for all legal purposes (i) the Employee is making an investment decision and (ii) the value of the underlying shares of Common Stock are not fixed and may increase or decrease in value over the vesting period without compensation to the Employee.</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a certain threshold (currently, US$1,000,000). If such amount is equal to or greater than a certain threshold (currently,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333"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if the total sum of all such receivables and securities equals or exceeds a certain threshold (currently, BGN 50,000) as of the previous calendar year end. The reports are due by March 31.</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contact his or her bank in Bulgaria for additional information regarding these requirements.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94335"/>
                <wp:effectExtent l="0" t="0" r="0" b="0"/>
                <wp:wrapNone/>
                <wp:docPr id="286" name="Frame18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22</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Deferred Stock Units granted to employees resident in Canada shall be paid in shares of Common Stock only.</w:t>
      </w:r>
    </w:p>
    <w:p>
      <w:pPr>
        <w:pStyle w:val="TextBody"/>
        <w:bidi w:val="0"/>
        <w:spacing w:lineRule="auto" w:line="333" w:before="0" w:after="240"/>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2 of the Agreement:</w:t>
      </w:r>
    </w:p>
    <w:p>
      <w:pPr>
        <w:pStyle w:val="TextBody"/>
        <w:bidi w:val="0"/>
        <w:spacing w:lineRule="atLeast" w:line="276" w:before="0" w:after="0"/>
        <w:jc w:val="left"/>
        <w:rPr/>
      </w:pPr>
      <w:r>
        <w:rPr>
          <w:rFonts w:ascii="Times New Roman;sans-serif" w:hAnsi="Times New Roman;sans-serif"/>
          <w:b w:val="false"/>
          <w:color w:val="000000"/>
          <w:sz w:val="22"/>
        </w:rPr>
        <w:t>Except as expressly required by applicable legislation, the Employee’s employment with the Mondelēz Group shall be deemed to be terminated and vesting of the Deferred Stock Units will terminate effective as of the date the Employee is no longer actually providing services to the Mondelēz Group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Termination Date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common/civil law or otherwise. The Committee shall have the exclusive discretion to determine when the Employee is no longer actively employed or providing services and the termination date for purposes of the Agreement.</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applicable employment standards legislation explicitly requires continued entitlement to vesting during a statutory notice period, the Employee’s right to vest in the Deferred Stock Units under the Plan, if any, will terminate effective as of the last day of the Employee’s minimum statutory notice period. The Employee will not earn or be entitled to pro-rated vesting for that portion of time before the date on which the Employee’s right to vest terminates or if the vesting date falls after the end of the Employee’s statutory notice period, nor will the Employee be entitled to any compensation for lost vesting. For further clarity, any reference to the Employee’s termination of employment or a termination date under this Agreement or the Plan will be interpreted to mean the Termination Date. </w:t>
      </w:r>
    </w:p>
    <w:p>
      <w:pPr>
        <w:pStyle w:val="TextBody"/>
        <w:bidi w:val="0"/>
        <w:spacing w:before="0" w:after="0"/>
        <w:jc w:val="left"/>
        <w:rPr/>
      </w:pPr>
      <w:r>
        <w:rPr/>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Employees resident in Quebec:</w:t>
      </w:r>
    </w:p>
    <w:p>
      <w:pPr>
        <w:pStyle w:val="TextBody"/>
        <w:bidi w:val="0"/>
        <w:spacing w:lineRule="auto" w:line="333" w:before="0" w:after="24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The following provision supplements paragraph 14 of the Agreement: </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acknowledges and agrees that the Employee’s personal information, including sensitive personal information, may be transferred or disclosed outside of the Province of Quebec, including to the United States. The Employee further authorizes the Mondelēz Group to record such information and to keep such information in his or her employee file. The Employee also acknowledges and authorizes the Company and any subsidiary or affiliate or other parties involved in the administration of the Plan to use technology for profiling purposes and to make automated decisions that may have an impact on the Employee or the administration of the Plan.</w:t>
      </w:r>
    </w:p>
    <w:p>
      <w:pPr>
        <w:pStyle w:val="TextBody"/>
        <w:bidi w:val="0"/>
        <w:spacing w:lineRule="auto" w:line="333" w:before="0" w:after="240"/>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 French translation of the Plan and the Agreement can be made available to the Employee as soon as reasonably practicable upon the Employee’s request. The Employee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p>
    <w:p>
      <w:pPr>
        <w:pStyle w:val="TextBody"/>
        <w:bidi w:val="0"/>
        <w:spacing w:before="0" w:after="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94335"/>
                <wp:effectExtent l="0" t="0" r="0" b="0"/>
                <wp:wrapNone/>
                <wp:docPr id="287" name="Frame19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23</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jc w:val="left"/>
        <w:rPr/>
      </w:pPr>
      <w:r>
        <w:rPr>
          <w:rFonts w:ascii="Times New Roman;sans-serif" w:hAnsi="Times New Roman;sans-serif"/>
          <w:b w:val="false"/>
          <w:i/>
          <w:color w:val="000000"/>
          <w:sz w:val="22"/>
        </w:rPr>
        <w:t>Une traduction française du Plan et du présent Contrat pourra êtremise à la disposition de Employé(e) dès que raisonnablement possible à la demande de l'Employé. Le</w:t>
      </w:r>
      <w:r>
        <w:rPr>
          <w:color w:val="000000"/>
        </w:rPr>
        <w:t xml:space="preserve"> </w:t>
      </w:r>
      <w:r>
        <w:rPr>
          <w:rFonts w:ascii="Times New Roman;sans-serif" w:hAnsi="Times New Roman;sans-serif"/>
          <w:b w:val="false"/>
          <w:i/>
          <w:color w:val="000000"/>
          <w:sz w:val="22"/>
        </w:rPr>
        <w:t>Employé(e)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Employee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specified foreign property annually on Form T1135 (Foreign Income Verification Statement) if the total cost of the Employee’s specified foreign property exceeds a certain threshold (currently,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applicable cost threshold is exceeded because of other specified foreign property the Employee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 xml:space="preserve">” </w:t>
      </w:r>
      <w:r>
        <w:rPr>
          <w:rFonts w:ascii="Times New Roman;sans-serif" w:hAnsi="Times New Roman;sans-serif"/>
          <w:b w:val="false"/>
          <w:color w:val="000000"/>
          <w:sz w:val="22"/>
        </w:rPr>
        <w:t>)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lineRule="auto" w:line="333" w:before="10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offer of Deferred Stock Units constitutes a private offering of securities in Chile effective as of the Grant Date. The offer of Deferred Stock Units is made subject to general ruling N° 336 of the Chilean Commission for the Financial Market (“</w:t>
      </w:r>
      <w:r>
        <w:rPr>
          <w:rFonts w:ascii="Times New Roman;sans-serif" w:hAnsi="Times New Roman;sans-serif"/>
          <w:b w:val="false"/>
          <w:color w:val="000000"/>
          <w:sz w:val="22"/>
          <w:u w:val="single"/>
        </w:rPr>
        <w:t>CMF</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CMF, and, therefore, such securities are not subject to oversight of the CMF. Given that the Deferred Stock Units are not registered in Chile, the Company is not required to provide public information about the Deferred Stock Units or the shares of Common Stock in Chile. Unless the Deferred Stock Units and/or the shares of Common Stock are registered with the CMF, a public offering of such securities cannot be made in Chile.</w:t>
      </w:r>
    </w:p>
    <w:p>
      <w:pPr>
        <w:pStyle w:val="TextBody"/>
        <w:bidi w:val="0"/>
        <w:spacing w:lineRule="atLeast" w:line="264" w:before="0" w:after="240"/>
        <w:jc w:val="left"/>
        <w:rPr/>
      </w:pPr>
      <w:r>
        <w:rPr>
          <w:rFonts w:ascii="Times New Roman;sans-serif" w:hAnsi="Times New Roman;sans-serif"/>
          <w:b w:val="false"/>
          <w:i/>
          <w:color w:val="000000"/>
          <w:sz w:val="22"/>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Times New Roman;sans-serif" w:hAnsi="Times New Roman;sans-serif"/>
          <w:b w:val="false"/>
          <w:i/>
          <w:color w:val="000000"/>
          <w:sz w:val="22"/>
          <w:u w:val="single"/>
        </w:rPr>
        <w:t>CMF</w:t>
      </w:r>
      <w:r>
        <w:rPr>
          <w:color w:val="000000"/>
        </w:rPr>
        <w:t>”</w:t>
      </w:r>
      <w:r>
        <w:rPr>
          <w:rFonts w:ascii="Times New Roman;sans-serif" w:hAnsi="Times New Roman;sans-serif"/>
          <w:b w:val="false"/>
          <w:i/>
          <w:color w:val="000000"/>
          <w:sz w:val="22"/>
        </w:rPr>
        <w:t xml:space="preserve">). Esta oferta versa sobre valores no inscritos en el Registro de Valores o en el Registro de Valores Extranjeros que lleva la CMF, por lo que tales valores no están sujetos a la fiscalización de </w:t>
      </w:r>
    </w:p>
    <w:p>
      <w:pPr>
        <w:pStyle w:val="TextBody"/>
        <w:bidi w:val="0"/>
        <w:spacing w:before="0" w:after="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94335"/>
                <wp:effectExtent l="0" t="0" r="0" b="0"/>
                <wp:wrapNone/>
                <wp:docPr id="288" name="Frame19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24</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 </w:t>
      </w:r>
    </w:p>
    <w:p>
      <w:pPr>
        <w:pStyle w:val="TextBody"/>
        <w:bidi w:val="0"/>
        <w:spacing w:lineRule="auto" w:line="333" w:before="10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not required to repatriate any funds he or she receives with respect to the Deferred Stock Units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Employee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a commercial bank or registered foreign exchange office) if the amount of the funds repatriated exceeds a certain threshold (currently, US$10,000). </w:t>
      </w:r>
    </w:p>
    <w:p>
      <w:pPr>
        <w:pStyle w:val="TextBody"/>
        <w:bidi w:val="0"/>
        <w:spacing w:lineRule="auto" w:line="333" w:before="100" w:after="240"/>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Employee should consult with his or her personal legal advisor regarding any exchange control obligations that may apply in connection with the Deferred Stock Units.</w:t>
      </w:r>
    </w:p>
    <w:p>
      <w:pPr>
        <w:pStyle w:val="TextBody"/>
        <w:bidi w:val="0"/>
        <w:spacing w:lineRule="auto" w:line="333" w:before="100" w:after="240"/>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Employee holds shares of Common Stock acquired under the Plan outside Chile, the Employee will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July 1 each year, which should be submitted electronically through the CIRS website: </w:t>
      </w:r>
      <w:r>
        <w:rPr>
          <w:rFonts w:ascii="Times New Roman;sans-serif" w:hAnsi="Times New Roman;sans-serif"/>
          <w:b w:val="false"/>
          <w:color w:val="0000FF"/>
          <w:sz w:val="22"/>
          <w:shd w:fill="FFFFFF" w:val="clear"/>
        </w:rPr>
        <w:t>www.sii.cl.</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pStyle w:val="TextBody"/>
        <w:bidi w:val="0"/>
        <w:spacing w:lineRule="auto" w:line="333" w:before="0" w:after="240"/>
        <w:jc w:val="left"/>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 xml:space="preserve">Due to legal restrictions in China, upon the vesting of Deferred Stock Units,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w:t>
      </w: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94335"/>
                <wp:effectExtent l="0" t="0" r="0" b="0"/>
                <wp:wrapNone/>
                <wp:docPr id="289" name="Frame19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25</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Upon any such sale of the shares, the proceeds, less any Tax-Related Items and broker’s fees or commissions, will be remitted to the Employee in accordance with any applicable exchange control laws and regulations.</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Employee is not required to sell shares of Common Stock immediately upon vesting, any shares of Common Stock issued to the Employee must be maintained in an account with Morgan Stanley Smith Barney, LLC (“Morgan Stanley”)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pStyle w:val="TextBody"/>
        <w:bidi w:val="0"/>
        <w:spacing w:lineRule="atLeast" w:line="264"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The Employee understands and agrees that, due to exchange control laws in China, he or she will be 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94335"/>
                <wp:effectExtent l="0" t="0" r="0" b="0"/>
                <wp:wrapNone/>
                <wp:docPr id="290" name="Frame19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26</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13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tLeast" w:line="264"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Employee must describe each asset and indicate the jurisdiction in which it is located, its nature and its value.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94335"/>
                <wp:effectExtent l="0" t="0" r="0" b="0"/>
                <wp:wrapNone/>
                <wp:docPr id="291" name="Frame19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27</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Employee's responsibility to comply with Croatian exchange control laws.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Forced Sale of Shares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Company reserves the right to force the immediate sale of the shares of Common Stock to be issued upon vesting and settlement of the</w:t>
      </w:r>
      <w:r>
        <w:rPr>
          <w:color w:val="000000"/>
        </w:rPr>
        <w:t xml:space="preserve"> </w:t>
      </w:r>
      <w:r>
        <w:rPr>
          <w:rFonts w:ascii="Times New Roman;sans-serif" w:hAnsi="Times New Roman;sans-serif"/>
          <w:b w:val="false"/>
          <w:color w:val="000000"/>
          <w:sz w:val="22"/>
        </w:rPr>
        <w:t>Deferred Stock Units. If applicable, the Employee agrees that the Company is authorized to instruct its designated broker, on behalf of the Employee, to assist with the mandatory sale of such shares of Common Stock and the Employee expressly authorizes the Company’s designated broker to complete the sale of such shares of Common Stock. The Employee expressly acknowledges that the Company’s designated broker is under no obligation to arrange for the sale of shares of Common Stock at any particular price. Upon the sale of shares of Common Stock, the Employee shall receive the cash proceeds from the sale of shares of Common Stock, less any brokerage fees or commissions and subject to any obligation to satisfy Tax-Related Items. The Employee also acknowledges that the Employee is unaware of any material non-public information with respect to the Company or any securities of the Company as of the date of the Agreement.</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Deferred Stock Units and the opening and maintenance of a foreign account, including reporting (i) foreign direct investments with a value equal to or exceeding a specified amount (currently, CZK 2,500,000) in the aggregate, (ii) foreign financial assets with a value equal to or exceeding a specified amount (currently, CZK 200,000,000), or (iii) at the request of the Czech National Bank. The Employee should consult their personal legal advisor to ensure compliance with the applicable requirements.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333"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Employee acknowledges that he or she has received an Employer Statement in Danish, which sets forth the additional terms of the Deferred Stock Units to the extent that the Danish Stock Option Act applies.</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94335"/>
                <wp:effectExtent l="0" t="0" r="0" b="0"/>
                <wp:wrapNone/>
                <wp:docPr id="292" name="Frame19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28</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The Employee is required to report any accounts holding shares of Common Stock or cash established outside Denmark to the Danish Tax Administration as part of the Employee’s tax return under the section related to foreign affairs and income. The form which should be used in this respect can be obtained from a local bank. </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t>
      </w:r>
      <w:r>
        <w:rPr>
          <w:rFonts w:ascii="Times New Roman;sans-serif" w:hAnsi="Times New Roman;sans-serif"/>
          <w:b w:val="false"/>
          <w:color w:val="0000FF"/>
          <w:sz w:val="22"/>
          <w:u w:val="single"/>
        </w:rPr>
        <w:t>www.sri.gob.ec</w:t>
      </w:r>
      <w:r>
        <w:rPr>
          <w:rFonts w:ascii="Times New Roman;sans-serif" w:hAnsi="Times New Roman;sans-serif"/>
          <w:b w:val="false"/>
          <w:color w:val="000000"/>
          <w:sz w:val="22"/>
        </w:rPr>
        <w:t xml:space="preserve">). Penalties will apply to a late filing and it is not possible to seek an extension.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a certain threshold (currently, US$100,000). The Employee should consult his or her legal or tax advisor to ensure compliance with all applicable reporting obligations.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Employee transfers funds into Egypt in connection with the Deferred Stock Units, the Employee is required to transfer the funds through a registered bank in Egypt.</w:t>
      </w:r>
    </w:p>
    <w:p>
      <w:pPr>
        <w:pStyle w:val="TextBody"/>
        <w:bidi w:val="0"/>
        <w:spacing w:lineRule="auto" w:line="333"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ESWATINI</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Eswatini shall be paid in cash in an amount equal to the value of the shares of Common Stock on the Vesting Date.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Employee must check their pre-</w:t>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94335"/>
                <wp:effectExtent l="0" t="0" r="0" b="0"/>
                <wp:wrapNone/>
                <wp:docPr id="293" name="Frame19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29</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29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19" w:before="0" w:after="0"/>
        <w:jc w:val="left"/>
        <w:rPr/>
      </w:pPr>
      <w:r>
        <w:rPr>
          <w:rFonts w:ascii="Times New Roman;sans-serif" w:hAnsi="Times New Roman;sans-serif"/>
          <w:b/>
          <w:color w:val="000000"/>
          <w:sz w:val="22"/>
        </w:rPr>
        <w:t>Deferred Stock Units Not French-Qualified.</w:t>
      </w:r>
      <w:r>
        <w:rPr>
          <w:color w:val="000000"/>
        </w:rPr>
        <w:t xml:space="preserve"> </w:t>
      </w:r>
      <w:r>
        <w:rPr>
          <w:rFonts w:ascii="Times New Roman;sans-serif" w:hAnsi="Times New Roman;sans-serif"/>
          <w:b w:val="false"/>
          <w:color w:val="000000"/>
          <w:sz w:val="22"/>
        </w:rPr>
        <w:t>The Deferred Stock Units granted under this Agreement are not intended to qualify for specific tax and social security treatment pursuant to Sections L. 225-197-1 to L. 225-197-5 and Sections L. 22-10-59 to L. 22-10-60 of the French Commercial Code, as amended.</w:t>
      </w:r>
    </w:p>
    <w:p>
      <w:pPr>
        <w:pStyle w:val="TextBody"/>
        <w:bidi w:val="0"/>
        <w:spacing w:lineRule="auto" w:line="333"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Employee confirms having read and understood the Plan and Agreement, including all terms and conditions included therein, which were provided in the English language. The Employee accepts the terms of those documents accordingly.</w:t>
      </w:r>
    </w:p>
    <w:p>
      <w:pPr>
        <w:pStyle w:val="TextBody"/>
        <w:bidi w:val="0"/>
        <w:spacing w:lineRule="atLeast" w:line="264" w:before="0" w:after="240"/>
        <w:jc w:val="left"/>
        <w:rPr/>
      </w:pPr>
      <w:r>
        <w:rPr>
          <w:rFonts w:ascii="Times New Roman;sans-serif" w:hAnsi="Times New Roman;sans-serif"/>
          <w:b w:val="false"/>
          <w:i/>
          <w:color w:val="000000"/>
          <w:sz w:val="22"/>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Times New Roman;sans-serif" w:hAnsi="Times New Roman;sans-serif"/>
          <w:b w:val="false"/>
          <w:color w:val="000000"/>
          <w:sz w:val="22"/>
        </w:rPr>
        <w:t>.</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Employee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a certain threshold (currently, €1,000,000) may have additional monthly reporting obligations.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GEORGIA</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both"/>
        <w:rPr/>
      </w:pPr>
      <w:r>
        <w:rPr>
          <w:rFonts w:ascii="Times New Roman;sans-serif" w:hAnsi="Times New Roman;sans-serif"/>
          <w:b/>
          <w:color w:val="000000"/>
          <w:sz w:val="22"/>
        </w:rPr>
        <w:t>Language Consent</w:t>
      </w:r>
      <w:r>
        <w:rPr>
          <w:rFonts w:ascii="Times New Roman;sans-serif" w:hAnsi="Times New Roman;sans-serif"/>
          <w:b w:val="false"/>
          <w:color w:val="000000"/>
          <w:sz w:val="22"/>
        </w:rPr>
        <w:t>.  By accepting the Grant, the Employee acknowledges that he or she is proficient in reading and understanding English and fully understands the terms of the documents related to the grant (the Agreement and the Plan), which were provided in the English language.  The Employee accepts the terms of those documents accordingly.</w:t>
      </w:r>
    </w:p>
    <w:p>
      <w:pPr>
        <w:pStyle w:val="TextBody"/>
        <w:bidi w:val="0"/>
        <w:spacing w:lineRule="auto" w:line="333" w:before="0" w:after="240"/>
        <w:jc w:val="left"/>
        <w:rPr/>
      </w:pPr>
      <w:r>
        <w:rPr>
          <w:rFonts w:ascii="Times New Roman;sans-serif" w:hAnsi="Times New Roman;sans-serif"/>
          <w:b/>
          <w:i/>
          <w:color w:val="000000"/>
          <w:sz w:val="24"/>
        </w:rPr>
        <w:t>თანხმობა ენასთან დაკავშირებით</w:t>
      </w:r>
      <w:r>
        <w:rPr>
          <w:rFonts w:ascii="Times New Roman;sans-serif" w:hAnsi="Times New Roman;sans-serif"/>
          <w:b w:val="false"/>
          <w:i/>
          <w:color w:val="000000"/>
          <w:sz w:val="24"/>
        </w:rPr>
        <w:t>.   </w:t>
      </w:r>
      <w:r>
        <w:rPr>
          <w:rFonts w:ascii="sans-serif" w:hAnsi="sans-serif"/>
          <w:b w:val="false"/>
          <w:i/>
          <w:color w:val="000000"/>
          <w:sz w:val="24"/>
        </w:rPr>
        <w:t xml:space="preserve">გრანტის მიღებით, თანამშრომელი ადასტურებს, რომ ფლობს ინგლისური ენის კითხვასა და გაგებას და სრულად ესმის გრანტთან დაკავშირებული დოკუმენტების პირობები (ხელშეკრულება და გეგმა), რომლებიც </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94335"/>
                <wp:effectExtent l="0" t="0" r="0" b="0"/>
                <wp:wrapNone/>
                <wp:docPr id="294" name="Frame19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30</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30</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sans-serif" w:hAnsi="sans-serif"/>
          <w:b w:val="false"/>
          <w:i/>
          <w:color w:val="000000"/>
          <w:sz w:val="24"/>
        </w:rPr>
      </w:pPr>
      <w:r>
        <w:rPr>
          <w:rFonts w:ascii="sans-serif" w:hAnsi="sans-serif"/>
          <w:b w:val="false"/>
          <w:i/>
          <w:color w:val="000000"/>
          <w:sz w:val="24"/>
        </w:rPr>
        <w:t>მოწოდებული იყო ინგლისურ ენაზე. თანამშრომელი შესაბამისად იღებს ამ დოკუმენტების პირობებს.</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Cross-border payments in connection with the purchase or sale of securities in excess of a certain amount (currently,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If the Employee receives a payment in excess of this amount (including if the Employee acquires shares of Common Stock or receives dividends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Employee must report the payment and/or the value of the shares of Common Stock withheld or sold to the Bundesbank. Such reports must be filed either electronically using the “General Statistics Reporting Portal” (Allgemeine Meldeportal Statistik) available via the Bundesbank’s website (www.bundesbank.de) or by such other method as is permitted or required by the Bundesbank. The report must be submitted monthly or within such timing as is permitted or required by the Bundesbank.</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Employee owns at least 1% of the Company and the value of the Common Stock acquired exceeds a certain amount (currently, €150,000), or (ii) the Employee holds Common Stock exceeding 10% of the total capital of the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color w:val="000000"/>
          <w:sz w:val="22"/>
        </w:rPr>
        <w:t xml:space="preserve">Deferred Stock Units Payable in Cash. </w:t>
      </w:r>
      <w:r>
        <w:rPr>
          <w:rFonts w:ascii="Times New Roman;sans-serif" w:hAnsi="Times New Roman;sans-serif"/>
          <w:b w:val="false"/>
          <w:color w:val="000000"/>
          <w:sz w:val="22"/>
        </w:rPr>
        <w:t>Notwithstanding any discretion in the Plan or anything to the contrary in the Agreement (including paragraph 7 of the Agreement), unless otherwise determined by the Company, the grant of Deferred Stock Units does not provide any right for the Employee to receive shares of Common Stock upon the Vesting Date. Unless otherwise determined by the Company, Deferred Stock Units granted to Employees in Hungary shall be paid in cash in an amount equal to the value of the shares of Common Stock on the Vesting Date less any Tax-Related Items, if applicable.</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94335"/>
                <wp:effectExtent l="0" t="0" r="0" b="0"/>
                <wp:wrapNone/>
                <wp:docPr id="295" name="Frame19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31</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paragraph 7 of the Agreement: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Due to regulatory requirements in India, the Company reserves the right to require that the Employee sell all shares of Common Stock delivered to the Employee, either immediately upon receipt of such shares or upon the Employee’s termination of employment from the Mondelēz Group. In this regard, the Employee agrees that the Company is authorized to instruct its designated broker to assist with any such mandatory sale of shares of Common Stock (on the Employee’s behalf pursuant to this authorization), and the Employee expressly authorizes the designated broker to complete the sale of such shares. The Employee also agrees to sign any agreements, forms and/or consents that may be reasonably requested by the Company (or the designated broker) to effectuate the sale of the shares of Common Stock and shall otherwise cooperate with the Company with respect to such matters, provided that the Employee shall not be permitted to exercise any influence over how, when or whether the sales occur. The Employee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Employee and (if later) the date on which the shares of Common Stock are sold, the amount of proceeds ultimately distributed to the v may be more or less than the market value of the shares of Common Stock on the relevant vesting date or the date on which such shares are delivered to the Employee. Upon the sale of the shares of Common Stock, the cash proceeds from the sale of shares (less any applicable Tax-Related Items) will be delivered to the Employee in accordance with applicable laws and regulations, as determined by the Company in its sole discretion.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9" w:before="0" w:after="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any funds recognized in connection with the Deferred Stock Units (including any</w:t>
      </w:r>
      <w:r>
        <w:rPr>
          <w:color w:val="000000"/>
        </w:rPr>
        <w:t xml:space="preserve"> </w:t>
      </w:r>
      <w:r>
        <w:rPr>
          <w:rFonts w:ascii="Times New Roman;sans-serif" w:hAnsi="Times New Roman;sans-serif"/>
          <w:b w:val="false"/>
          <w:color w:val="000000"/>
          <w:sz w:val="22"/>
        </w:rPr>
        <w:t>cash proceeds received upon the sale of shares of Common Stock) and convert such funds into local currency within specified timeframes as required under applicable regulations. Indian residents also are required to retain the foreign inward remittance certificate as evidence of repatriation.</w:t>
      </w:r>
      <w:r>
        <w:rPr>
          <w:color w:val="000000"/>
        </w:rPr>
        <w:t xml:space="preserve"> </w:t>
      </w:r>
      <w:r>
        <w:rPr>
          <w:rFonts w:ascii="Times New Roman;sans-serif" w:hAnsi="Times New Roman;sans-serif"/>
          <w:b w:val="false"/>
          <w:color w:val="000000"/>
          <w:sz w:val="22"/>
        </w:rPr>
        <w:t>The Employee is personally responsible for complying with exchange control laws in India, and neither the Company nor the Employer will be liable for any fines or penalties resulting from the Employee’s failure to comply with applicable laws. The Employee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before="0" w:after="0"/>
        <w:jc w:val="left"/>
        <w:rPr/>
      </w:pPr>
      <w:r>
        <w:rPr/>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Employee should consult his or her personal tax or legal advisor before selling shares of Common Stock to ensure compliance with current regulations.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is required to declare foreign bank accounts and any foreign financial assets (including shares of Common Stock held outside India) in his or her annual tax return. It is the Employee’s responsibility to comply with this reporting obligation and the Employee should consult with his or her personal tax advisor in this regard.</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94335"/>
                <wp:effectExtent l="0" t="0" r="0" b="0"/>
                <wp:wrapNone/>
                <wp:docPr id="296" name="Frame19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32</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A translation of the documents relating to this Grant into Bahasa Indonesia can be provided to the Employee upon request to </w:t>
      </w:r>
      <w:r>
        <w:rPr>
          <w:rFonts w:ascii="Times New Roman;sans-serif" w:hAnsi="Times New Roman;sans-serif"/>
          <w:b w:val="false"/>
          <w:color w:val="000000"/>
          <w:sz w:val="22"/>
          <w:shd w:fill="FFFFFF" w:val="clear"/>
        </w:rPr>
        <w:t>Astrid Januarita, My Rewards Advisor ID,</w:t>
      </w:r>
      <w:r>
        <w:rPr>
          <w:color w:val="000000"/>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By accepting the Grant, the Employee (i) confirms having read and understood the documents relating to this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333" w:before="0" w:after="240"/>
        <w:jc w:val="left"/>
        <w:rPr/>
      </w:pPr>
      <w:r>
        <w:rPr>
          <w:rFonts w:ascii="Times New Roman;sans-serif" w:hAnsi="Times New Roman;sans-serif"/>
          <w:b/>
          <w:i/>
          <w:color w:val="000000"/>
          <w:sz w:val="22"/>
        </w:rPr>
        <w:t>Language Consent and Notification</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Terjemahan dari dokumen-dokumen terkait dengan pemberian ini ke Bahasa Indonesia dapat disediakan untuk anda berdasarkan permintaan kepada </w:t>
      </w:r>
      <w:r>
        <w:rPr>
          <w:rFonts w:ascii="Times New Roman;sans-serif" w:hAnsi="Times New Roman;sans-serif"/>
          <w:b w:val="false"/>
          <w:color w:val="000000"/>
          <w:sz w:val="22"/>
          <w:shd w:fill="FFFFFF" w:val="clear"/>
        </w:rPr>
        <w:t>Astrid Januarita, My Rewards Advisor ID,</w:t>
      </w:r>
      <w:r>
        <w:rPr>
          <w:color w:val="000000"/>
        </w:rPr>
        <w:t xml:space="preserve"> </w:t>
      </w:r>
      <w:r>
        <w:rPr>
          <w:rFonts w:ascii="Times New Roman;sans-serif" w:hAnsi="Times New Roman;sans-serif"/>
          <w:b w:val="false"/>
          <w:color w:val="000000"/>
          <w:sz w:val="22"/>
          <w:shd w:fill="FFFFFF" w:val="clear"/>
        </w:rPr>
        <w:t xml:space="preserve">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Employee remits funds into Indonesia, the Indonesian bank through which the transaction is made will submit a report on the transaction to the Bank of Indonesia for statistical reporting purposes. For transactions of a certain threshold (currently, US$10,000)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94335"/>
                <wp:effectExtent l="0" t="0" r="0" b="0"/>
                <wp:wrapNone/>
                <wp:docPr id="297" name="Frame20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33</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Employee is a director, shadow director or secretary of an Irish subsidiary or affiliate, the Employee must notify the Irish subsidiary or affiliate in writing if (1) the Employee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accepting the grant of Deferred Stock Units, the Employee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are beneficial owners of the investment pursuant to Italian money laundering provisions.</w:t>
      </w:r>
    </w:p>
    <w:p>
      <w:pPr>
        <w:pStyle w:val="TextBody"/>
        <w:bidi w:val="0"/>
        <w:spacing w:lineRule="auto" w:line="333"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(and other financial assets) held outside Italy</w:t>
      </w:r>
      <w:r>
        <w:rPr>
          <w:color w:val="000000"/>
        </w:rPr>
        <w:t xml:space="preserve"> </w:t>
      </w:r>
      <w:r>
        <w:rPr>
          <w:rFonts w:ascii="Times New Roman;sans-serif" w:hAnsi="Times New Roman;sans-serif"/>
          <w:b w:val="false"/>
          <w:color w:val="000000"/>
          <w:sz w:val="22"/>
        </w:rPr>
        <w:t xml:space="preserve">is subject to a foreign assets tax. The 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w:t>
      </w: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94335"/>
                <wp:effectExtent l="0" t="0" r="0" b="0"/>
                <wp:wrapNone/>
                <wp:docPr id="298" name="Frame20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34</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over the calendar year). The Employee should consult with his or her personal tax advisor about the foreign financial assets tax.</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acquires shares of Common Stock valued at more than a certain threshold (currently, ¥100,000,000) in a single transaction, the Employee must file a Securities Acquisition Report with the Ministry of Finance through the Bank of Japan within 20 days of the purchase of the shares of Common Stock.</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will be required to report details of any assets held outside Japan as of December 31st (including any shares of Common Stock acquired under the Plan) to the extent such assets have a total net fair market value exceeding a certain threshold (currently,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pStyle w:val="TextBody"/>
        <w:bidi w:val="0"/>
        <w:spacing w:lineRule="auto" w:line="333"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a certain threshold (currently, US$100,000).</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Employee should consult with their personal legal advisor regarding any exchange control obligations that the Employee may have prior to vesting in the Deferred Stock Units or receiving proceeds from the sale of shares of Common Stock acquired under the Plan. The Employee is responsible for ensuring compliance with all exchange control laws in Kazakhstan.</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before="0" w:after="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94335"/>
                <wp:effectExtent l="0" t="0" r="0" b="0"/>
                <wp:wrapNone/>
                <wp:docPr id="299" name="Frame20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35</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tbl>
      <w:tblPr>
        <w:tblW w:w="10205" w:type="dxa"/>
        <w:jc w:val="left"/>
        <w:tblInd w:w="0" w:type="dxa"/>
        <w:tblLayout w:type="fixed"/>
        <w:tblCellMar>
          <w:top w:w="28" w:type="dxa"/>
          <w:left w:w="28" w:type="dxa"/>
          <w:bottom w:w="28" w:type="dxa"/>
          <w:right w:w="28" w:type="dxa"/>
        </w:tblCellMar>
      </w:tblPr>
      <w:tblGrid>
        <w:gridCol w:w="1970"/>
        <w:gridCol w:w="1733"/>
        <w:gridCol w:w="1736"/>
        <w:gridCol w:w="1395"/>
        <w:gridCol w:w="1395"/>
        <w:gridCol w:w="1976"/>
      </w:tblGrid>
      <w:tr>
        <w:trPr/>
        <w:tc>
          <w:tcPr>
            <w:tcW w:w="197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5439"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40" w:before="0" w:after="240"/>
              <w:jc w:val="left"/>
              <w:rPr/>
            </w:pPr>
            <w:r>
              <w:rPr>
                <w:rFonts w:ascii="Times New Roman;sans-serif" w:hAnsi="Times New Roman;sans-serif"/>
                <w:b/>
                <w:i/>
                <w:color w:val="000000"/>
                <w:sz w:val="22"/>
              </w:rPr>
              <w:t>The Employee explicitly and unambiguously consents to the collection, use and transfer, in electronic or other form, of the Employee’s personal data as described in this Agreement and any other Deferred Stock Unit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 </w:t>
            </w:r>
          </w:p>
          <w:p>
            <w:pPr>
              <w:pStyle w:val="TableContents"/>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 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pStyle w:val="TableContents"/>
              <w:bidi w:val="0"/>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Data will be transferred to Morgan Stanley Smith Barney, LLC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the Employee’s country. The Employee understands that the Employee may request a list with the names and addresses of any potential recipients of the Data by contacting the Employee’s local human resources representative at Mondelez Malaysia Sales Sdn Bhd, Lot 9.01 Level 9, 1 First Avenue, 2A, Dataran Bandar Utama, Bandar Utama Damasara, 47800 Petaling Jaya, Selangor, Malaysia. The Employee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he or she is providing the consents herein on a purely voluntary basis. If the Employee does not consent, or if the Employee later seeks to revoke his or her consent, his or her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tc>
        <w:tc>
          <w:tcPr>
            <w:tcW w:w="4766"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40" w:before="0" w:after="240"/>
              <w:jc w:val="both"/>
              <w:rPr/>
            </w:pPr>
            <w:r>
              <w:rPr>
                <w:rFonts w:ascii="Times New Roman;sans-serif" w:hAnsi="Times New Roman;sans-serif"/>
                <w:b/>
                <w:i/>
                <w:color w:val="000000"/>
                <w:sz w:val="22"/>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pStyle w:val="TableContents"/>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 </w:t>
            </w:r>
          </w:p>
          <w:p>
            <w:pPr>
              <w:pStyle w:val="TableContents"/>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Data tersebut akan dipindahkan ke Morgan Stanley Smith Barney, LLC (“Morgan Stanley”) atau pembekal perkhidmatan pelan saham lain yang mungkin dipilih oleh Syarikat pada masa hadapan, yang membantu Syarikat melaksanakan, mentadbir dan menguruskan Pelan tersebut. Pekerja memahami bahawa Data juga mungkin dipindahkan kepada firma akauntansi awam 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Malaysia Sales Sdn Bhd, Lot 9.01 Level 9, 1 First Avenue, 2A, Dataran Bandar Utama, Bandar Utama Damasara, 47800 Petaling Jaya, Selangor, Malaysia. </w:t>
            </w:r>
          </w:p>
          <w:p>
            <w:pPr>
              <w:pStyle w:val="TableContents"/>
              <w:bidi w:val="0"/>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Pekerjadengan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Pekerja dalam Pelan. Pekerja memahami bahawa Data hanya akan disimpan untuk tempoh yang diperlukan untuk melaksana, mentadbir, dan mengurus penyertaan Pekerja dalam Pelan. Pekerja memahami bahawa Pekerja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Pekerja memahami bahawa Pekerja memberikan persetujuan di sini secara sukarela. Jikalau, Pekerja tidak bersetuju, atau sekiranaya Pekerja kemudiannya membatalkan persetujuannya, status pekerjaan atau perkhidmatan dan kerjaya Pekerja dengan Majikan tidak akan terjejas; satu-satunya akibat jika Pekerja tidak bersetuju atau menarik balik 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tc>
      </w:tr>
    </w:tbl>
    <w:p>
      <w:pPr>
        <w:pStyle w:val="TextBody"/>
        <w:bidi w:val="0"/>
        <w:spacing w:before="0" w:after="240"/>
        <w:jc w:val="left"/>
        <w:rPr/>
      </w:pPr>
      <w:r>
        <w:rPr/>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Employee is a director of the Company’s Malaysian subsidiary or affiliate, the Employee is subject to certain notification requirements under the Malaysian Companies Act. Among these requirements is an obligation to notify the Malaysian subsidiary or affiliate in writing when the Employee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or shares of Common Stock) in the Company or any related company. Such notifications must be made within 14 days of receiving or disposing of any interest in the Company or any related company.</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 xml:space="preserve">In accepting the grant of the Deferred Stock Units, the Employee expressly recognizes that Mondelēz International, Inc., 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Mondelēz México, S. de R.L. de C.V., located at Av. 18 de Noviembre 1028, Camino a Manzanilla, Heroica Puebla de Zaragoza, Puebla, C.P. 72304. Based on the foregoing, the Employee expressly recognizes that the Plan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94335"/>
                <wp:effectExtent l="0" t="0" r="0" b="0"/>
                <wp:wrapNone/>
                <wp:docPr id="300" name="Frame20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36</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benefits that he or she may derive from participating in the Plan do not establish any rights between the Employee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Employee’s employment.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pStyle w:val="TextBody"/>
        <w:bidi w:val="0"/>
        <w:spacing w:lineRule="auto" w:line="333"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Deferred Stock Units, the Employee acknowledges that he or she has received copies of the Plan, has reviewed the Plan and the Agreement in their entirety and fully understands and accepts all provisions of the Plan and the Agreement.</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 </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 </w:t>
      </w:r>
    </w:p>
    <w:p>
      <w:pPr>
        <w:pStyle w:val="TextBody"/>
        <w:bidi w:val="0"/>
        <w:spacing w:lineRule="atLeast" w:line="264"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TÉRMINOS Y CONDICIONES </w:t>
      </w:r>
    </w:p>
    <w:p>
      <w:pPr>
        <w:pStyle w:val="TextBody"/>
        <w:bidi w:val="0"/>
        <w:spacing w:lineRule="atLeast" w:line="264" w:before="0" w:after="240"/>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aceptar el otorgamiento de las Acciones Diferidas, el Empleado expresamente reconoce que Mondelēz International, Inc., con domicilio registrado ubicado en 905 West Fulton Market, Suite 200, Chicago, Illinois 60607,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Mondelēz México,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Empleado.</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pStyle w:val="TextBody"/>
        <w:bidi w:val="0"/>
        <w:spacing w:before="0" w:after="0"/>
        <w:jc w:val="righ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94335"/>
                <wp:effectExtent l="0" t="0" r="0" b="0"/>
                <wp:wrapNone/>
                <wp:docPr id="301" name="Frame20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37</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w:t>
      </w:r>
      <w:r>
        <w:rPr>
          <w:color w:val="000000"/>
        </w:rPr>
        <w:t xml:space="preserve"> </w:t>
      </w:r>
      <w:r>
        <w:rPr>
          <w:rFonts w:ascii="Times New Roman;sans-serif" w:hAnsi="Times New Roman;sans-serif"/>
          <w:b w:val="false"/>
          <w:color w:val="000000"/>
          <w:sz w:val="22"/>
        </w:rPr>
        <w:t>aceptar el otorgamiento de las Acciones Diferidas, el Empleado reconoce que ha recibido copias del Plan, que ha revisado el Plan y el Acuerdo en su totalidad y que entiende y acepta completamente todas las disposiciones contenidas en el Plan y en el Acuerdo.</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Deferred Stock Units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Deferred Stock Units may not be publicly distributed in Mexico. These materials are addressed to the Employee only because of the Employee’s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0"/>
        <w:jc w:val="righ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94335"/>
                <wp:effectExtent l="0" t="0" r="0" b="0"/>
                <wp:wrapNone/>
                <wp:docPr id="302" name="Frame20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38</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 Employee is being offered Deferred Stock Units which allows the Employee to acquire shares of Common Stock in accordance with the terms of the Plan and the Agreement. The shares of Common Stock, if issued, give the Employee a stake in the ownership of the Company. The Employee may receive a return if dividends are paid.</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Employee will be paid only after all creditors and holders of preferred shares have been paid. The Employee may lose some or all of his or her investment.</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usual rules do not apply to this offer because it is made under an employee share purchase scheme. As a result, the Employee may not be given all the information usually required. The Employee will also have fewer other legal protections for this investment. </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Employee understands that he or she should ask questions, read all documents carefully, and seek independent financial advice before participating in the Plan.</w:t>
      </w:r>
    </w:p>
    <w:p>
      <w:pPr>
        <w:pStyle w:val="TextBody"/>
        <w:bidi w:val="0"/>
        <w:spacing w:lineRule="auto" w:line="333"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pStyle w:val="TextBody"/>
        <w:bidi w:val="0"/>
        <w:spacing w:lineRule="auto" w:line="333" w:before="0" w:after="240"/>
        <w:jc w:val="left"/>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i/>
          <w:color w:val="0000FF"/>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FF"/>
          <w:sz w:val="22"/>
          <w:u w:val="single"/>
        </w:rPr>
        <w:t>http://ir.mondelezinternational.com/sec.cfm</w:t>
      </w:r>
      <w:r>
        <w:rPr>
          <w:rFonts w:ascii="Times New Roman;sans-serif" w:hAnsi="Times New Roman;sans-serif"/>
          <w:b w:val="false"/>
          <w:color w:val="000000"/>
          <w:sz w:val="22"/>
        </w:rPr>
        <w:t xml:space="preserve">.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In general, Norwegian residents should not be subject to any foreign exchange requirements in connection with the acquisition or sale of shares of Common Stock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94335"/>
                <wp:effectExtent l="0" t="0" r="0" b="0"/>
                <wp:wrapNone/>
                <wp:docPr id="303" name="Frame20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39</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39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Plan, except normal reporting requirements to the Norwegian Currency Registry. If the transfer of funds into or out of Norway is made through a Norwegian bank, the bank will make the registration.</w:t>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(e.g., shares of Common Stock) not pre-completed in the tax return, the Norwegian resident must enter this information in Form RF-1159, which is an appendix to the tax return.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w:t>
      </w:r>
      <w:r>
        <w:rPr>
          <w:color w:val="000000"/>
        </w:rPr>
        <w:t xml:space="preserve"> </w:t>
      </w:r>
      <w:r>
        <w:rPr>
          <w:rFonts w:ascii="Times New Roman;sans-serif" w:hAnsi="Times New Roman;sans-serif"/>
          <w:b w:val="false"/>
          <w:color w:val="000000"/>
          <w:sz w:val="22"/>
        </w:rPr>
        <w:t>Deferred Stock Units. If applicable, the Employee agrees that the Company is authorized to instruct its designated broker, on behalf of the Employee, to assist with the mandatory sale of such shares of Common Stock and the Employee expressly authorizes the Company’s designated broker to complete the sale of such shares of Common Stock. The Employee expressly acknowledges that the Company’s designated broker is under no obligation to arrange for the sale of shares of Common Stock at any particular price. Upon the sale of shares of Common Stock, the Employee shall receive the cash proceeds from the sale of shares of Common Stock, less any brokerage fees or commissions and subject to any obligation to satisfy Tax-Related Items. The Employee also acknowledges that the Employee is unaware of any material non-public information with respect to the Company or any securities of the Company as of the date of the Agreement.</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required immediately to repatriate to Pakistan the proceeds from the sale of any Common 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94335"/>
                <wp:effectExtent l="0" t="0" r="0" b="0"/>
                <wp:wrapNone/>
                <wp:docPr id="304" name="Frame20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40</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40</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13 of the Agreement:</w:t>
      </w:r>
    </w:p>
    <w:p>
      <w:pPr>
        <w:pStyle w:val="TextBody"/>
        <w:bidi w:val="0"/>
        <w:spacing w:lineRule="auto" w:line="333" w:before="0" w:after="240"/>
        <w:jc w:val="left"/>
        <w:rPr/>
      </w:pPr>
      <w:r>
        <w:rPr>
          <w:rFonts w:ascii="Times New Roman;sans-serif" w:hAnsi="Times New Roman;sans-serif"/>
          <w:b w:val="false"/>
          <w:color w:val="000000"/>
          <w:sz w:val="22"/>
        </w:rPr>
        <w:t xml:space="preserve">By accepting the Deferred Stock Units, the Employee acknowledges, understands and agrees that the Deferred Stock Units are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Employee.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Deferred Stock Units is considered a private offering in Peru; therefore, it is not subject to 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333" w:before="10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righ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94335"/>
                <wp:effectExtent l="0" t="0" r="0" b="0"/>
                <wp:wrapNone/>
                <wp:docPr id="305" name="Frame20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41</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Employee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tLeast" w:line="264"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Employee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Employee.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deposits proceeds from the sale of Common Stock in a bank account in Romania, the 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Agreement, the Plan and all other materials that the Employee may receive concerning the Deferred Stock Units and the Employee’s participation in the Plan do not constitute advertising or an offering of securities in Russia. The Common Stock to be issued upon the vesting of the Deferred Stock Units has not and will not be registered in Russia and, therefore, the Common Stock described in any Plan documents may not be offered or placed in public circulation in Russia. In no event will Common Stock to be issued upon the vesting of the Deferred Stock Units be delivered to the Employee in Russia. All Common Stock acquired under the Plan will be maintained on the Employee’s behalf outside of Russia. The Employee will not be permitted to sell Common Stock directly to a Russian legal entity or resident.</w:t>
      </w:r>
    </w:p>
    <w:p>
      <w:pPr>
        <w:pStyle w:val="TextBody"/>
        <w:bidi w:val="0"/>
        <w:spacing w:lineRule="auto" w:line="333" w:before="0" w:after="240"/>
        <w:jc w:val="left"/>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The Employee understands that no shares of Common Stock will be issued upon vesting of the Deferred Stock Units if the Company, in its sole discretion, determines that such issuance would not comply with applicable laws and regulations in Russia.</w:t>
      </w:r>
      <w:r>
        <w:rPr>
          <w:color w:val="000000"/>
        </w:rPr>
        <w:t xml:space="preserve"> </w:t>
      </w:r>
      <w:r>
        <w:rPr>
          <w:rFonts w:ascii="Times New Roman;sans-serif" w:hAnsi="Times New Roman;sans-serif"/>
          <w:b w:val="false"/>
          <w:color w:val="000000"/>
          <w:sz w:val="22"/>
        </w:rPr>
        <w:t xml:space="preserve">Notwithstanding anything to the contrary in the Agreement, depending on the development of local regulatory requirements, the Employee acknowledges that the Deferred Stock Units may be paid to the Employee in cash rather than shares of Common Stock. If shares of Common Stock are issued upon </w:t>
      </w:r>
    </w:p>
    <w:p>
      <w:pPr>
        <w:pStyle w:val="TextBody"/>
        <w:bidi w:val="0"/>
        <w:spacing w:before="0" w:after="0"/>
        <w:jc w:val="righ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94335"/>
                <wp:effectExtent l="0" t="0" r="0" b="0"/>
                <wp:wrapNone/>
                <wp:docPr id="306" name="Frame20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42</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pStyle w:val="TextBody"/>
        <w:bidi w:val="0"/>
        <w:spacing w:lineRule="auto" w:line="333"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14 of the Agreement:</w:t>
      </w:r>
    </w:p>
    <w:p>
      <w:pPr>
        <w:pStyle w:val="TextBody"/>
        <w:bidi w:val="0"/>
        <w:spacing w:lineRule="auto" w:line="333" w:before="0" w:after="240"/>
        <w:jc w:val="left"/>
        <w:rPr/>
      </w:pPr>
      <w:r>
        <w:rPr>
          <w:rFonts w:ascii="Times New Roman;sans-serif" w:hAnsi="Times New Roman;sans-serif"/>
          <w:b w:val="false"/>
          <w:color w:val="000000"/>
          <w:sz w:val="22"/>
        </w:rPr>
        <w:t>The Employee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responsible for complying with any and all Russian foreign exchange control requirements in connection with the Deferred Stock Units, any shares of Common Stock acquired and funds remitted into Russia in connection with the Plan. This may include, in certain circumstances, reporting and repatriation requirements. The foreign exchange control rules and regulations in Russia are subject to frequent change. The Employee should contact their personal advisor to determine applicability of all repatriation, remittance or other exchange control requirements to ensure compliance with all applicable exchange control requirements prior to vesting in the Deferred Stock Units and/or selling shares of Common Stock.</w:t>
      </w:r>
    </w:p>
    <w:p>
      <w:pPr>
        <w:pStyle w:val="TextBody"/>
        <w:bidi w:val="0"/>
        <w:spacing w:lineRule="auto" w:line="333" w:before="0" w:after="240"/>
        <w:jc w:val="left"/>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Employee continues to hold shares of Common Stock acquired at vesting of Deferred Stock Units after an involuntary termination of employment, the Employee will not be eligible to receive unemployment benefits in Russia.</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Employee’s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Deferred Stock Units</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 xml:space="preserve">The Employee should consult with their personal legal advisor to </w:t>
      </w:r>
    </w:p>
    <w:p>
      <w:pPr>
        <w:pStyle w:val="TextBody"/>
        <w:bidi w:val="0"/>
        <w:spacing w:before="0" w:after="0"/>
        <w:jc w:val="righ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94335"/>
                <wp:effectExtent l="0" t="0" r="0" b="0"/>
                <wp:wrapNone/>
                <wp:docPr id="307" name="Frame21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43</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determine the applicability of these reporting requirements to any brokerage account opened in connection with participation in the Plan.</w:t>
      </w:r>
    </w:p>
    <w:p>
      <w:pPr>
        <w:pStyle w:val="TextBody"/>
        <w:bidi w:val="0"/>
        <w:spacing w:lineRule="auto" w:line="333"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Employee should inform the Company if the Employee is covered by these laws because the Employee should not hold shares of Common Stock acquired under the Plan.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rFonts w:ascii="Times New Roman;sans-serif" w:hAnsi="Times New Roman;sans-serif"/>
          <w:b w:val="false"/>
          <w:color w:val="000000"/>
          <w:sz w:val="22"/>
        </w:rPr>
        <w:t>. 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9" w:before="0" w:after="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grant of the Deferred Stock Units is not subject to the regulations concerning public offers and private placements under the Law on Capital Markets.</w:t>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grant of the Deferred Stock Units is not subject to the regulations concerning public offers and private placements under the Law on Capital Markets.</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grant of the Deferred Stock Units and the issuance of any shares of Common Stock in settlement of the Deferred Stock Units is not subject to the regulations governing public offerings and private placements under the Law on Capital Markets.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Pursuant to the Law on Foreign Exchange Transactions, the Employee is permitted to acquire shares of 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An exemption from this reporting obligation may apply on the basis that the shares of Common Stock are acquired for no consideration. Because the exchange control regulations in Serbia may change without notice, the Employee should consult with his or her personal advisor to ensure compliance with applicable exchange control laws. </w:t>
      </w:r>
    </w:p>
    <w:p>
      <w:pPr>
        <w:pStyle w:val="TextBody"/>
        <w:bidi w:val="0"/>
        <w:spacing w:before="0" w:after="0"/>
        <w:jc w:val="righ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94335"/>
                <wp:effectExtent l="0" t="0" r="0" b="0"/>
                <wp:wrapNone/>
                <wp:docPr id="308" name="Frame21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44</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Employee agrees that any shares of Common Stock acquired pursuant to the Deferred Stock Units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The grant of Deferred Stock Units is being made pursuant to the “Qualifying Person” exemption under section 273(1)(f) of the SFA and is not made to the Employee with a view to the Deferred Stock Units being subsequently offered for sale to any other party. The Plan has not been lodged or registered as a prospectus with the Monetary Authority of Singapore. </w:t>
      </w:r>
    </w:p>
    <w:p>
      <w:pPr>
        <w:pStyle w:val="TextBody"/>
        <w:bidi w:val="0"/>
        <w:spacing w:lineRule="auto" w:line="333"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 xml:space="preserve">when the shares of Common Stock are sold), or (iii) becoming a director, associate director or shadow director. </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Employee’s brokerage account with the Company’s designated broker).</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94335"/>
                <wp:effectExtent l="0" t="0" r="0" b="0"/>
                <wp:wrapNone/>
                <wp:docPr id="309" name="Frame21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45</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Employee’s review on the Company’s public site or intranet site, as applicable, as listed below:</w:t>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1.The Company’s most recent Annual Report (Form 10-K): from the investor relations section of the Company’s website at http://www.mondelezinternational.com/investors.</w:t>
      </w:r>
    </w:p>
    <w:p>
      <w:pPr>
        <w:pStyle w:val="TextBody"/>
        <w:bidi w:val="0"/>
        <w:spacing w:lineRule="auto" w:line="333"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2.The Company’s most recent Plan prospectus: a copy of which can be found on the Company’s Intranet site located at: https://intranet.mdlz.com/sites/globalhr/comp/Pages/Legal-Documents.aspx. </w:t>
      </w:r>
    </w:p>
    <w:p>
      <w:pPr>
        <w:pStyle w:val="TextBody"/>
        <w:bidi w:val="0"/>
        <w:spacing w:lineRule="atLeast" w:line="26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pStyle w:val="TextBody"/>
        <w:bidi w:val="0"/>
        <w:spacing w:lineRule="auto" w:line="333"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Employee is solely responsible for complying with applicable South African exchange control regulations. In particular, the Employee may be required to obtain approval from the South African Reserve Bank for payments (including shares of Common Stock received pursuant to the Plan) that the Employee receives into accounts based outside of South Africa (e.g., a U.S. brokerage account).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9" w:before="0" w:after="0"/>
        <w:jc w:val="left"/>
        <w:rPr/>
      </w:pPr>
      <w:r>
        <w:rPr>
          <w:rFonts w:ascii="Times New Roman;sans-serif" w:hAnsi="Times New Roman;sans-serif"/>
          <w:b/>
          <w:color w:val="000000"/>
          <w:sz w:val="22"/>
        </w:rPr>
        <w:t xml:space="preserve">Exchange Control Notification. </w:t>
      </w:r>
      <w:r>
        <w:rPr>
          <w:rFonts w:ascii="Times New Roman;sans-serif" w:hAnsi="Times New Roman;sans-serif"/>
          <w:b w:val="false"/>
          <w:color w:val="000000"/>
          <w:sz w:val="22"/>
        </w:rPr>
        <w:t>If a Korean resident sells shares of Common Stock and deposits sale proceeds in excess of a certain threshold (currently, US$5,000) into a non-Korean bank account, the Korean resident must file a report with a Korean foreign exchange bank. This reporting is not required if sale proceeds are instead deposited into a non-Korean brokerage account. It is the Employee’s responsibility to comply with any applicable exchange control reporting obligations in Korea and the Employee should consult with a personal legal advisor to determine the Employee’s reporting obligations.</w:t>
      </w:r>
    </w:p>
    <w:p>
      <w:pPr>
        <w:pStyle w:val="TextBody"/>
        <w:bidi w:val="0"/>
        <w:spacing w:before="0" w:after="0"/>
        <w:jc w:val="left"/>
        <w:rPr/>
      </w:pPr>
      <w:r>
        <w:rPr/>
      </w:r>
    </w:p>
    <w:p>
      <w:pPr>
        <w:pStyle w:val="TextBody"/>
        <w:bidi w:val="0"/>
        <w:spacing w:lineRule="auto" w:line="333"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pStyle w:val="TextBody"/>
        <w:bidi w:val="0"/>
        <w:spacing w:before="0" w:after="0"/>
        <w:jc w:val="righ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94335"/>
                <wp:effectExtent l="0" t="0" r="0" b="0"/>
                <wp:wrapNone/>
                <wp:docPr id="310" name="Frame21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46</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333"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Nature of the Grant. </w:t>
      </w:r>
      <w:r>
        <w:rPr>
          <w:rFonts w:ascii="Times New Roman;sans-serif" w:hAnsi="Times New Roman;sans-serif"/>
          <w:b w:val="false"/>
          <w:color w:val="000000"/>
          <w:sz w:val="22"/>
        </w:rPr>
        <w:t>The following provision supplements paragraph 13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Deferred Stock Units, the Employee consents to participation in the Plan and acknowledges that he or she has received a copy of the Plan.</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 </w:t>
      </w:r>
    </w:p>
    <w:p>
      <w:pPr>
        <w:pStyle w:val="TextBody"/>
        <w:bidi w:val="0"/>
        <w:spacing w:lineRule="auto" w:line="333" w:before="0" w:after="240"/>
        <w:jc w:val="left"/>
        <w:rPr/>
      </w:pPr>
      <w:r>
        <w:rPr>
          <w:rFonts w:ascii="Times New Roman;sans-serif" w:hAnsi="Times New Roman;sans-serif"/>
          <w:b w:val="false"/>
          <w:color w:val="000000"/>
          <w:sz w:val="22"/>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tLeast" w:line="25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(i) any Grant will not economically or otherwise bind the Mondelēz Group on an ongoing basis other than to the extent set forth in the Agreement; (ii)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and (iii) the Deferred Stock Units will cease vesting upon termination of the Employee’s employment, as detailed in the paragraph above.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pStyle w:val="TextBody"/>
        <w:bidi w:val="0"/>
        <w:spacing w:before="0" w:after="240"/>
        <w:jc w:val="left"/>
        <w:rPr/>
      </w:pPr>
      <w:r>
        <w:rPr/>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w:t>
      </w:r>
    </w:p>
    <w:p>
      <w:pPr>
        <w:pStyle w:val="TextBody"/>
        <w:bidi w:val="0"/>
        <w:spacing w:before="0" w:after="0"/>
        <w:jc w:val="righ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94335"/>
                <wp:effectExtent l="0" t="0" r="0" b="0"/>
                <wp:wrapNone/>
                <wp:docPr id="311" name="Frame214"/>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47</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47</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tLeast" w:line="264" w:before="0" w:after="240"/>
        <w:jc w:val="left"/>
        <w:rPr/>
      </w:pPr>
      <w:r>
        <w:rPr>
          <w:rFonts w:ascii="Times New Roman;sans-serif" w:hAnsi="Times New Roman;sans-serif"/>
          <w:b w:val="false"/>
          <w:color w:val="000000"/>
          <w:sz w:val="22"/>
        </w:rPr>
        <w:t xml:space="preserve">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pStyle w:val="TextBody"/>
        <w:bidi w:val="0"/>
        <w:spacing w:lineRule="auto" w:line="333"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Employee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a certain threshold (currently,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a certain threshold (currently,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a certain threshold (currently, €50,000), a summarized form of declaration may be presented. The Employee should consult his or her personal tax advisor for details regarding this requirement.</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this document nor any other materials relating to the Deferred Stock Units (i) constitutes a prospectus according to articles 35 et seq. of the Swiss Federal Act on Financial Services (“</w:t>
      </w:r>
      <w:r>
        <w:rPr>
          <w:rFonts w:ascii="Times New Roman;sans-serif" w:hAnsi="Times New Roman;sans-serif"/>
          <w:b w:val="false"/>
          <w:color w:val="000000"/>
          <w:sz w:val="22"/>
          <w:u w:val="single"/>
        </w:rPr>
        <w:t>FinSA</w:t>
      </w:r>
      <w:r>
        <w:rPr>
          <w:color w:val="000000"/>
        </w:rPr>
        <w:t>”</w:t>
      </w:r>
      <w:r>
        <w:rPr>
          <w:rFonts w:ascii="Times New Roman;sans-serif" w:hAnsi="Times New Roman;sans-serif"/>
          <w:b w:val="false"/>
          <w:color w:val="000000"/>
          <w:sz w:val="22"/>
        </w:rPr>
        <w:t>)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righ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94335"/>
                <wp:effectExtent l="0" t="0" r="0" b="0"/>
                <wp:wrapNone/>
                <wp:docPr id="312" name="Frame215"/>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48</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48</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before="0" w:after="240"/>
        <w:jc w:val="center"/>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Employee hereby acknowledges that he or she has read and understood the terms regarding collection, 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tLeast" w:line="264"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and the shares of Common Stock to be issued pursuant to the Plan are available only to employees of the Mondelēz Group. The grant of Deferred Stock Units does not constitute a public offer of securities.</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Employee may acquire and remit foreign currency (including proceeds from the sale of shares of Common Stock) into Taiwan up to a certain threshold (currently, US$5,000,000) per year. If the transaction amount equals or exceeds a certain threshold (currently, TWD$500,000)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receives proceeds from the sale of shares of Common Stock or cash dividends in relation to the shares of Common Stock equal to or in excess of a certain threshold (currently, US$1,000,000) in a single transaction, the Employee must immediately repatriate the funds to Thailand (or utilize such funds offshore for permissible purposes) and convert the funds to Thai Baht within 360 days of repatriation or deposit the funds in an authorized foreign exchange account in Thailand. The Employee is also required to provide details of the transaction (i.e., identification information and purpose of the transaction) to the receiving bank.</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repatriate such funds and utilizes them offshore for permissible purposes (i.e., purposes not listed in the negative list prescribed by the Bank of Thailand), the Employee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before="0" w:after="0"/>
        <w:jc w:val="righ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94335"/>
                <wp:effectExtent l="0" t="0" r="0" b="0"/>
                <wp:wrapNone/>
                <wp:docPr id="313" name="Frame216"/>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49</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49</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pStyle w:val="TextBody"/>
        <w:bidi w:val="0"/>
        <w:spacing w:lineRule="atLeast" w:line="264"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TÜRKIYE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Employee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333"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engage a Turkish financial intermediary to assist with the sale of shares 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319" w:before="0" w:after="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Employees and is in the nature of providing equity incentives to Employees in the United Arab Emirates (“</w:t>
      </w:r>
      <w:r>
        <w:rPr>
          <w:rFonts w:ascii="Times New Roman;sans-serif" w:hAnsi="Times New Roman;sans-serif"/>
          <w:b w:val="false"/>
          <w:color w:val="000000"/>
          <w:sz w:val="24"/>
          <w:u w:val="single"/>
        </w:rPr>
        <w:t>UAE</w:t>
      </w:r>
      <w:r>
        <w:rPr>
          <w:color w:val="000000"/>
        </w:rPr>
        <w:t>”</w:t>
      </w:r>
      <w:r>
        <w:rPr>
          <w:rFonts w:ascii="Times New Roman;sans-serif" w:hAnsi="Times New Roman;sans-serif"/>
          <w:b w:val="false"/>
          <w:color w:val="000000"/>
          <w:sz w:val="22"/>
        </w:rPr>
        <w:t xml:space="preserve">). The Plan and the Agreement are intended for distribution only to such Employees and must not be delivered to, or relied on by, any other person. Prospective purchasers of the securities offered should conduct their own due diligence on the securities. </w:t>
      </w:r>
    </w:p>
    <w:p>
      <w:pPr>
        <w:pStyle w:val="TextBody"/>
        <w:bidi w:val="0"/>
        <w:spacing w:before="0" w:after="0"/>
        <w:jc w:val="left"/>
        <w:rPr/>
      </w:pPr>
      <w:r>
        <w:rPr/>
      </w:r>
    </w:p>
    <w:p>
      <w:pPr>
        <w:pStyle w:val="TextBody"/>
        <w:bidi w:val="0"/>
        <w:spacing w:lineRule="auto" w:line="319"/>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No other UAE </w:t>
      </w:r>
    </w:p>
    <w:p>
      <w:pPr>
        <w:pStyle w:val="TextBody"/>
        <w:bidi w:val="0"/>
        <w:spacing w:before="0" w:after="0"/>
        <w:jc w:val="righ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94335"/>
                <wp:effectExtent l="0" t="0" r="0" b="0"/>
                <wp:wrapNone/>
                <wp:docPr id="314" name="Frame21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50</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50</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authority or governmental agency has approved the Plan or the Agreement nor taken steps to verify the information set out therein, and have no responsibility for such documents.</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bidi w:val="0"/>
        <w:spacing w:lineRule="auto" w:line="333" w:before="0" w:after="240"/>
        <w:jc w:val="left"/>
        <w:rPr/>
      </w:pPr>
      <w:r>
        <w:rPr>
          <w:rFonts w:ascii="Times New Roman;sans-serif" w:hAnsi="Times New Roman;sans-serif"/>
          <w:b w:val="false"/>
          <w:color w:val="000000"/>
          <w:sz w:val="22"/>
        </w:rPr>
        <w:t>Without limitation to paragraph 5 of the Agreement, the Employee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pStyle w:val="TextBody"/>
        <w:bidi w:val="0"/>
        <w:spacing w:lineRule="auto" w:line="333" w:before="0" w:after="240"/>
        <w:jc w:val="left"/>
        <w:rPr/>
      </w:pPr>
      <w:r>
        <w:rPr>
          <w:rFonts w:ascii="Times New Roman;sans-serif" w:hAnsi="Times New Roman;sans-serif"/>
          <w:b w:val="false"/>
          <w:color w:val="000000"/>
          <w:sz w:val="22"/>
        </w:rPr>
        <w:t>Notwithstanding the foregoing, if the Employee is a director or executive officer of the Company (within the meaning of Section 13(k) of the Exchange Act), the Employee understands that he or she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w:t>
      </w:r>
      <w:r>
        <w:rPr>
          <w:rFonts w:ascii="Times New Roman;sans-serif" w:hAnsi="Times New Roman;sans-serif"/>
          <w:b w:val="false"/>
          <w:color w:val="000000"/>
          <w:sz w:val="22"/>
          <w:u w:val="single"/>
        </w:rPr>
        <w:t>NICs</w:t>
      </w:r>
      <w:r>
        <w:rPr>
          <w:color w:val="000000"/>
        </w:rPr>
        <w:t>”</w:t>
      </w:r>
      <w:r>
        <w:rPr>
          <w:rFonts w:ascii="Times New Roman;sans-serif" w:hAnsi="Times New Roman;sans-serif"/>
          <w:b w:val="false"/>
          <w:color w:val="000000"/>
          <w:sz w:val="22"/>
        </w:rPr>
        <w:t>) may be payable. The Employee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Employee by any of the means referred to in paragraph 5 of the Agreement.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ALL STATES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12"/>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If the Employee holds assets (</w:t>
      </w:r>
      <w:r>
        <w:rPr>
          <w:rFonts w:ascii="Times New Roman;sans-serif" w:hAnsi="Times New Roman;sans-serif"/>
          <w:b w:val="false"/>
          <w:i/>
          <w:color w:val="000000"/>
          <w:sz w:val="24"/>
        </w:rPr>
        <w:t>i.e</w:t>
      </w:r>
      <w:r>
        <w:rPr>
          <w:rFonts w:ascii="Times New Roman;sans-serif" w:hAnsi="Times New Roman;sans-serif"/>
          <w:b w:val="false"/>
          <w:color w:val="000000"/>
          <w:sz w:val="22"/>
        </w:rPr>
        <w:t>., Deferred Stock Units or Common Stock) or other financial assets in an account outside the United States and the aggregate amount of said assets is a certain threshold (currently, US$10,000) or more, the Employee is required to submit a report of Foreign Bank and Financial Account with the United States Internal Revenue Service by June 30 of the year following the year in which the assets in the Employee’s account meet the threshold.</w:t>
      </w:r>
    </w:p>
    <w:p>
      <w:pPr>
        <w:pStyle w:val="TextBody"/>
        <w:bidi w:val="0"/>
        <w:spacing w:before="0" w:after="0"/>
        <w:jc w:val="righ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94335"/>
                <wp:effectExtent l="0" t="0" r="0" b="0"/>
                <wp:wrapNone/>
                <wp:docPr id="315" name="Frame21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51</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51</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CALIFORNIA</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If the Employee is a resident of California:</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Paragraph 9(a), which includes post-termination noncompetition, employee nonsolicitation and customer nonsolicitation restrictions, shall not apply. Paragraph 9(a) shall be deleted and the other sub-sections of paragraph 9 shall be renumbered accordingly.</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2.The following language shall be added as a new sub-section at the end of paragraph 9: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Nothing in this Agreement is intended to interfere with the Employee’s rights to discuss the Employee’s wages and working conditions under the California Labor Code or the Employee’s rights under California Code of Civil Procedure § 1670.11 or California Government Code § 12964.5. Moreover, nothing in this Agreement prevents the Employee from discussing or disclosing information about unlawful acts in the workplace, such as harassment or discrimination or any other conduct that the Employee has reason to believe is unlawful.</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2"/>
        </w:rPr>
        <w:t>If, during employment, the Employee primarily resided in California, this Agreement shall be governed by California law and any disputes arising under this Agreement shall be heard in a California state or federal court.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14 of the Agreement:</w:t>
      </w:r>
    </w:p>
    <w:p>
      <w:pPr>
        <w:pStyle w:val="TextBody"/>
        <w:bidi w:val="0"/>
        <w:spacing w:before="0" w:after="0"/>
        <w:jc w:val="lef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applicable data protection laws, the Employee is hereby notified that the Company collects, processes, uses and transfers certain personally-identifiable information about the Employee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Employee’s Personal Data or share it for cross-context behavioral advertising. If the Employee would like a copy of the Company’s privacy policy, please contact a local human resources representative. </w:t>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COLORADO</w:t>
      </w:r>
    </w:p>
    <w:p>
      <w:pPr>
        <w:pStyle w:val="TextBody"/>
        <w:bidi w:val="0"/>
        <w:spacing w:before="0" w:after="0"/>
        <w:jc w:val="left"/>
        <w:rPr/>
      </w:pPr>
      <w:r>
        <w:rPr/>
      </w:r>
    </w:p>
    <w:p>
      <w:pPr>
        <w:pStyle w:val="TextBody"/>
        <w:bidi w:val="0"/>
        <w:spacing w:lineRule="auto" w:line="312"/>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righ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94335"/>
                <wp:effectExtent l="0" t="0" r="0" b="0"/>
                <wp:wrapNone/>
                <wp:docPr id="316" name="Frame21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52</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52</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Employee is a resident of Colorado:</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post-termination noncompetition restrictions in paragraph 9(a)(1) shall not apply unless the Employee’s annualized cash compensation exceeds the statutory “highly compensated worker” threshold either at the time the Agreement is entered into or at the time of enforcement. The highly compensated worker threshold is US$127,091 for 2025 and is adjusted annually for inflation.</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The post-termination customer nonsolicitaton restrictions in paragraph 9(a)(3) shall not apply unless the Employee’s annualized cash compensation exceeds 60% of the statutory “highly compensated worker threshold” (“</w:t>
      </w:r>
      <w:r>
        <w:rPr>
          <w:rFonts w:ascii="Times New Roman;sans-serif" w:hAnsi="Times New Roman;sans-serif"/>
          <w:b w:val="false"/>
          <w:color w:val="000000"/>
          <w:sz w:val="22"/>
          <w:u w:val="single"/>
        </w:rPr>
        <w:t>Nonsolicitation Compensation Threshold</w:t>
      </w:r>
      <w:r>
        <w:rPr>
          <w:color w:val="000000"/>
        </w:rPr>
        <w:t>”</w:t>
      </w:r>
      <w:r>
        <w:rPr>
          <w:rFonts w:ascii="Times New Roman;sans-serif" w:hAnsi="Times New Roman;sans-serif"/>
          <w:b w:val="false"/>
          <w:color w:val="000000"/>
          <w:sz w:val="22"/>
        </w:rPr>
        <w:t xml:space="preserve">) either at the time the Agreement is entered into or at the time of enforcement. The Nonsolicitation Compensation Threshold is US$76,254.60 for 2025.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2"/>
        </w:rPr>
        <w:t xml:space="preserve">The Employee acknowledges that the post-termination noncompetition and customer nonsolicitation restrictions in paragraph 9(a)(1) and 9(a)(3) of the Agreement are no broader than is reasonably necessary to protect the Employer’s trade secrets.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DISTRICT OF COLOMBIA</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Employee is a resident of the District of Colombia, the post-termination noncompetition restrictions in paragraph 9(a)(1) shall not apply unless the Employee’s compensation (including wages, bonus, commissions, vested stock and other payments in connection with employment) is reasonably expected to equal or exceed in a consecutive twelve (12) month period, or does equal or exceed in the consecutive twelve (12) month period preceding the date of the Employee’s termination of employment with the Employer, the statutory threshold for a “highly compensated employee”, which is US$154,200 for 2024 and is adjusted annually for inflation.</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ILLINOIS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xml:space="preserve">. If the Employee is a resident of Illinois: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post-termination noncompetition restrictions in paragraph 9(a)(1) shall not apply unless the Employee’s annualized rate of earnings at the time the restrictions are entered into exceeds the statutory minimum, which is US$75,000 per year for 2025 and is scheduled to increase to US$80,000 per year on January 1, 2027, US$85,000 per year on January 1, 2032 and US$90,000 per year on January 1, 2037.</w:t>
      </w:r>
      <w:r>
        <w:rPr>
          <w:color w:val="000000"/>
        </w:rPr>
        <w:t xml:space="preserv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94335"/>
                <wp:effectExtent l="0" t="0" r="0" b="0"/>
                <wp:wrapNone/>
                <wp:docPr id="317" name="Frame220"/>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53</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53</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 xml:space="preserve">The post-termination employee nonsolicitation restrictions in paragraph 9(a)(2) and the post-termination customer nonsolicitaton restrictions in paragraph 9(a)(3) shall not apply unless the Employee’s annualized rate of earnings at the time the restrictions are entered into exceed the statutory minimum, which is US$45,000 per year for 2025 and is scheduled to increase to US$47,500 per year on January 1, 2027, US$50,000 per year on January 1, 2032 and US$52,500 per year on January 1, 2037.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MINNESOTA</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Employee is a</w:t>
      </w:r>
      <w:r>
        <w:rPr>
          <w:color w:val="000000"/>
        </w:rPr>
        <w:t xml:space="preserve"> </w:t>
      </w:r>
      <w:r>
        <w:rPr>
          <w:rFonts w:ascii="Times New Roman;sans-serif" w:hAnsi="Times New Roman;sans-serif"/>
          <w:b w:val="false"/>
          <w:color w:val="000000"/>
          <w:sz w:val="22"/>
        </w:rPr>
        <w:t xml:space="preserve">resident of Minnesota, the post-termination noncompetition restrictions in paragraph 9(a)(1) shall not apply. </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WASHINGTON</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If the Employee is a resident of Washington:</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post-termination noncompetition restrictions in paragraph 9(a)(1) and the post-termination customer nonsolicitation restrictions in paragraph 9(a)(3) shall not apply unless the Employee’s earnings from the Employer exceed the statutory threshold for Box 1 W-2 annual compensation, which is US$123,394.17 for 2025 and is adjusted annually for inflation (“</w:t>
      </w:r>
      <w:r>
        <w:rPr>
          <w:rFonts w:ascii="Times New Roman;sans-serif" w:hAnsi="Times New Roman;sans-serif"/>
          <w:b w:val="false"/>
          <w:color w:val="000000"/>
          <w:sz w:val="22"/>
          <w:u w:val="single"/>
        </w:rPr>
        <w:t>Earnings Threshold</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 xml:space="preserve">The Employee agrees that if, at the time the Employee signs this Agreement, the Employee’s earnings do not exceed the Earnings Threshold, the post-termination noncompetition restrictions in paragraph 9(a)(1) and the post-termination customer nonsolicitation restrictions in paragraph 9(a)(3) will automatically become enforceable against the Employee if and when the Employee’s earnings exceed the Earnings Threshold. </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post-termination noncompetition restrictions in paragraph 9(a)(1) and the post-termination customer nonsolicitaton restrictions in paragraph 9(a)(3) shall not apply if the Employee is terminated as the result of a layoff unless, during the period of enforcement, the Employer pays the Employee compensation equivalent to the Employee’s final base pay at the time of termination of employment minus the amount of any compensation the Employee earns through employment after the end of the Employee’s employment with the Employer, which the Employee agrees to promptly disclose. For the purposes of this paragraph, “layoff” means termination of the Employee’s employment by the Employer for reasons of the Employer’s insolvency or decline in business, the elimination of the Employee’s position or other purely economic factors, and excludes termination of the Employee’s employment due to the Employee’s performance, misconduct or any other reason, whether with or without cause.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94335"/>
                <wp:effectExtent l="0" t="0" r="0" b="0"/>
                <wp:wrapNone/>
                <wp:docPr id="318" name="Frame221"/>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54</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54</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Employee understands that the Data will be collected by the Employer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grant of the Deferred Stock Units, the Employee acknowledges and agrees that any shares of Common Stock the Employee may acquire upon the settlement of the Deferred Stock Units are acquired as and intended to be an investment rather than for the resale of the shares of Common Stock and conversion of shares into foreign currency.</w:t>
      </w:r>
    </w:p>
    <w:p>
      <w:pPr>
        <w:pStyle w:val="TextBody"/>
        <w:bidi w:val="0"/>
        <w:spacing w:lineRule="auto" w:line="333"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Deferred Stock Units or remit funds into 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Employee should consult with his or her personal legal advisor before accepting the Deferred Stock Units to ensure compliance with current regulations.</w:t>
      </w:r>
    </w:p>
    <w:p>
      <w:pPr>
        <w:pStyle w:val="TextBody"/>
        <w:bidi w:val="0"/>
        <w:spacing w:lineRule="auto" w:line="333"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333"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granted under the Plan and the shares of Common Stock issued under the Plan are offered as a personal, private, exclusive transaction and are not subject to Venezuelan government securities regulations. The Deferred Stock Units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33"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 xml:space="preserve">Notwithstanding any discretion in the Plan or anything to the contrary in the Agreement (including paragraph 7 of the Agreement), the grant of Deferred Stock </w:t>
      </w:r>
    </w:p>
    <w:p>
      <w:pPr>
        <w:pStyle w:val="TextBody"/>
        <w:bidi w:val="0"/>
        <w:spacing w:before="0" w:after="0"/>
        <w:jc w:val="righ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94335"/>
                <wp:effectExtent l="0" t="0" r="0" b="0"/>
                <wp:wrapNone/>
                <wp:docPr id="319" name="Frame222"/>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55</w:t>
                            </w:r>
                            <w:r>
                              <w:br w:type="page"/>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55</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94335"/>
                <wp:effectExtent l="0" t="0" r="0" b="0"/>
                <wp:wrapNone/>
                <wp:docPr id="320" name="Frame223"/>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left"/>
                        <w:rPr>
                          <w:color w:val="000000"/>
                        </w:rPr>
                      </w:pPr>
                      <w:r>
                        <w:rPr>
                          <w:color w:val="000000"/>
                        </w:rPr>
                        <w:t>    </w:t>
                      </w:r>
                      <w:r>
                        <w:rPr>
                          <w:rFonts w:ascii="Times New Roman;sans-serif" w:hAnsi="Times New Roman;sans-serif"/>
                          <w:b w:val="false"/>
                          <w:color w:val="000000"/>
                          <w:sz w:val="18"/>
                        </w:rPr>
                        <w:t>56</w:t>
                      </w:r>
                    </w:p>
                    <w:p>
                      <w:pPr>
                        <w:pStyle w:val="TextBody"/>
                        <w:bidi w:val="0"/>
                        <w:spacing w:lineRule="auto" w:line="36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2025</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Dirk Van de Put,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April 29, 2025</w:t>
      </w:r>
    </w:p>
    <w:p>
      <w:pPr>
        <w:pStyle w:val="TextBody"/>
        <w:bidi w:val="0"/>
        <w:spacing w:lineRule="auto" w:line="288" w:before="0" w:after="0"/>
        <w:jc w:val="left"/>
        <w:rPr>
          <w:color w:val="000000"/>
        </w:rPr>
      </w:pPr>
      <w:r>
        <w:rPr>
          <w:color w:val="000000"/>
        </w:rPr>
        <w:t> </w:t>
      </w:r>
    </w:p>
    <w:tbl>
      <w:tblPr>
        <w:tblW w:w="3450" w:type="dxa"/>
        <w:jc w:val="right"/>
        <w:tblInd w:w="0" w:type="dxa"/>
        <w:tblLayout w:type="fixed"/>
        <w:tblCellMar>
          <w:top w:w="28" w:type="dxa"/>
          <w:left w:w="28" w:type="dxa"/>
          <w:bottom w:w="28" w:type="dxa"/>
          <w:right w:w="28" w:type="dxa"/>
        </w:tblCellMar>
      </w:tblPr>
      <w:tblGrid>
        <w:gridCol w:w="1099"/>
        <w:gridCol w:w="967"/>
        <w:gridCol w:w="1384"/>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b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321"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Luca Zaramella,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April 29, 2025</w:t>
      </w:r>
    </w:p>
    <w:p>
      <w:pPr>
        <w:pStyle w:val="TextBody"/>
        <w:bidi w:val="0"/>
        <w:spacing w:lineRule="auto" w:line="288" w:before="0" w:after="0"/>
        <w:jc w:val="left"/>
        <w:rPr>
          <w:color w:val="000000"/>
        </w:rPr>
      </w:pPr>
      <w:r>
        <w:rPr>
          <w:color w:val="000000"/>
        </w:rPr>
        <w:t> </w:t>
      </w:r>
    </w:p>
    <w:tbl>
      <w:tblPr>
        <w:tblW w:w="2744" w:type="dxa"/>
        <w:jc w:val="righ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br/>
              <w:t>Executive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322"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 AND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2025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3450" w:type="dxa"/>
        <w:jc w:val="left"/>
        <w:tblInd w:w="0" w:type="dxa"/>
        <w:tblLayout w:type="fixed"/>
        <w:tblCellMar>
          <w:top w:w="28" w:type="dxa"/>
          <w:left w:w="28" w:type="dxa"/>
          <w:bottom w:w="28" w:type="dxa"/>
          <w:right w:w="28" w:type="dxa"/>
        </w:tblCellMar>
      </w:tblPr>
      <w:tblGrid>
        <w:gridCol w:w="1104"/>
        <w:gridCol w:w="968"/>
        <w:gridCol w:w="1378"/>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2025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2744" w:type="dxa"/>
        <w:jc w:val="lef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2025</w:t>
            </w:r>
          </w:p>
        </w:tc>
      </w:tr>
    </w:tbl>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323"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Palatino">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hyperlink" Target="https://www.sec.gov/Archives/edgar/data/1103982/000110398225000065/ex101_2x19x25.htm" TargetMode="External"/><Relationship Id="rId96" Type="http://schemas.openxmlformats.org/officeDocument/2006/relationships/hyperlink" Target="https://www.sec.gov/Archives/edgar/data/1103982/000110398225000065/ex102_2x19x25.htm" TargetMode="External"/><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fontTable" Target="fontTable.xml"/><Relationship Id="rId10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183</Pages>
  <Words>105735</Words>
  <Characters>578788</Characters>
  <CharactersWithSpaces>682352</CharactersWithSpaces>
  <Paragraphs>4964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